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Bawa Aparna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40"/>
        <w:spacing w:after="0" w:line="39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Operating Officer</w:t>
            </w:r>
          </w:p>
        </w:tc>
        <w:tc>
          <w:tcPr>
            <w:tcW w:w="0" w:type="dxa"/>
            <w:vAlign w:val="bottom"/>
          </w:tcPr>
          <w:p>
            <w:pPr>
              <w:spacing w:after="0"/>
              <w:rPr>
                <w:sz w:val="1"/>
                <w:szCs w:val="1"/>
                <w:color w:val="auto"/>
              </w:rPr>
            </w:pPr>
          </w:p>
        </w:tc>
      </w:tr>
      <w:tr>
        <w:trPr>
          <w:trHeight w:val="220"/>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05/17/2021</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gridSpan w:val="2"/>
            <w:vMerge w:val="restart"/>
          </w:tcPr>
          <w:p>
            <w:pPr>
              <w:ind w:left="560"/>
              <w:spacing w:after="0"/>
              <w:rPr>
                <w:sz w:val="20"/>
                <w:szCs w:val="20"/>
                <w:color w:val="auto"/>
              </w:rPr>
            </w:pPr>
            <w:r>
              <w:rPr>
                <w:rFonts w:ascii="Arial" w:cs="Arial" w:eastAsia="Arial" w:hAnsi="Arial"/>
                <w:sz w:val="17"/>
                <w:szCs w:val="17"/>
                <w:color w:val="0000FF"/>
              </w:rPr>
              <w:t>05/17/2021</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vMerge w:val="restart"/>
          </w:tcPr>
          <w:p>
            <w:pPr>
              <w:ind w:left="180"/>
              <w:spacing w:after="0"/>
              <w:rPr>
                <w:sz w:val="20"/>
                <w:szCs w:val="20"/>
                <w:color w:val="auto"/>
              </w:rPr>
            </w:pPr>
            <w:r>
              <w:rPr>
                <w:rFonts w:ascii="Arial" w:cs="Arial" w:eastAsia="Arial" w:hAnsi="Arial"/>
                <w:sz w:val="17"/>
                <w:szCs w:val="17"/>
                <w:color w:val="0000FF"/>
              </w:rPr>
              <w:t>2,593</w:t>
            </w:r>
          </w:p>
        </w:tc>
        <w:tc>
          <w:tcPr>
            <w:tcW w:w="440" w:type="dxa"/>
            <w:vAlign w:val="bottom"/>
            <w:vMerge w:val="restart"/>
          </w:tcPr>
          <w:p>
            <w:pPr>
              <w:ind w:left="180"/>
              <w:spacing w:after="0"/>
              <w:rPr>
                <w:sz w:val="20"/>
                <w:szCs w:val="20"/>
                <w:color w:val="auto"/>
              </w:rPr>
            </w:pPr>
            <w:r>
              <w:rPr>
                <w:rFonts w:ascii="Arial" w:cs="Arial" w:eastAsia="Arial" w:hAnsi="Arial"/>
                <w:sz w:val="17"/>
                <w:szCs w:val="17"/>
                <w:color w:val="0000FF"/>
              </w:rPr>
              <w:t>D</w:t>
            </w:r>
          </w:p>
        </w:tc>
        <w:tc>
          <w:tcPr>
            <w:tcW w:w="1940" w:type="dxa"/>
            <w:vAlign w:val="bottom"/>
            <w:gridSpan w:val="5"/>
            <w:vMerge w:val="restart"/>
          </w:tcPr>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304.83   158,330</w:t>
            </w:r>
            <w:r>
              <w:rPr>
                <w:rFonts w:ascii="Arial" w:cs="Arial" w:eastAsia="Arial" w:hAnsi="Arial"/>
                <w:sz w:val="22"/>
                <w:szCs w:val="22"/>
                <w:color w:val="008000"/>
                <w:vertAlign w:val="superscript"/>
              </w:rPr>
              <w:t>(2)(3)</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940" w:type="dxa"/>
            <w:vAlign w:val="bottom"/>
            <w:gridSpan w:val="5"/>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issued pursuant to an option that was early exercised by the Reporting Person, and 120,000 shares are subject to the Issuer's right to repurchase as of the date hereof.</w:t>
      </w:r>
    </w:p>
    <w:p>
      <w:pPr>
        <w:spacing w:after="0" w:line="50"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an adjustment of shares beneficially owned to include 91 shares of Class A Common stock purchased pursuant to the Zoom Video Communications, Inc. 2019 Employee Stock Purchase Plan ("ESPP"). The purchase was originally disclosed in the Form 4 filed on March 10, 2021, but due to a mathematical error the shares were not included in the aggregate number of securities beneficially owned.</w:t>
      </w:r>
    </w:p>
    <w:p>
      <w:pPr>
        <w:spacing w:after="0" w:line="25" w:lineRule="exact"/>
        <w:rPr>
          <w:rFonts w:ascii="Arial" w:cs="Arial" w:eastAsia="Arial" w:hAnsi="Arial"/>
          <w:sz w:val="13"/>
          <w:szCs w:val="13"/>
          <w:color w:val="008000"/>
        </w:rPr>
      </w:pPr>
    </w:p>
    <w:p>
      <w:pPr>
        <w:ind w:left="40" w:right="4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Aparna Bawa</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05/19/2021</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2021-05-19T17:12:30Z</dcterms:created>
  <dcterms:modified xsi:type="dcterms:W3CDTF">2021-05-19T17:12:30Z</dcterms:modified>
</cp:coreProperties>
</file>