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Subotovsky Santiago</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Zoom Communications,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ZM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tcBorders>
              <w:bottom w:val="single" w:sz="8" w:color="0000EE"/>
            </w:tcBorders>
          </w:tcPr>
          <w:p>
            <w:pPr>
              <w:spacing w:after="0"/>
              <w:rPr>
                <w:sz w:val="6"/>
                <w:szCs w:val="6"/>
                <w:color w:val="auto"/>
              </w:rPr>
            </w:pPr>
          </w:p>
        </w:tc>
        <w:tc>
          <w:tcPr>
            <w:tcW w:w="1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11/04/2025</w:t>
            </w:r>
          </w:p>
        </w:tc>
        <w:tc>
          <w:tcPr>
            <w:tcW w:w="13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ZOOM COMMUNICATIONS, INC.</w:t>
            </w:r>
          </w:p>
        </w:tc>
        <w:tc>
          <w:tcPr>
            <w:tcW w:w="2600" w:type="dxa"/>
            <w:vAlign w:val="bottom"/>
            <w:gridSpan w:val="3"/>
            <w:vMerge w:val="continue"/>
          </w:tcPr>
          <w:p>
            <w:pPr>
              <w:spacing w:after="0"/>
              <w:rPr>
                <w:sz w:val="11"/>
                <w:szCs w:val="11"/>
                <w:color w:val="auto"/>
              </w:rPr>
            </w:pPr>
          </w:p>
        </w:tc>
        <w:tc>
          <w:tcPr>
            <w:tcW w:w="13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55 ALMADEN BLVD, #600</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4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40" w:type="dxa"/>
            <w:vAlign w:val="bottom"/>
            <w:gridSpan w:val="3"/>
            <w:vMerge w:val="continue"/>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4"/>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11/04/2025</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1,497</w:t>
            </w:r>
          </w:p>
        </w:tc>
        <w:tc>
          <w:tcPr>
            <w:tcW w:w="460" w:type="dxa"/>
            <w:vAlign w:val="bottom"/>
            <w:tcBorders>
              <w:bottom w:val="single" w:sz="8" w:color="2C2C2C"/>
            </w:tcBorders>
          </w:tcPr>
          <w:p>
            <w:pPr>
              <w:jc w:val="center"/>
              <w:ind w:right="3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83.7965</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151,147</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11/04/2025</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ind w:right="9"/>
              <w:spacing w:after="0"/>
              <w:rPr>
                <w:sz w:val="20"/>
                <w:szCs w:val="20"/>
                <w:color w:val="auto"/>
              </w:rPr>
            </w:pPr>
            <w:r>
              <w:rPr>
                <w:rFonts w:ascii="Times New Roman" w:cs="Times New Roman" w:eastAsia="Times New Roman" w:hAnsi="Times New Roman"/>
                <w:sz w:val="17"/>
                <w:szCs w:val="17"/>
                <w:color w:val="0000FF"/>
              </w:rPr>
              <w:t>882</w:t>
            </w:r>
          </w:p>
        </w:tc>
        <w:tc>
          <w:tcPr>
            <w:tcW w:w="460" w:type="dxa"/>
            <w:vAlign w:val="bottom"/>
            <w:tcBorders>
              <w:bottom w:val="single" w:sz="8" w:color="2C2C2C"/>
            </w:tcBorders>
          </w:tcPr>
          <w:p>
            <w:pPr>
              <w:jc w:val="center"/>
              <w:ind w:right="3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84.6099</w:t>
            </w:r>
            <w:r>
              <w:rPr>
                <w:rFonts w:ascii="Times New Roman" w:cs="Times New Roman" w:eastAsia="Times New Roman" w:hAnsi="Times New Roman"/>
                <w:sz w:val="22"/>
                <w:szCs w:val="22"/>
                <w:color w:val="008000"/>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150,265</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11/04/2025</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ind w:right="9"/>
              <w:spacing w:after="0"/>
              <w:rPr>
                <w:sz w:val="20"/>
                <w:szCs w:val="20"/>
                <w:color w:val="auto"/>
              </w:rPr>
            </w:pPr>
            <w:r>
              <w:rPr>
                <w:rFonts w:ascii="Times New Roman" w:cs="Times New Roman" w:eastAsia="Times New Roman" w:hAnsi="Times New Roman"/>
                <w:sz w:val="17"/>
                <w:szCs w:val="17"/>
                <w:color w:val="0000FF"/>
              </w:rPr>
              <w:t>96</w:t>
            </w:r>
          </w:p>
        </w:tc>
        <w:tc>
          <w:tcPr>
            <w:tcW w:w="460" w:type="dxa"/>
            <w:vAlign w:val="bottom"/>
            <w:tcBorders>
              <w:bottom w:val="single" w:sz="8" w:color="2C2C2C"/>
            </w:tcBorders>
          </w:tcPr>
          <w:p>
            <w:pPr>
              <w:jc w:val="center"/>
              <w:ind w:right="3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85.3381</w:t>
            </w:r>
            <w:r>
              <w:rPr>
                <w:rFonts w:ascii="Times New Roman" w:cs="Times New Roman" w:eastAsia="Times New Roman" w:hAnsi="Times New Roman"/>
                <w:sz w:val="22"/>
                <w:szCs w:val="22"/>
                <w:color w:val="008000"/>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150,169</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2,388</w:t>
            </w:r>
            <w:r>
              <w:rPr>
                <w:rFonts w:ascii="Times New Roman" w:cs="Times New Roman" w:eastAsia="Times New Roman" w:hAnsi="Times New Roman"/>
                <w:sz w:val="22"/>
                <w:szCs w:val="22"/>
                <w:color w:val="008000"/>
                <w:w w:val="93"/>
                <w:vertAlign w:val="superscript"/>
              </w:rPr>
              <w:t>(5)</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December 19, 2024</w:t>
      </w:r>
    </w:p>
    <w:p>
      <w:pPr>
        <w:spacing w:after="0" w:line="5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$83.23 to $84.225.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$84.235 to $85.205.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$85.26 to $85.405.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Balance reflects the Subotovsky Mann Family Trust's receipt of 918 shares of the Issuer's Class A Common Stock in a pro-rata distribution from Emergence Equity Partners III, L.P. in accordance with the exemptions under Rule 16a-9(a) and Rule 16a-13 of the Securities Exchange Act of 1934, as amended, on July 9, 2025.</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the Subotovsky Mann Family Trust, of which the Reporting Person is a trustee.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11/06/2025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3806"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2025-11-06T15:21:13Z</dcterms:created>
  <dcterms:modified xsi:type="dcterms:W3CDTF">2025-11-06T15:21:13Z</dcterms:modified>
</cp:coreProperties>
</file>