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67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67935"/>
                    </a:xfrm>
                    <a:prstGeom prst="rect">
                      <a:avLst/>
                    </a:prstGeom>
                    <a:noFill/>
                  </pic:spPr>
                </pic:pic>
              </a:graphicData>
            </a:graphic>
          </wp:anchor>
        </w:drawing>
      </w:r>
    </w:p>
    <w:p>
      <w:pPr>
        <w:sectPr>
          <w:pgSz w:w="11900" w:h="16838" w:orient="portrait"/>
          <w:cols w:equalWidth="0" w:num="1">
            <w:col w:w="11420"/>
          </w:cols>
          <w:pgMar w:left="240" w:top="226" w:right="239" w:bottom="1053"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Subotovsky Santiago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40" w:type="dxa"/>
            <w:vAlign w:val="bottom"/>
            <w:tcBorders>
              <w:top w:val="single" w:sz="8" w:color="0000EE"/>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160 BOVET ROAD, SUITE 300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SAN MATEO CA</w:t>
            </w:r>
          </w:p>
        </w:tc>
        <w:tc>
          <w:tcPr>
            <w:tcW w:w="1380" w:type="dxa"/>
            <w:vAlign w:val="bottom"/>
          </w:tcPr>
          <w:p>
            <w:pPr>
              <w:ind w:left="340"/>
              <w:spacing w:after="0"/>
              <w:rPr>
                <w:sz w:val="20"/>
                <w:szCs w:val="20"/>
                <w:color w:val="auto"/>
              </w:rPr>
            </w:pPr>
            <w:r>
              <w:rPr>
                <w:rFonts w:ascii="Arial" w:cs="Arial" w:eastAsia="Arial" w:hAnsi="Arial"/>
                <w:sz w:val="18"/>
                <w:szCs w:val="18"/>
                <w:color w:val="0000FF"/>
              </w:rPr>
              <w:t>94402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Zoom Video Communications,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0"/>
        </w:trPr>
        <w:tc>
          <w:tcPr>
            <w:tcW w:w="1840" w:type="dxa"/>
            <w:vAlign w:val="bottom"/>
          </w:tcPr>
          <w:p>
            <w:pPr>
              <w:ind w:left="20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54"/>
        </w:trPr>
        <w:tc>
          <w:tcPr>
            <w:tcW w:w="18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08"/>
        </w:trPr>
        <w:tc>
          <w:tcPr>
            <w:tcW w:w="1840" w:type="dxa"/>
            <w:vAlign w:val="bottom"/>
            <w:vMerge w:val="restart"/>
          </w:tcPr>
          <w:p>
            <w:pPr>
              <w:ind w:left="540"/>
              <w:spacing w:after="0" w:line="141" w:lineRule="exact"/>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line="141" w:lineRule="exact"/>
              <w:rPr>
                <w:sz w:val="20"/>
                <w:szCs w:val="20"/>
                <w:color w:val="auto"/>
              </w:rPr>
            </w:pPr>
            <w:r>
              <w:rPr>
                <w:rFonts w:ascii="Arial" w:cs="Arial" w:eastAsia="Arial" w:hAnsi="Arial"/>
                <w:sz w:val="14"/>
                <w:szCs w:val="14"/>
                <w:color w:val="auto"/>
              </w:rPr>
              <w:t>below)</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84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560"/>
        <w:spacing w:after="0" w:line="188"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9"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496" w:lineRule="exact"/>
        <w:rPr>
          <w:sz w:val="24"/>
          <w:szCs w:val="24"/>
          <w:color w:val="auto"/>
        </w:rPr>
      </w:pPr>
    </w:p>
    <w:p>
      <w:pPr>
        <w:sectPr>
          <w:pgSz w:w="11900" w:h="16838" w:orient="portrait"/>
          <w:cols w:equalWidth="0" w:num="2">
            <w:col w:w="4720" w:space="480"/>
            <w:col w:w="6220"/>
          </w:cols>
          <w:pgMar w:left="240" w:top="226" w:right="239" w:bottom="105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4,000,000</w:t>
            </w:r>
          </w:p>
        </w:tc>
        <w:tc>
          <w:tcPr>
            <w:tcW w:w="880" w:type="dxa"/>
            <w:vAlign w:val="bottom"/>
            <w:tcBorders>
              <w:bottom w:val="single" w:sz="8" w:color="2C2C2C"/>
            </w:tcBorders>
          </w:tcPr>
          <w:p>
            <w:pPr>
              <w:jc w:val="right"/>
              <w:ind w:right="142"/>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324,744</w:t>
            </w:r>
          </w:p>
        </w:tc>
        <w:tc>
          <w:tcPr>
            <w:tcW w:w="880" w:type="dxa"/>
            <w:vAlign w:val="bottom"/>
            <w:tcBorders>
              <w:bottom w:val="single" w:sz="8" w:color="2C2C2C"/>
            </w:tcBorders>
          </w:tcPr>
          <w:p>
            <w:pPr>
              <w:jc w:val="right"/>
              <w:ind w:right="142"/>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0"/>
              </w:rPr>
              <w:t>98,896</w:t>
            </w:r>
          </w:p>
        </w:tc>
        <w:tc>
          <w:tcPr>
            <w:tcW w:w="880" w:type="dxa"/>
            <w:vAlign w:val="bottom"/>
            <w:tcBorders>
              <w:bottom w:val="single" w:sz="8" w:color="2C2C2C"/>
            </w:tcBorders>
          </w:tcPr>
          <w:p>
            <w:pPr>
              <w:jc w:val="right"/>
              <w:ind w:right="142"/>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22,908,848</w:t>
            </w:r>
          </w:p>
        </w:tc>
        <w:tc>
          <w:tcPr>
            <w:tcW w:w="880" w:type="dxa"/>
            <w:vAlign w:val="bottom"/>
            <w:tcBorders>
              <w:bottom w:val="single" w:sz="8" w:color="2C2C2C"/>
            </w:tcBorders>
          </w:tcPr>
          <w:p>
            <w:pPr>
              <w:jc w:val="right"/>
              <w:ind w:right="142"/>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Convertible Preferred Stock</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2,850,724</w:t>
            </w:r>
          </w:p>
        </w:tc>
        <w:tc>
          <w:tcPr>
            <w:tcW w:w="880" w:type="dxa"/>
            <w:vAlign w:val="bottom"/>
            <w:tcBorders>
              <w:bottom w:val="single" w:sz="8" w:color="2C2C2C"/>
            </w:tcBorders>
          </w:tcPr>
          <w:p>
            <w:pPr>
              <w:jc w:val="right"/>
              <w:ind w:right="142"/>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Class A Common Stock</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102,368</w:t>
            </w:r>
          </w:p>
        </w:tc>
        <w:tc>
          <w:tcPr>
            <w:tcW w:w="880" w:type="dxa"/>
            <w:vAlign w:val="bottom"/>
            <w:tcBorders>
              <w:bottom w:val="single" w:sz="8" w:color="2C2C2C"/>
            </w:tcBorders>
          </w:tcPr>
          <w:p>
            <w:pPr>
              <w:jc w:val="right"/>
              <w:ind w:right="142"/>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5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880" w:type="dxa"/>
            <w:vAlign w:val="bottom"/>
            <w:tcBorders>
              <w:bottom w:val="single" w:sz="8" w:color="2C2C2C"/>
            </w:tcBorders>
          </w:tcPr>
          <w:p>
            <w:pPr>
              <w:jc w:val="right"/>
              <w:ind w:right="31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2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Class A Common Stock</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115,271</w:t>
            </w:r>
          </w:p>
        </w:tc>
        <w:tc>
          <w:tcPr>
            <w:tcW w:w="880" w:type="dxa"/>
            <w:vAlign w:val="bottom"/>
            <w:tcBorders>
              <w:bottom w:val="single" w:sz="8" w:color="2C2C2C"/>
            </w:tcBorders>
          </w:tcPr>
          <w:p>
            <w:pPr>
              <w:jc w:val="right"/>
              <w:ind w:right="142"/>
              <w:spacing w:after="0"/>
              <w:rPr>
                <w:sz w:val="20"/>
                <w:szCs w:val="20"/>
                <w:color w:val="auto"/>
              </w:rPr>
            </w:pPr>
            <w:r>
              <w:rPr>
                <w:rFonts w:ascii="Arial" w:cs="Arial" w:eastAsia="Arial" w:hAnsi="Arial"/>
                <w:sz w:val="18"/>
                <w:szCs w:val="18"/>
                <w:color w:val="0000FF"/>
              </w:rPr>
              <w:t>0.00</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Series A Preferred Stock, Series C Preferred Stock and Series D Preferred Stock will be automatically converted into one (1) share of Class B Common Stock immediately prior to the closing of the Issuer's initial public offering of Class A Common Stock (the "IPO"), and has no expiration date.</w:t>
      </w:r>
    </w:p>
    <w:p>
      <w:pPr>
        <w:spacing w:after="0" w:line="30" w:lineRule="exact"/>
        <w:rPr>
          <w:rFonts w:ascii="Arial" w:cs="Arial" w:eastAsia="Arial" w:hAnsi="Arial"/>
          <w:sz w:val="14"/>
          <w:szCs w:val="14"/>
          <w:color w:val="008000"/>
        </w:rPr>
      </w:pPr>
    </w:p>
    <w:p>
      <w:pPr>
        <w:jc w:val="both"/>
        <w:ind w:left="40" w:right="1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Following the closing of the IPO, each share of Class B Common Stock held by the Reporting Person will convert automatically into one share of Class A Common Stock upon (a) the death of the Reporting Person (if applicable),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Eric S. Yuan, (ii) six months following the date that Mr. Yuan ceases providing services to the Issuer, (iii) the date specified by the holders of a majority of the shares of Class B Common Stock, and (iv) the 15-year anniversary of the closing of the IPO.</w:t>
      </w:r>
    </w:p>
    <w:p>
      <w:pPr>
        <w:spacing w:after="0" w:line="11" w:lineRule="exact"/>
        <w:rPr>
          <w:rFonts w:ascii="Arial" w:cs="Arial" w:eastAsia="Arial" w:hAnsi="Arial"/>
          <w:sz w:val="12"/>
          <w:szCs w:val="12"/>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directly by Emergence Capital Partners III, L.P.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 w:lineRule="exact"/>
        <w:rPr>
          <w:rFonts w:ascii="Arial" w:cs="Arial" w:eastAsia="Arial" w:hAnsi="Arial"/>
          <w:sz w:val="12"/>
          <w:szCs w:val="12"/>
          <w:color w:val="008000"/>
        </w:rPr>
      </w:pPr>
    </w:p>
    <w:p>
      <w:pPr>
        <w:ind w:left="40" w:right="1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directly by EZP Opportunity, L.P. ("EZP"). The sole general partner of EZP is EEP III.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ind w:left="40" w:right="2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directly by Red Porphyry, LLC ("Red Porphyry"). Red Porphyry is filing this report solely by virtue of having appointed Emergence as its proxy with respect to the shares held directly by Red Porphyry. Such proxy is irrevocable until the earliest to occur of the six-month anniversary of the IPO, the sale of all or substantially all assets of the Issuer, or certain mergers involving the Issuer. The Reporting Person disclaims Section 16 beneficial ownership of the shares held by Red Porphyry, except to the extent, if any, of his pecuniary interest therein, and this report shall not be deemed an admission that he is the beneficial owner of such shares for Section 16 or any other purpose.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04/17/2019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05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each of Aparna Bawa, Tiffany Hui, Jon Avina, and Calise Cheng,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Zoom Video Communications,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12th day of April,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Santiago Subotovsky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Santiago Subotovsky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3806"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2019-12-24T04:24:38Z</dcterms:created>
  <dcterms:modified xsi:type="dcterms:W3CDTF">2019-12-24T04:24:38Z</dcterms:modified>
</cp:coreProperties>
</file>