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6998335" cy="5923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92328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4"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20" w:type="dxa"/>
            <w:vAlign w:val="bottom"/>
            <w:tcBorders>
              <w:top w:val="single" w:sz="8" w:color="0000EE"/>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2"/>
                <w:szCs w:val="12"/>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2"/>
                <w:szCs w:val="12"/>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124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20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0"/>
          <w:szCs w:val="20"/>
          <w:color w:val="auto"/>
        </w:rPr>
      </w:pPr>
    </w:p>
    <w:p>
      <w:pPr>
        <w:sectPr>
          <w:pgSz w:w="11900" w:h="16838" w:orient="portrait"/>
          <w:cols w:equalWidth="0" w:num="2">
            <w:col w:w="7680" w:space="63"/>
            <w:col w:w="3337"/>
          </w:cols>
          <w:pgMar w:left="460" w:top="220"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960" w:type="dxa"/>
            <w:vAlign w:val="bottom"/>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94402</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ind w:left="4040"/>
        <w:spacing w:after="0" w:line="230"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Form filed by More than One Reporting Person</w:t>
      </w:r>
    </w:p>
    <w:p>
      <w:pPr>
        <w:spacing w:after="0" w:line="406" w:lineRule="exact"/>
        <w:rPr>
          <w:sz w:val="20"/>
          <w:szCs w:val="20"/>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2"/>
          </w:tcPr>
          <w:p>
            <w:pPr>
              <w:ind w:left="840"/>
              <w:spacing w:after="0" w:line="121"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3"/>
            <w:vMerge w:val="restart"/>
          </w:tcPr>
          <w:p>
            <w:pPr>
              <w:jc w:val="right"/>
              <w:ind w:right="105"/>
              <w:spacing w:after="0"/>
              <w:rPr>
                <w:sz w:val="20"/>
                <w:szCs w:val="20"/>
                <w:color w:val="auto"/>
              </w:rPr>
            </w:pPr>
            <w:r>
              <w:rPr>
                <w:rFonts w:ascii="Arial" w:cs="Arial" w:eastAsia="Arial" w:hAnsi="Arial"/>
                <w:sz w:val="16"/>
                <w:szCs w:val="16"/>
                <w:color w:val="0000FF"/>
              </w:rPr>
              <w:t>03/05/2020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3,565,600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1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3,565,600</w:t>
            </w:r>
          </w:p>
        </w:tc>
        <w:tc>
          <w:tcPr>
            <w:tcW w:w="340" w:type="dxa"/>
            <w:vAlign w:val="bottom"/>
          </w:tcPr>
          <w:p>
            <w:pPr>
              <w:spacing w:after="0"/>
              <w:rPr>
                <w:sz w:val="20"/>
                <w:szCs w:val="20"/>
                <w:color w:val="auto"/>
              </w:rPr>
            </w:pPr>
          </w:p>
        </w:tc>
        <w:tc>
          <w:tcPr>
            <w:tcW w:w="600" w:type="dxa"/>
            <w:vAlign w:val="bottom"/>
            <w:vMerge w:val="restart"/>
          </w:tcPr>
          <w:p>
            <w:pPr>
              <w:jc w:val="center"/>
              <w:ind w:right="353"/>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3"/>
            <w:vMerge w:val="restart"/>
          </w:tcPr>
          <w:p>
            <w:pPr>
              <w:jc w:val="right"/>
              <w:ind w:right="105"/>
              <w:spacing w:after="0"/>
              <w:rPr>
                <w:sz w:val="20"/>
                <w:szCs w:val="20"/>
                <w:color w:val="auto"/>
              </w:rPr>
            </w:pPr>
            <w:r>
              <w:rPr>
                <w:rFonts w:ascii="Arial" w:cs="Arial" w:eastAsia="Arial" w:hAnsi="Arial"/>
                <w:sz w:val="16"/>
                <w:szCs w:val="16"/>
                <w:color w:val="0000FF"/>
              </w:rPr>
              <w:t>03/05/2020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07"/>
              <w:spacing w:after="0"/>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3,565,600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jc w:val="right"/>
              <w:ind w:right="1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Pr>
          <w:p>
            <w:pPr>
              <w:spacing w:after="0"/>
              <w:rPr>
                <w:sz w:val="20"/>
                <w:szCs w:val="20"/>
                <w:color w:val="auto"/>
              </w:rPr>
            </w:pPr>
          </w:p>
        </w:tc>
        <w:tc>
          <w:tcPr>
            <w:tcW w:w="700" w:type="dxa"/>
            <w:vAlign w:val="bottom"/>
            <w:vMerge w:val="restart"/>
          </w:tcPr>
          <w:p>
            <w:pPr>
              <w:jc w:val="center"/>
              <w:ind w:left="357"/>
              <w:spacing w:after="0"/>
              <w:rPr>
                <w:sz w:val="20"/>
                <w:szCs w:val="20"/>
                <w:color w:val="auto"/>
              </w:rPr>
            </w:pPr>
            <w:r>
              <w:rPr>
                <w:rFonts w:ascii="Arial" w:cs="Arial" w:eastAsia="Arial" w:hAnsi="Arial"/>
                <w:sz w:val="16"/>
                <w:szCs w:val="16"/>
                <w:color w:val="0000FF"/>
                <w:w w:val="89"/>
              </w:rPr>
              <w:t>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vMerge w:val="restart"/>
          </w:tcPr>
          <w:p>
            <w:pPr>
              <w:jc w:val="center"/>
              <w:ind w:right="353"/>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3"/>
            <w:vMerge w:val="restart"/>
          </w:tcPr>
          <w:p>
            <w:pPr>
              <w:jc w:val="right"/>
              <w:ind w:right="105"/>
              <w:spacing w:after="0"/>
              <w:rPr>
                <w:sz w:val="20"/>
                <w:szCs w:val="20"/>
                <w:color w:val="auto"/>
              </w:rPr>
            </w:pPr>
            <w:r>
              <w:rPr>
                <w:rFonts w:ascii="Arial" w:cs="Arial" w:eastAsia="Arial" w:hAnsi="Arial"/>
                <w:sz w:val="16"/>
                <w:szCs w:val="16"/>
                <w:color w:val="0000FF"/>
              </w:rPr>
              <w:t>03/05/2020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434,400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1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434,400</w:t>
            </w:r>
          </w:p>
        </w:tc>
        <w:tc>
          <w:tcPr>
            <w:tcW w:w="340" w:type="dxa"/>
            <w:vAlign w:val="bottom"/>
          </w:tcPr>
          <w:p>
            <w:pPr>
              <w:spacing w:after="0"/>
              <w:rPr>
                <w:sz w:val="20"/>
                <w:szCs w:val="20"/>
                <w:color w:val="auto"/>
              </w:rPr>
            </w:pPr>
          </w:p>
        </w:tc>
        <w:tc>
          <w:tcPr>
            <w:tcW w:w="600" w:type="dxa"/>
            <w:vAlign w:val="bottom"/>
            <w:vMerge w:val="restart"/>
          </w:tcPr>
          <w:p>
            <w:pPr>
              <w:jc w:val="center"/>
              <w:ind w:right="353"/>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3"/>
            <w:vMerge w:val="restart"/>
          </w:tcPr>
          <w:p>
            <w:pPr>
              <w:jc w:val="right"/>
              <w:ind w:right="105"/>
              <w:spacing w:after="0"/>
              <w:rPr>
                <w:sz w:val="20"/>
                <w:szCs w:val="20"/>
                <w:color w:val="auto"/>
              </w:rPr>
            </w:pPr>
            <w:r>
              <w:rPr>
                <w:rFonts w:ascii="Arial" w:cs="Arial" w:eastAsia="Arial" w:hAnsi="Arial"/>
                <w:sz w:val="16"/>
                <w:szCs w:val="16"/>
                <w:color w:val="0000FF"/>
              </w:rPr>
              <w:t>03/05/2020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07"/>
              <w:spacing w:after="0"/>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(4)(5)</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434,400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jc w:val="right"/>
              <w:ind w:right="1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Pr>
          <w:p>
            <w:pPr>
              <w:spacing w:after="0"/>
              <w:rPr>
                <w:sz w:val="20"/>
                <w:szCs w:val="20"/>
                <w:color w:val="auto"/>
              </w:rPr>
            </w:pPr>
          </w:p>
        </w:tc>
        <w:tc>
          <w:tcPr>
            <w:tcW w:w="700" w:type="dxa"/>
            <w:vAlign w:val="bottom"/>
            <w:vMerge w:val="restart"/>
          </w:tcPr>
          <w:p>
            <w:pPr>
              <w:jc w:val="center"/>
              <w:ind w:left="357"/>
              <w:spacing w:after="0"/>
              <w:rPr>
                <w:sz w:val="20"/>
                <w:szCs w:val="20"/>
                <w:color w:val="auto"/>
              </w:rPr>
            </w:pPr>
            <w:r>
              <w:rPr>
                <w:rFonts w:ascii="Arial" w:cs="Arial" w:eastAsia="Arial" w:hAnsi="Arial"/>
                <w:sz w:val="16"/>
                <w:szCs w:val="16"/>
                <w:color w:val="0000FF"/>
                <w:w w:val="89"/>
              </w:rPr>
              <w:t>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vMerge w:val="restart"/>
          </w:tcPr>
          <w:p>
            <w:pPr>
              <w:jc w:val="center"/>
              <w:ind w:right="353"/>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Borders>
              <w:top w:val="single" w:sz="8" w:color="2C2C2C"/>
              <w:bottom w:val="single" w:sz="8" w:color="2C2C2C"/>
            </w:tcBorders>
            <w:gridSpan w:val="3"/>
          </w:tcPr>
          <w:p>
            <w:pPr>
              <w:jc w:val="right"/>
              <w:ind w:right="105"/>
              <w:spacing w:after="0"/>
              <w:rPr>
                <w:sz w:val="20"/>
                <w:szCs w:val="20"/>
                <w:color w:val="auto"/>
              </w:rPr>
            </w:pPr>
            <w:r>
              <w:rPr>
                <w:rFonts w:ascii="Arial" w:cs="Arial" w:eastAsia="Arial" w:hAnsi="Arial"/>
                <w:sz w:val="16"/>
                <w:szCs w:val="16"/>
                <w:color w:val="0000FF"/>
              </w:rPr>
              <w:t>03/05/2020</w:t>
            </w:r>
          </w:p>
        </w:tc>
        <w:tc>
          <w:tcPr>
            <w:tcW w:w="10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jc w:val="center"/>
              <w:ind w:right="207"/>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(7)</w:t>
            </w:r>
          </w:p>
        </w:tc>
        <w:tc>
          <w:tcPr>
            <w:tcW w:w="96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51,856</w:t>
            </w:r>
          </w:p>
        </w:tc>
        <w:tc>
          <w:tcPr>
            <w:tcW w:w="34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bottom w:val="single" w:sz="8" w:color="2C2C2C"/>
            </w:tcBorders>
          </w:tcPr>
          <w:p>
            <w:pPr>
              <w:jc w:val="right"/>
              <w:ind w:right="1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89"/>
              </w:rPr>
              <w:t>92,445</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(8)</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w w:val="89"/>
              </w:rPr>
              <w:t>3,565,600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3"/>
                <w:szCs w:val="3"/>
                <w:color w:val="auto"/>
              </w:rPr>
            </w:pPr>
          </w:p>
        </w:tc>
        <w:tc>
          <w:tcPr>
            <w:tcW w:w="1060" w:type="dxa"/>
            <w:vAlign w:val="bottom"/>
            <w:vMerge w:val="restart"/>
          </w:tcPr>
          <w:p>
            <w:pPr>
              <w:jc w:val="right"/>
              <w:ind w:right="181"/>
              <w:spacing w:after="0" w:line="121" w:lineRule="exact"/>
              <w:rPr>
                <w:sz w:val="20"/>
                <w:szCs w:val="20"/>
                <w:color w:val="auto"/>
              </w:rPr>
            </w:pPr>
            <w:r>
              <w:rPr>
                <w:rFonts w:ascii="Arial" w:cs="Arial" w:eastAsia="Arial" w:hAnsi="Arial"/>
                <w:sz w:val="12"/>
                <w:szCs w:val="12"/>
                <w:color w:val="0000FF"/>
              </w:rPr>
              <w:t>03/05/2020</w:t>
            </w: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43"/>
              <w:spacing w:after="0" w:line="121" w:lineRule="exact"/>
              <w:rPr>
                <w:sz w:val="20"/>
                <w:szCs w:val="20"/>
                <w:color w:val="auto"/>
              </w:rPr>
            </w:pPr>
            <w:r>
              <w:rPr>
                <w:rFonts w:ascii="Arial" w:cs="Arial" w:eastAsia="Arial" w:hAnsi="Arial"/>
                <w:sz w:val="12"/>
                <w:szCs w:val="12"/>
                <w:color w:val="0000FF"/>
              </w:rPr>
              <w:t>3,565,600</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ind w:left="80"/>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jc w:val="right"/>
              <w:ind w:right="84"/>
              <w:spacing w:after="0" w:line="121" w:lineRule="exact"/>
              <w:rPr>
                <w:sz w:val="20"/>
                <w:szCs w:val="20"/>
                <w:color w:val="auto"/>
              </w:rPr>
            </w:pPr>
            <w:r>
              <w:rPr>
                <w:rFonts w:ascii="Arial" w:cs="Arial" w:eastAsia="Arial" w:hAnsi="Arial"/>
                <w:sz w:val="12"/>
                <w:szCs w:val="12"/>
                <w:color w:val="0000FF"/>
              </w:rPr>
              <w:t>19,601,268</w:t>
            </w:r>
          </w:p>
        </w:tc>
        <w:tc>
          <w:tcPr>
            <w:tcW w:w="600" w:type="dxa"/>
            <w:vAlign w:val="bottom"/>
            <w:vMerge w:val="restart"/>
          </w:tcPr>
          <w:p>
            <w:pPr>
              <w:ind w:left="360"/>
              <w:spacing w:after="0" w:line="121"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80"/>
              <w:spacing w:after="0" w:line="76" w:lineRule="exact"/>
              <w:rPr>
                <w:sz w:val="20"/>
                <w:szCs w:val="20"/>
                <w:color w:val="auto"/>
              </w:rPr>
            </w:pPr>
            <w:r>
              <w:rPr>
                <w:rFonts w:ascii="Arial" w:cs="Arial" w:eastAsia="Arial" w:hAnsi="Arial"/>
                <w:sz w:val="8"/>
                <w:szCs w:val="8"/>
                <w:color w:val="008000"/>
              </w:rPr>
              <w:t>(3)</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9"/>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(8)</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right"/>
              <w:ind w:right="48"/>
              <w:spacing w:after="0"/>
              <w:rPr>
                <w:sz w:val="20"/>
                <w:szCs w:val="20"/>
                <w:color w:val="auto"/>
              </w:rPr>
            </w:pPr>
            <w:r>
              <w:rPr>
                <w:rFonts w:ascii="Arial" w:cs="Arial" w:eastAsia="Arial" w:hAnsi="Arial"/>
                <w:sz w:val="16"/>
                <w:szCs w:val="16"/>
                <w:color w:val="0000FF"/>
              </w:rPr>
              <w:t>434,400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3"/>
                <w:szCs w:val="3"/>
                <w:color w:val="auto"/>
              </w:rPr>
            </w:pPr>
          </w:p>
        </w:tc>
        <w:tc>
          <w:tcPr>
            <w:tcW w:w="1060" w:type="dxa"/>
            <w:vAlign w:val="bottom"/>
            <w:vMerge w:val="restart"/>
          </w:tcPr>
          <w:p>
            <w:pPr>
              <w:jc w:val="right"/>
              <w:ind w:right="181"/>
              <w:spacing w:after="0" w:line="121" w:lineRule="exact"/>
              <w:rPr>
                <w:sz w:val="20"/>
                <w:szCs w:val="20"/>
                <w:color w:val="auto"/>
              </w:rPr>
            </w:pPr>
            <w:r>
              <w:rPr>
                <w:rFonts w:ascii="Arial" w:cs="Arial" w:eastAsia="Arial" w:hAnsi="Arial"/>
                <w:sz w:val="12"/>
                <w:szCs w:val="12"/>
                <w:color w:val="0000FF"/>
              </w:rPr>
              <w:t>03/05/2020</w:t>
            </w: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83"/>
              <w:spacing w:after="0" w:line="121" w:lineRule="exact"/>
              <w:rPr>
                <w:sz w:val="20"/>
                <w:szCs w:val="20"/>
                <w:color w:val="auto"/>
              </w:rPr>
            </w:pPr>
            <w:r>
              <w:rPr>
                <w:rFonts w:ascii="Arial" w:cs="Arial" w:eastAsia="Arial" w:hAnsi="Arial"/>
                <w:sz w:val="12"/>
                <w:szCs w:val="12"/>
                <w:color w:val="0000FF"/>
              </w:rPr>
              <w:t>434,400</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ind w:left="80"/>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jc w:val="right"/>
              <w:ind w:right="124"/>
              <w:spacing w:after="0" w:line="121" w:lineRule="exact"/>
              <w:rPr>
                <w:sz w:val="20"/>
                <w:szCs w:val="20"/>
                <w:color w:val="auto"/>
              </w:rPr>
            </w:pPr>
            <w:r>
              <w:rPr>
                <w:rFonts w:ascii="Arial" w:cs="Arial" w:eastAsia="Arial" w:hAnsi="Arial"/>
                <w:sz w:val="12"/>
                <w:szCs w:val="12"/>
                <w:color w:val="0000FF"/>
              </w:rPr>
              <w:t>2,387,557</w:t>
            </w:r>
          </w:p>
        </w:tc>
        <w:tc>
          <w:tcPr>
            <w:tcW w:w="600" w:type="dxa"/>
            <w:vAlign w:val="bottom"/>
            <w:vMerge w:val="restart"/>
          </w:tcPr>
          <w:p>
            <w:pPr>
              <w:ind w:left="360"/>
              <w:spacing w:after="0" w:line="121"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80"/>
              <w:spacing w:after="0" w:line="76" w:lineRule="exact"/>
              <w:rPr>
                <w:sz w:val="20"/>
                <w:szCs w:val="20"/>
                <w:color w:val="auto"/>
              </w:rPr>
            </w:pPr>
            <w:r>
              <w:rPr>
                <w:rFonts w:ascii="Arial" w:cs="Arial" w:eastAsia="Arial" w:hAnsi="Arial"/>
                <w:sz w:val="8"/>
                <w:szCs w:val="8"/>
                <w:color w:val="008000"/>
              </w:rPr>
              <w:t>(6)</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9"/>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220" w:hanging="3"/>
        <w:spacing w:after="0" w:line="249"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5,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 general partner, Emergence Equity Partners III, L.P. ("EEP III"), in accordance with the exemption under Rule 16a-9(a) and Rule 16a-13 of the Securities Exchange Act of 1934, as amended. Of the distributed shares, 891,400 shares were distributed pursuant to a 10b5-1 plan adopted by Emergence on September 27, 2019.</w:t>
      </w:r>
    </w:p>
    <w:p>
      <w:pPr>
        <w:spacing w:after="0" w:line="24" w:lineRule="exact"/>
        <w:rPr>
          <w:rFonts w:ascii="Arial" w:cs="Arial" w:eastAsia="Arial" w:hAnsi="Arial"/>
          <w:sz w:val="12"/>
          <w:szCs w:val="12"/>
          <w:color w:val="008000"/>
        </w:rPr>
      </w:pPr>
    </w:p>
    <w:p>
      <w:pPr>
        <w:ind w:left="40" w:right="16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Upon receipt by EEP III of its pro rata interest of the distribution (777,391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18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2" w:lineRule="exact"/>
        <w:rPr>
          <w:rFonts w:ascii="Arial" w:cs="Arial" w:eastAsia="Arial" w:hAnsi="Arial"/>
          <w:sz w:val="12"/>
          <w:szCs w:val="12"/>
          <w:color w:val="008000"/>
        </w:rPr>
      </w:pPr>
    </w:p>
    <w:p>
      <w:pPr>
        <w:ind w:left="40" w:right="300" w:hanging="3"/>
        <w:spacing w:after="0" w:line="288"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5,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limited partners, in accordance with the exemption under Rule 16a-9(a) and Rule 16a-13 of the Securities Exchange Act of 1934, as amended. Of the distributed shares, 108,600 shares were distributed pursuant to a 10b5-1 plan adopted by EZP on September 27, 2019.</w:t>
      </w:r>
    </w:p>
    <w:p>
      <w:pPr>
        <w:spacing w:after="0" w:line="5" w:lineRule="exact"/>
        <w:rPr>
          <w:rFonts w:ascii="Arial" w:cs="Arial" w:eastAsia="Arial" w:hAnsi="Arial"/>
          <w:sz w:val="11"/>
          <w:szCs w:val="11"/>
          <w:color w:val="008000"/>
        </w:rPr>
      </w:pPr>
    </w:p>
    <w:p>
      <w:pPr>
        <w:ind w:left="40" w:right="22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Upon receipt by EEP III of its pro rata interest of the distribution (86,880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400" w:hanging="3"/>
        <w:spacing w:after="0" w:line="30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receipt of shares of Class A Common Stock of the Issuer by virtue of the pro rata distributions described above.</w:t>
      </w:r>
    </w:p>
    <w:p>
      <w:pPr>
        <w:spacing w:after="0" w:line="48" w:lineRule="exact"/>
        <w:rPr>
          <w:rFonts w:ascii="Arial" w:cs="Arial" w:eastAsia="Arial" w:hAnsi="Arial"/>
          <w:sz w:val="12"/>
          <w:szCs w:val="12"/>
          <w:color w:val="008000"/>
        </w:rPr>
      </w:pPr>
    </w:p>
    <w:p>
      <w:pPr>
        <w:ind w:left="40" w:right="140" w:hanging="3"/>
        <w:spacing w:after="0" w:line="246"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Arial" w:cs="Arial" w:eastAsia="Arial" w:hAnsi="Arial"/>
                <w:sz w:val="16"/>
                <w:szCs w:val="16"/>
                <w:color w:val="0000FF"/>
                <w:w w:val="98"/>
              </w:rPr>
              <w:t>/s/ Aparna Bawa, Attorney-in-</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03/09/2020</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79" w:lineRule="exact"/>
              <w:rPr>
                <w:sz w:val="20"/>
                <w:szCs w:val="20"/>
                <w:color w:val="auto"/>
              </w:rPr>
            </w:pPr>
            <w:r>
              <w:rPr>
                <w:rFonts w:ascii="Arial" w:cs="Arial" w:eastAsia="Arial" w:hAnsi="Arial"/>
                <w:sz w:val="16"/>
                <w:szCs w:val="16"/>
                <w:color w:val="0000FF"/>
                <w:w w:val="83"/>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2020-03-09T17:33:09Z</dcterms:created>
  <dcterms:modified xsi:type="dcterms:W3CDTF">2020-03-09T17:33:09Z</dcterms:modified>
</cp:coreProperties>
</file>