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Zoom Video Communications,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60" w:type="dxa"/>
            <w:vAlign w:val="bottom"/>
          </w:tcPr>
          <w:p>
            <w:pPr>
              <w:jc w:val="center"/>
              <w:ind w:right="229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001-38865</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61-1648780</w:t>
            </w:r>
          </w:p>
        </w:tc>
      </w:tr>
      <w:tr>
        <w:trPr>
          <w:trHeight w:val="148"/>
        </w:trPr>
        <w:tc>
          <w:tcPr>
            <w:tcW w:w="406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6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60" w:type="dxa"/>
            <w:vAlign w:val="bottom"/>
          </w:tcPr>
          <w:p>
            <w:pPr>
              <w:jc w:val="center"/>
              <w:ind w:left="1199"/>
              <w:spacing w:after="0"/>
              <w:rPr>
                <w:sz w:val="20"/>
                <w:szCs w:val="20"/>
                <w:color w:val="auto"/>
              </w:rPr>
            </w:pPr>
            <w:r>
              <w:rPr>
                <w:rFonts w:ascii="Arial" w:cs="Arial" w:eastAsia="Arial" w:hAnsi="Arial"/>
                <w:sz w:val="18"/>
                <w:szCs w:val="18"/>
                <w:b w:val="1"/>
                <w:bCs w:val="1"/>
                <w:color w:val="auto"/>
                <w:w w:val="91"/>
              </w:rPr>
              <w:t>55 Almaden Boulevard, 6</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60" w:type="dxa"/>
            <w:vAlign w:val="bottom"/>
          </w:tcPr>
          <w:p>
            <w:pPr>
              <w:jc w:val="center"/>
              <w:ind w:left="1199"/>
              <w:spacing w:after="0"/>
              <w:rPr>
                <w:sz w:val="20"/>
                <w:szCs w:val="20"/>
                <w:color w:val="auto"/>
              </w:rPr>
            </w:pPr>
            <w:r>
              <w:rPr>
                <w:rFonts w:ascii="Arial" w:cs="Arial" w:eastAsia="Arial" w:hAnsi="Arial"/>
                <w:sz w:val="18"/>
                <w:szCs w:val="18"/>
                <w:b w:val="1"/>
                <w:bCs w:val="1"/>
                <w:color w:val="auto"/>
                <w:w w:val="89"/>
              </w:rPr>
              <w:t>San Jose, California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95113</w:t>
            </w:r>
          </w:p>
        </w:tc>
      </w:tr>
      <w:tr>
        <w:trPr>
          <w:trHeight w:val="186"/>
        </w:trPr>
        <w:tc>
          <w:tcPr>
            <w:tcW w:w="4060" w:type="dxa"/>
            <w:vAlign w:val="bottom"/>
          </w:tcPr>
          <w:p>
            <w:pPr>
              <w:jc w:val="center"/>
              <w:ind w:left="1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ZM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12, 2021, Zoom Video Communications,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entered into an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with J.P. Morgan Securities LLC (the “</w:t>
      </w:r>
      <w:r>
        <w:rPr>
          <w:rFonts w:ascii="Arial" w:cs="Arial" w:eastAsia="Arial" w:hAnsi="Arial"/>
          <w:sz w:val="17"/>
          <w:szCs w:val="17"/>
          <w:b w:val="1"/>
          <w:bCs w:val="1"/>
          <w:i w:val="1"/>
          <w:iCs w:val="1"/>
          <w:color w:val="auto"/>
        </w:rPr>
        <w:t>Underwriter</w:t>
      </w:r>
      <w:r>
        <w:rPr>
          <w:rFonts w:ascii="Arial" w:cs="Arial" w:eastAsia="Arial" w:hAnsi="Arial"/>
          <w:sz w:val="17"/>
          <w:szCs w:val="17"/>
          <w:color w:val="auto"/>
        </w:rPr>
        <w:t>”), relating to the public offering, issuance and sale of 5,147,059 shares of its Class A common stock, par value $0.001 per share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The price to the public in the offering is $340.00 per share of Class A Common Stock. Under the terms of the Underwriting Agreement, the Company also granted the Underwriter an option exercisable for 30 days to purchase up to an additional 735,294 shares of Class A Common Stock at the public offering price, less underwriting discounts and commissions. The gross proceeds to the Company from the offering are expected to be approximately $1.75 billion, before deducting underwriting discounts and commissions and other estimated offering expenses, or approximately $2.0 billion if the Underwriter exercises in full its option to purchase additional shares. The offering is expected to close on January 15, 2021, subject to customary closing conditions.</w:t>
      </w:r>
    </w:p>
    <w:p>
      <w:pPr>
        <w:spacing w:after="0" w:line="178"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including being qualified by confidential disclosures exchanged between the parties in connection with the execution of the Underwriting Agreement.</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offering is being made pursuant to the Company’s registration statement on Form S-3 (File No. 333-252035) and an accompanying prospectus previously 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a preliminary and final prospectus supplement thereunder. The Underwriting Agreement is filed as Exhibit 1.1 hereto, and the description of the material terms of the Underwriting Agreement is qualified in its entirety by reference to such exhibit. A copy of the opinion of Cooley LLP relating to the legality of the issuance and sale of the shares in the offering is attached as Exhibit 5.1 hereto.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Updated Company Disclosures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is filing information for the purpose of updating the risk factor disclosure contained in its prior public filings, including those discussed under the heading “Item 1A. Risk Factors” in its Quarterly Report on Form 10-Q for the quarter ended October 31, 2020, filed with the SEC on December 4, 2020 (the “</w:t>
      </w:r>
      <w:r>
        <w:rPr>
          <w:rFonts w:ascii="Arial" w:cs="Arial" w:eastAsia="Arial" w:hAnsi="Arial"/>
          <w:sz w:val="17"/>
          <w:szCs w:val="17"/>
          <w:b w:val="1"/>
          <w:bCs w:val="1"/>
          <w:i w:val="1"/>
          <w:iCs w:val="1"/>
          <w:color w:val="auto"/>
        </w:rPr>
        <w:t>Quarterly Report</w:t>
      </w:r>
      <w:r>
        <w:rPr>
          <w:rFonts w:ascii="Arial" w:cs="Arial" w:eastAsia="Arial" w:hAnsi="Arial"/>
          <w:sz w:val="17"/>
          <w:szCs w:val="17"/>
          <w:color w:val="auto"/>
        </w:rPr>
        <w:t>”), as well as the section titled “Selected Risks Affecting Our Business” appearing in the Quarterly Report. The updated Company disclosures are filed herewith as Exhibit 99.1 and are incorporated herein by reference.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720" w:type="dxa"/>
            <w:vAlign w:val="bottom"/>
            <w:gridSpan w:val="4"/>
          </w:tcPr>
          <w:p>
            <w:pPr>
              <w:ind w:left="2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73"/>
        </w:trPr>
        <w:tc>
          <w:tcPr>
            <w:tcW w:w="104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167"/>
        </w:trPr>
        <w:tc>
          <w:tcPr>
            <w:tcW w:w="500" w:type="dxa"/>
            <w:vAlign w:val="bottom"/>
          </w:tcPr>
          <w:p>
            <w:pPr>
              <w:jc w:val="right"/>
              <w:ind w:right="55"/>
              <w:spacing w:after="0"/>
              <w:rPr>
                <w:sz w:val="20"/>
                <w:szCs w:val="20"/>
                <w:color w:val="auto"/>
              </w:rPr>
            </w:pPr>
            <w:r>
              <w:rPr>
                <w:rFonts w:ascii="Arial" w:cs="Arial" w:eastAsia="Arial" w:hAnsi="Arial"/>
                <w:sz w:val="14"/>
                <w:szCs w:val="14"/>
                <w:color w:val="auto"/>
              </w:rPr>
              <w:t>No.</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40" w:type="dxa"/>
            <w:vAlign w:val="bottom"/>
            <w:gridSpan w:val="3"/>
          </w:tcPr>
          <w:p>
            <w:pPr>
              <w:ind w:left="4260"/>
              <w:spacing w:after="0"/>
              <w:rPr>
                <w:sz w:val="20"/>
                <w:szCs w:val="20"/>
                <w:color w:val="auto"/>
              </w:rPr>
            </w:pPr>
            <w:r>
              <w:rPr>
                <w:rFonts w:ascii="Arial" w:cs="Arial" w:eastAsia="Arial" w:hAnsi="Arial"/>
                <w:sz w:val="14"/>
                <w:szCs w:val="14"/>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77"/>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97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Underwriting Agreement, dated as of January 12, 2021, by and between Zoom Video Communications, Inc. and J.P. Morgan Securities</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LLC.</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340" w:type="dxa"/>
            <w:vAlign w:val="bottom"/>
            <w:gridSpan w:val="3"/>
          </w:tcPr>
          <w:p>
            <w:pPr>
              <w:spacing w:after="0" w:line="20" w:lineRule="exact"/>
              <w:rPr>
                <w:sz w:val="1"/>
                <w:szCs w:val="1"/>
                <w:color w:val="auto"/>
              </w:rPr>
            </w:pPr>
          </w:p>
        </w:tc>
      </w:tr>
      <w:tr>
        <w:trPr>
          <w:trHeight w:val="345"/>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720" w:type="dxa"/>
            <w:vAlign w:val="bottom"/>
            <w:gridSpan w:val="4"/>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Opinion of Cooley LLP.</w:t>
              </w:r>
            </w:hyperlink>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9720" w:type="dxa"/>
            <w:vAlign w:val="bottom"/>
            <w:gridSpan w:val="4"/>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Consent of Cooley LLP (contained in Exhibit 5.1).</w:t>
              </w:r>
            </w:hyperlink>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72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Updated Company Disclosures.</w:t>
              </w:r>
            </w:hyperlink>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This Current Report on Form 8-K contains forward-looking statements, including, without limitation, statements relating to the closing of the public offering. These forward-looking statements are based upon the Company’s current expectations. Actual results could differ materially from these forward-looking statements as a result of certain factors, including, without limitation, risks related to market conditions and the satisfaction of customary closing conditions related to the public offering. There can be no assurance that the Company will be able to complete the public offering</w:t>
      </w:r>
    </w:p>
    <w:p>
      <w:pPr>
        <w:sectPr>
          <w:pgSz w:w="11900" w:h="16838" w:orient="portrait"/>
          <w:cols w:equalWidth="0" w:num="1">
            <w:col w:w="11000"/>
          </w:cols>
          <w:pgMar w:left="440" w:top="270" w:right="45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the anticipated terms, or at all. For a discussion of other risks and uncertainties, and other important factors, any of which could cause the Company’s actual results to differ from those contained in the forward-looking statements, see the section titled “Risk Factors” in Exhibit 99.1 hereto. Except as required by law, the Company assumes no obligation to update these forward-looking statements, or to update the reasons if actual results differ materially from those anticipated in the forward-looking statements.</w:t>
      </w:r>
    </w:p>
    <w:p>
      <w:pPr>
        <w:sectPr>
          <w:pgSz w:w="11900" w:h="16838" w:orient="portrait"/>
          <w:cols w:equalWidth="0" w:num="1">
            <w:col w:w="10980"/>
          </w:cols>
          <w:pgMar w:left="440" w:top="274" w:right="47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ZOOM VIDEO COMMUNICATIONS,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13, 2021</w:t>
      </w:r>
    </w:p>
    <w:p>
      <w:pPr>
        <w:spacing w:after="0" w:line="117"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Kelly Steckelberg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20"/>
          </w:cols>
          <w:pgMar w:left="4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5,147,059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12, 2021</w:t>
      </w:r>
    </w:p>
    <w:p>
      <w:pPr>
        <w:sectPr>
          <w:pgSz w:w="11900" w:h="16838" w:orient="portrait"/>
          <w:cols w:equalWidth="0" w:num="1">
            <w:col w:w="11020"/>
          </w:cols>
          <w:pgMar w:left="440" w:top="121" w:right="439" w:bottom="1440" w:gutter="0" w:footer="0" w:header="0"/>
        </w:sectPr>
      </w:pPr>
    </w:p>
    <w:bookmarkStart w:id="5" w:name="page6"/>
    <w:bookmarkEnd w:id="5"/>
    <w:p>
      <w:pPr>
        <w:ind w:left="7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January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40" w:firstLine="440"/>
        <w:spacing w:after="0" w:line="312" w:lineRule="auto"/>
        <w:rPr>
          <w:sz w:val="20"/>
          <w:szCs w:val="20"/>
          <w:color w:val="auto"/>
        </w:rPr>
      </w:pPr>
      <w:r>
        <w:rPr>
          <w:rFonts w:ascii="Arial" w:cs="Arial" w:eastAsia="Arial" w:hAnsi="Arial"/>
          <w:sz w:val="17"/>
          <w:szCs w:val="17"/>
          <w:color w:val="auto"/>
        </w:rPr>
        <w:t>Zoom Video Communications,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J.P. Morgan Securities LLC (the “</w:t>
      </w:r>
      <w:r>
        <w:rPr>
          <w:rFonts w:ascii="Arial" w:cs="Arial" w:eastAsia="Arial" w:hAnsi="Arial"/>
          <w:sz w:val="17"/>
          <w:szCs w:val="17"/>
          <w:b w:val="1"/>
          <w:bCs w:val="1"/>
          <w:color w:val="auto"/>
        </w:rPr>
        <w:t>Underwriter</w:t>
      </w:r>
      <w:r>
        <w:rPr>
          <w:rFonts w:ascii="Arial" w:cs="Arial" w:eastAsia="Arial" w:hAnsi="Arial"/>
          <w:sz w:val="17"/>
          <w:szCs w:val="17"/>
          <w:color w:val="auto"/>
        </w:rPr>
        <w:t>”) 5,147,059 shares of the Class A common stock, $0.001 par value per share, of the Company (the “</w:t>
      </w:r>
      <w:r>
        <w:rPr>
          <w:rFonts w:ascii="Arial" w:cs="Arial" w:eastAsia="Arial" w:hAnsi="Arial"/>
          <w:sz w:val="17"/>
          <w:szCs w:val="17"/>
          <w:b w:val="1"/>
          <w:bCs w:val="1"/>
          <w:color w:val="auto"/>
        </w:rPr>
        <w:t>Firm Shares</w:t>
      </w:r>
      <w:r>
        <w:rPr>
          <w:rFonts w:ascii="Arial" w:cs="Arial" w:eastAsia="Arial" w:hAnsi="Arial"/>
          <w:sz w:val="17"/>
          <w:szCs w:val="17"/>
          <w:color w:val="auto"/>
        </w:rPr>
        <w:t>”).</w:t>
      </w:r>
    </w:p>
    <w:p>
      <w:pPr>
        <w:spacing w:after="0" w:line="144"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The Company also proposes to issue and sell to the Underwriter not more than an additional 735,294 shares of its Class A common stock, $0.001 par value per share (the “</w:t>
      </w:r>
      <w:r>
        <w:rPr>
          <w:rFonts w:ascii="Arial" w:cs="Arial" w:eastAsia="Arial" w:hAnsi="Arial"/>
          <w:sz w:val="16"/>
          <w:szCs w:val="16"/>
          <w:b w:val="1"/>
          <w:bCs w:val="1"/>
          <w:color w:val="auto"/>
        </w:rPr>
        <w:t>Additional Shares</w:t>
      </w:r>
      <w:r>
        <w:rPr>
          <w:rFonts w:ascii="Arial" w:cs="Arial" w:eastAsia="Arial" w:hAnsi="Arial"/>
          <w:sz w:val="16"/>
          <w:szCs w:val="16"/>
          <w:color w:val="auto"/>
        </w:rPr>
        <w:t>”), if and to the extent that the Underwriter shall have determined to exercise the right to purchase such shares of common stock granted to the Underwriter in Section 2 hereof.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shares of Class A common stock, $0.001 par value per share, of the Company are hereinafter referred to as the “</w:t>
      </w:r>
      <w:r>
        <w:rPr>
          <w:rFonts w:ascii="Arial" w:cs="Arial" w:eastAsia="Arial" w:hAnsi="Arial"/>
          <w:sz w:val="16"/>
          <w:szCs w:val="16"/>
          <w:b w:val="1"/>
          <w:bCs w:val="1"/>
          <w:color w:val="auto"/>
        </w:rPr>
        <w:t>Class A</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w:t>
      </w:r>
      <w:r>
        <w:rPr>
          <w:rFonts w:ascii="Arial" w:cs="Arial" w:eastAsia="Arial" w:hAnsi="Arial"/>
          <w:sz w:val="16"/>
          <w:szCs w:val="16"/>
          <w:color w:val="auto"/>
        </w:rPr>
        <w:t>.” The shares of Class B common stock, $0.001 par value per share, of the Company are hereinafter referred to as the “</w:t>
      </w:r>
      <w:r>
        <w:rPr>
          <w:rFonts w:ascii="Arial" w:cs="Arial" w:eastAsia="Arial" w:hAnsi="Arial"/>
          <w:sz w:val="16"/>
          <w:szCs w:val="16"/>
          <w:b w:val="1"/>
          <w:bCs w:val="1"/>
          <w:color w:val="auto"/>
        </w:rPr>
        <w:t>Class B Common Stock</w:t>
      </w:r>
      <w:r>
        <w:rPr>
          <w:rFonts w:ascii="Arial" w:cs="Arial" w:eastAsia="Arial" w:hAnsi="Arial"/>
          <w:sz w:val="16"/>
          <w:szCs w:val="16"/>
          <w:color w:val="auto"/>
        </w:rPr>
        <w:t>.” The Class A Common Stock and the Class B Common Stock are hereinafter collectively referred to as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6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(File No. 333-252035) on Form S-3, relating to securities (the “</w:t>
      </w:r>
      <w:r>
        <w:rPr>
          <w:rFonts w:ascii="Arial" w:cs="Arial" w:eastAsia="Arial" w:hAnsi="Arial"/>
          <w:sz w:val="17"/>
          <w:szCs w:val="17"/>
          <w:b w:val="1"/>
          <w:bCs w:val="1"/>
          <w:color w:val="auto"/>
        </w:rPr>
        <w:t>Shelf Securities</w:t>
      </w:r>
      <w:r>
        <w:rPr>
          <w:rFonts w:ascii="Arial" w:cs="Arial" w:eastAsia="Arial" w:hAnsi="Arial"/>
          <w:sz w:val="17"/>
          <w:szCs w:val="17"/>
          <w:color w:val="auto"/>
        </w:rPr>
        <w:t>”), including the Shares, to be issued from time to time by the Company. The registration statement as amended at date of 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including the information (if any) deemed to be part of the registration statement at the time of effectiveness pursuant to Rule 430A or Rule 430B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covering the Shelf Securities dated January 12, 2021 in the form first used to confirm sales of Shares (or in the form first made available to the Underwriter by the Company to meet requests of purchasers pursuant to Rule 173 under the Securities Act) is hereinafter referred to as the “</w:t>
      </w:r>
      <w:r>
        <w:rPr>
          <w:rFonts w:ascii="Arial" w:cs="Arial" w:eastAsia="Arial" w:hAnsi="Arial"/>
          <w:sz w:val="17"/>
          <w:szCs w:val="17"/>
          <w:b w:val="1"/>
          <w:bCs w:val="1"/>
          <w:color w:val="auto"/>
        </w:rPr>
        <w:t>Basic Prospectus</w:t>
      </w:r>
      <w:r>
        <w:rPr>
          <w:rFonts w:ascii="Arial" w:cs="Arial" w:eastAsia="Arial" w:hAnsi="Arial"/>
          <w:sz w:val="17"/>
          <w:szCs w:val="17"/>
          <w:color w:val="auto"/>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and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any preliminary form of the Prospectus.</w:t>
      </w:r>
    </w:p>
    <w:p>
      <w:pPr>
        <w:sectPr>
          <w:pgSz w:w="11900" w:h="16838" w:orient="portrait"/>
          <w:cols w:equalWidth="0" w:num="1">
            <w:col w:w="11000"/>
          </w:cols>
          <w:pgMar w:left="440" w:top="274" w:right="459" w:bottom="1440" w:gutter="0" w:footer="0" w:header="0"/>
        </w:sectPr>
      </w:pPr>
    </w:p>
    <w:bookmarkStart w:id="6" w:name="page7"/>
    <w:bookmarkEnd w:id="6"/>
    <w:p>
      <w:pPr>
        <w:ind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w:t>
      </w:r>
      <w:r>
        <w:rPr>
          <w:rFonts w:ascii="Arial" w:cs="Arial" w:eastAsia="Arial" w:hAnsi="Arial"/>
          <w:sz w:val="16"/>
          <w:szCs w:val="16"/>
          <w:b w:val="1"/>
          <w:bCs w:val="1"/>
          <w:color w:val="auto"/>
        </w:rPr>
        <w:t>Time of Sale</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the preliminary prospectus identified on Schedule I hereto together with the documents and pricing information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I hereto, and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as of the date hereof. The terms “</w:t>
      </w:r>
      <w:r>
        <w:rPr>
          <w:rFonts w:ascii="Arial" w:cs="Arial" w:eastAsia="Arial" w:hAnsi="Arial"/>
          <w:sz w:val="16"/>
          <w:szCs w:val="16"/>
          <w:b w:val="1"/>
          <w:bCs w:val="1"/>
          <w:color w:val="auto"/>
        </w:rPr>
        <w:t>supplement,</w:t>
      </w:r>
      <w:r>
        <w:rPr>
          <w:rFonts w:ascii="Arial" w:cs="Arial" w:eastAsia="Arial" w:hAnsi="Arial"/>
          <w:sz w:val="16"/>
          <w:szCs w:val="16"/>
          <w:color w:val="auto"/>
        </w:rPr>
        <w:t>” “</w:t>
      </w:r>
      <w:r>
        <w:rPr>
          <w:rFonts w:ascii="Arial" w:cs="Arial" w:eastAsia="Arial" w:hAnsi="Arial"/>
          <w:sz w:val="16"/>
          <w:szCs w:val="16"/>
          <w:b w:val="1"/>
          <w:bCs w:val="1"/>
          <w:color w:val="auto"/>
        </w:rPr>
        <w:t>amendment</w:t>
      </w:r>
      <w:r>
        <w:rPr>
          <w:rFonts w:ascii="Arial" w:cs="Arial" w:eastAsia="Arial" w:hAnsi="Arial"/>
          <w:sz w:val="16"/>
          <w:szCs w:val="16"/>
          <w:color w:val="auto"/>
        </w:rPr>
        <w:t>” and “</w:t>
      </w:r>
      <w:r>
        <w:rPr>
          <w:rFonts w:ascii="Arial" w:cs="Arial" w:eastAsia="Arial" w:hAnsi="Arial"/>
          <w:sz w:val="16"/>
          <w:szCs w:val="16"/>
          <w:b w:val="1"/>
          <w:bCs w:val="1"/>
          <w:color w:val="auto"/>
        </w:rPr>
        <w:t>amend</w:t>
      </w:r>
      <w:r>
        <w:rPr>
          <w:rFonts w:ascii="Arial" w:cs="Arial" w:eastAsia="Arial" w:hAnsi="Arial"/>
          <w:sz w:val="16"/>
          <w:szCs w:val="16"/>
          <w:color w:val="auto"/>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that are deemed to be incorporated by reference therein.</w:t>
      </w:r>
    </w:p>
    <w:p>
      <w:pPr>
        <w:spacing w:after="0" w:line="163" w:lineRule="exact"/>
        <w:rPr>
          <w:sz w:val="20"/>
          <w:szCs w:val="20"/>
          <w:color w:val="auto"/>
        </w:rPr>
      </w:pPr>
    </w:p>
    <w:p>
      <w:pPr>
        <w:ind w:left="760" w:hanging="324"/>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The Company represents and warrants to and agrees with the Underwriter that:</w:t>
      </w:r>
    </w:p>
    <w:p>
      <w:pPr>
        <w:spacing w:after="0" w:line="128" w:lineRule="exact"/>
        <w:rPr>
          <w:rFonts w:ascii="Arial" w:cs="Arial" w:eastAsia="Arial" w:hAnsi="Arial"/>
          <w:sz w:val="17"/>
          <w:szCs w:val="17"/>
          <w:color w:val="auto"/>
        </w:rPr>
      </w:pPr>
    </w:p>
    <w:p>
      <w:pPr>
        <w:ind w:left="440" w:firstLine="419"/>
        <w:spacing w:after="0" w:line="275" w:lineRule="auto"/>
        <w:tabs>
          <w:tab w:leader="none" w:pos="1239"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No stop order suspending the effectiveness of the Registration Statement is in effect, and no proceedings for such purpose are pending before or, to the Company’s knowledge, threatened by the Commission.</w:t>
      </w:r>
    </w:p>
    <w:p>
      <w:pPr>
        <w:spacing w:after="0" w:line="68" w:lineRule="exact"/>
        <w:rPr>
          <w:rFonts w:ascii="Arial" w:cs="Arial" w:eastAsia="Arial" w:hAnsi="Arial"/>
          <w:sz w:val="17"/>
          <w:szCs w:val="17"/>
          <w:color w:val="auto"/>
        </w:rPr>
      </w:pPr>
    </w:p>
    <w:p>
      <w:pPr>
        <w:ind w:left="440" w:firstLine="419"/>
        <w:spacing w:after="0" w:line="288" w:lineRule="auto"/>
        <w:tabs>
          <w:tab w:leader="none" w:pos="1253" w:val="left"/>
        </w:tabs>
        <w:numPr>
          <w:ilvl w:val="1"/>
          <w:numId w:val="2"/>
        </w:numPr>
        <w:rPr>
          <w:rFonts w:ascii="Arial" w:cs="Arial" w:eastAsia="Arial" w:hAnsi="Arial"/>
          <w:sz w:val="16"/>
          <w:szCs w:val="16"/>
          <w:color w:val="auto"/>
        </w:rPr>
      </w:pPr>
      <w:r>
        <w:rPr>
          <w:rFonts w:ascii="Arial" w:cs="Arial" w:eastAsia="Arial" w:hAnsi="Arial"/>
          <w:sz w:val="16"/>
          <w:szCs w:val="16"/>
          <w:color w:val="auto"/>
        </w:rPr>
        <w:t>(i) Each part of the Registration Statement, when such part became effective, did not contain and each such part, as amended or supplemented, if applicable, will not contain, as of the date of such amendment or supplement, any untrue statement of a material fact or omit to state a material fact required to be stated therein or necessary to make the statements therein not misleading, (ii)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at the Closing Date (as defined in Section 4) and at any Option Closing Date (as defined in Section 2),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 of a material fact or omit to state a material fact necessary to make the statements therein, in the light of the circumstances under which they were made, not misleading and (v) the Prospectus, as of its date, does not contain and, as amended or supplemented, if applicable, will not contain, as of its date, at the Closing Date and at any Option Closing Date,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the Underwriter expressly for use therein.</w:t>
      </w:r>
    </w:p>
    <w:p>
      <w:pPr>
        <w:spacing w:after="0" w:line="69" w:lineRule="exact"/>
        <w:rPr>
          <w:sz w:val="20"/>
          <w:szCs w:val="20"/>
          <w:color w:val="auto"/>
        </w:rPr>
      </w:pPr>
    </w:p>
    <w:p>
      <w:pPr>
        <w:ind w:right="20" w:firstLine="419"/>
        <w:spacing w:after="0" w:line="290" w:lineRule="auto"/>
        <w:tabs>
          <w:tab w:leader="none" w:pos="79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and electronic road shows, if any, each furnished to the Underwriter before first use, the Company has not prepared, used or referred to, and will not, without the Underwriter’s prior consent, prepare, use or refer to, any free writing prospectus.</w:t>
      </w:r>
    </w:p>
    <w:p>
      <w:pPr>
        <w:spacing w:after="0" w:line="57" w:lineRule="exact"/>
        <w:rPr>
          <w:rFonts w:ascii="Arial" w:cs="Arial" w:eastAsia="Arial" w:hAnsi="Arial"/>
          <w:sz w:val="16"/>
          <w:szCs w:val="16"/>
          <w:color w:val="auto"/>
        </w:rPr>
      </w:pPr>
    </w:p>
    <w:p>
      <w:pPr>
        <w:ind w:firstLine="419"/>
        <w:spacing w:after="0" w:line="257" w:lineRule="auto"/>
        <w:tabs>
          <w:tab w:leader="none" w:pos="80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79" w:lineRule="exact"/>
        <w:rPr>
          <w:rFonts w:ascii="Arial" w:cs="Arial" w:eastAsia="Arial" w:hAnsi="Arial"/>
          <w:sz w:val="18"/>
          <w:szCs w:val="18"/>
          <w:color w:val="auto"/>
        </w:rPr>
      </w:pPr>
    </w:p>
    <w:p>
      <w:pPr>
        <w:ind w:right="100" w:firstLine="419"/>
        <w:spacing w:after="0" w:line="257" w:lineRule="auto"/>
        <w:tabs>
          <w:tab w:leader="none" w:pos="803"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subsidiary of the Company has been duly organized, is validly existing and in good standing under the laws of the jurisdiction of its organization (to the extent the concept of good standing is applicable in such jurisdiction), has the corporate or other organizational power and authority to own or lease its property and to conduct its business as described in the Time of Sale Prospectus and is duly qualified to transact business and is in good standing in each jurisdiction (to the extent the concept of good standing is applicable in such jurisdiction) in which the conduct of its business or its ownership or leasing of</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8" w:name="page9"/>
    <w:bookmarkEnd w:id="8"/>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property requires such qualification, except to the extent that the failure to be so qualified or be in good standing would not have a material adverse effect on the Company and its subsidiaries, taken as a whole; all of the issued shares of capital stock of each subsidiary of the Company have been duly and validly authorized and issued, are fully paid and non-assessable (to the extent such concepts are applicable in such jurisdiction) and are owned directly by the Company or a subsidiary of the Company, free and clear of all liens, encumbrances, equities or claims.</w:t>
      </w:r>
    </w:p>
    <w:p>
      <w:pPr>
        <w:spacing w:after="0" w:line="49" w:lineRule="exact"/>
        <w:rPr>
          <w:sz w:val="20"/>
          <w:szCs w:val="20"/>
          <w:color w:val="auto"/>
        </w:rPr>
      </w:pPr>
    </w:p>
    <w:p>
      <w:pPr>
        <w:ind w:left="780" w:hanging="361"/>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20" w:firstLine="419"/>
        <w:spacing w:after="0" w:line="277" w:lineRule="auto"/>
        <w:tabs>
          <w:tab w:leader="none" w:pos="80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Time of Sale Prospectus and the Prospectus.</w:t>
      </w:r>
    </w:p>
    <w:p>
      <w:pPr>
        <w:spacing w:after="0" w:line="62" w:lineRule="exact"/>
        <w:rPr>
          <w:rFonts w:ascii="Arial" w:cs="Arial" w:eastAsia="Arial" w:hAnsi="Arial"/>
          <w:sz w:val="18"/>
          <w:szCs w:val="18"/>
          <w:color w:val="auto"/>
        </w:rPr>
      </w:pPr>
    </w:p>
    <w:p>
      <w:pPr>
        <w:ind w:right="280" w:firstLine="419"/>
        <w:spacing w:after="0" w:line="277" w:lineRule="auto"/>
        <w:tabs>
          <w:tab w:leader="none" w:pos="80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62" w:lineRule="exact"/>
        <w:rPr>
          <w:rFonts w:ascii="Arial" w:cs="Arial" w:eastAsia="Arial" w:hAnsi="Arial"/>
          <w:sz w:val="18"/>
          <w:szCs w:val="18"/>
          <w:color w:val="auto"/>
        </w:rPr>
      </w:pPr>
    </w:p>
    <w:p>
      <w:pPr>
        <w:jc w:val="both"/>
        <w:ind w:firstLine="419"/>
        <w:spacing w:after="0" w:line="263" w:lineRule="auto"/>
        <w:tabs>
          <w:tab w:leader="none" w:pos="7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 except as have been duly and validly waived.</w:t>
      </w:r>
    </w:p>
    <w:p>
      <w:pPr>
        <w:spacing w:after="0" w:line="75" w:lineRule="exact"/>
        <w:rPr>
          <w:rFonts w:ascii="Arial" w:cs="Arial" w:eastAsia="Arial" w:hAnsi="Arial"/>
          <w:sz w:val="18"/>
          <w:szCs w:val="18"/>
          <w:color w:val="auto"/>
        </w:rPr>
      </w:pPr>
    </w:p>
    <w:p>
      <w:pPr>
        <w:ind w:right="100" w:firstLine="419"/>
        <w:spacing w:after="0" w:line="289" w:lineRule="auto"/>
        <w:tabs>
          <w:tab w:leader="none" w:pos="76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clauses (i), (iii) and (iv) as would not, individually or in the aggregate, have a material adverse effect on the Company and its subsidiaries taken as a whole or on the power and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offer and sale of the Shares.</w:t>
      </w:r>
    </w:p>
    <w:p>
      <w:pPr>
        <w:spacing w:after="0" w:line="58" w:lineRule="exact"/>
        <w:rPr>
          <w:rFonts w:ascii="Arial" w:cs="Arial" w:eastAsia="Arial" w:hAnsi="Arial"/>
          <w:sz w:val="16"/>
          <w:szCs w:val="16"/>
          <w:color w:val="auto"/>
        </w:rPr>
      </w:pPr>
    </w:p>
    <w:p>
      <w:pPr>
        <w:ind w:right="280" w:firstLine="419"/>
        <w:spacing w:after="0" w:line="263" w:lineRule="auto"/>
        <w:tabs>
          <w:tab w:leader="none" w:pos="80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9" w:name="page10"/>
    <w:bookmarkEnd w:id="9"/>
    <w:p>
      <w:pPr>
        <w:ind w:firstLine="419"/>
        <w:spacing w:after="0" w:line="271" w:lineRule="auto"/>
        <w:tabs>
          <w:tab w:leader="none" w:pos="769"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the Time of Sale Prospectus and proceedings that would not have a material adverse effect on the Company and its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70" w:lineRule="exact"/>
        <w:rPr>
          <w:rFonts w:ascii="Arial" w:cs="Arial" w:eastAsia="Arial" w:hAnsi="Arial"/>
          <w:sz w:val="17"/>
          <w:szCs w:val="17"/>
          <w:color w:val="auto"/>
        </w:rPr>
      </w:pPr>
    </w:p>
    <w:p>
      <w:pPr>
        <w:ind w:right="20" w:firstLine="419"/>
        <w:spacing w:after="0" w:line="263" w:lineRule="auto"/>
        <w:tabs>
          <w:tab w:leader="none" w:pos="863"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5" w:lineRule="exact"/>
        <w:rPr>
          <w:rFonts w:ascii="Arial" w:cs="Arial" w:eastAsia="Arial" w:hAnsi="Arial"/>
          <w:sz w:val="18"/>
          <w:szCs w:val="18"/>
          <w:color w:val="auto"/>
        </w:rPr>
      </w:pPr>
    </w:p>
    <w:p>
      <w:pPr>
        <w:ind w:right="180" w:firstLine="419"/>
        <w:spacing w:after="0" w:line="263" w:lineRule="auto"/>
        <w:tabs>
          <w:tab w:leader="none" w:pos="80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firstLine="419"/>
        <w:spacing w:after="0" w:line="254" w:lineRule="auto"/>
        <w:tabs>
          <w:tab w:leader="none" w:pos="80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8"/>
          <w:szCs w:val="18"/>
          <w:b w:val="1"/>
          <w:bCs w:val="1"/>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spacing w:after="0" w:line="86" w:lineRule="exact"/>
        <w:rPr>
          <w:rFonts w:ascii="Arial" w:cs="Arial" w:eastAsia="Arial" w:hAnsi="Arial"/>
          <w:sz w:val="18"/>
          <w:szCs w:val="18"/>
          <w:color w:val="auto"/>
        </w:rPr>
      </w:pPr>
    </w:p>
    <w:p>
      <w:pPr>
        <w:ind w:right="180" w:firstLine="419"/>
        <w:spacing w:after="0" w:line="259" w:lineRule="auto"/>
        <w:tabs>
          <w:tab w:leader="none" w:pos="80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10" w:name="page11"/>
    <w:bookmarkEnd w:id="10"/>
    <w:p>
      <w:pPr>
        <w:ind w:left="4" w:right="20" w:firstLine="419"/>
        <w:spacing w:after="0" w:line="257" w:lineRule="auto"/>
        <w:tabs>
          <w:tab w:leader="none" w:pos="813"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those contracts, agreements and understandings described in the Time of Sale Prospectus and the Prospectus, all of which have been validly waived in connection with the issuance and sale of the Shares contemplated hereby.</w:t>
      </w:r>
    </w:p>
    <w:p>
      <w:pPr>
        <w:spacing w:after="0" w:line="79" w:lineRule="exact"/>
        <w:rPr>
          <w:rFonts w:ascii="Arial" w:cs="Arial" w:eastAsia="Arial" w:hAnsi="Arial"/>
          <w:sz w:val="18"/>
          <w:szCs w:val="18"/>
          <w:color w:val="auto"/>
        </w:rPr>
      </w:pPr>
    </w:p>
    <w:p>
      <w:pPr>
        <w:ind w:left="4" w:firstLine="419"/>
        <w:spacing w:after="0" w:line="283" w:lineRule="auto"/>
        <w:tabs>
          <w:tab w:leader="none" w:pos="786" w:val="left"/>
        </w:tabs>
        <w:numPr>
          <w:ilvl w:val="1"/>
          <w:numId w:val="6"/>
        </w:numPr>
        <w:rPr>
          <w:rFonts w:ascii="Arial" w:cs="Arial" w:eastAsia="Arial" w:hAnsi="Arial"/>
          <w:sz w:val="16"/>
          <w:szCs w:val="16"/>
          <w:color w:val="auto"/>
        </w:rPr>
      </w:pPr>
      <w:r>
        <w:rPr>
          <w:rFonts w:ascii="Arial" w:cs="Arial" w:eastAsia="Arial" w:hAnsi="Arial"/>
          <w:sz w:val="16"/>
          <w:szCs w:val="16"/>
          <w:color w:val="auto"/>
        </w:rPr>
        <w:t>(i) None of the Company, its subsidiaries or controlled affiliates, or any director or officer thereof, or, to the Company’s knowledge, any employee,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6"/>
          <w:szCs w:val="16"/>
          <w:b w:val="1"/>
          <w:bCs w:val="1"/>
          <w:color w:val="auto"/>
        </w:rPr>
        <w:t>Government Official</w:t>
      </w:r>
      <w:r>
        <w:rPr>
          <w:rFonts w:ascii="Arial" w:cs="Arial" w:eastAsia="Arial" w:hAnsi="Arial"/>
          <w:sz w:val="16"/>
          <w:szCs w:val="16"/>
          <w:color w:val="auto"/>
        </w:rPr>
        <w:t>”) in order to influence official action, or to any person in violation of any applicable anti-corruption laws; (ii) the Company and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w:t>
      </w:r>
    </w:p>
    <w:p>
      <w:pPr>
        <w:spacing w:after="0" w:line="5" w:lineRule="exact"/>
        <w:rPr>
          <w:rFonts w:ascii="Arial" w:cs="Arial" w:eastAsia="Arial" w:hAnsi="Arial"/>
          <w:sz w:val="16"/>
          <w:szCs w:val="16"/>
          <w:color w:val="auto"/>
        </w:rPr>
      </w:pPr>
    </w:p>
    <w:p>
      <w:pPr>
        <w:ind w:left="4" w:right="280" w:hanging="4"/>
        <w:spacing w:after="0" w:line="255" w:lineRule="auto"/>
        <w:tabs>
          <w:tab w:leader="none" w:pos="318"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1" w:lineRule="exact"/>
        <w:rPr>
          <w:rFonts w:ascii="Arial" w:cs="Arial" w:eastAsia="Arial" w:hAnsi="Arial"/>
          <w:sz w:val="18"/>
          <w:szCs w:val="18"/>
          <w:color w:val="auto"/>
        </w:rPr>
      </w:pPr>
    </w:p>
    <w:p>
      <w:pPr>
        <w:ind w:left="4" w:right="40" w:firstLine="419"/>
        <w:spacing w:after="0" w:line="254" w:lineRule="auto"/>
        <w:tabs>
          <w:tab w:leader="none" w:pos="79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2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11" w:name="page12"/>
    <w:bookmarkEnd w:id="11"/>
    <w:p>
      <w:pPr>
        <w:ind w:right="100" w:firstLine="419"/>
        <w:spacing w:after="0" w:line="259" w:lineRule="auto"/>
        <w:tabs>
          <w:tab w:leader="none" w:pos="773"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as set forth in the Registration Statement, Time of Sale Prospectus or Prospectus: (i) None of the Company, any of its subsidiaries, or any director or officer thereof, or, to the Company’s knowledge, any employee, agent, controlled affiliate or representative of the Company or any of its subsidiaries or controlled affiliates,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8" w:lineRule="exact"/>
        <w:rPr>
          <w:rFonts w:ascii="Arial" w:cs="Arial" w:eastAsia="Arial" w:hAnsi="Arial"/>
          <w:sz w:val="18"/>
          <w:szCs w:val="18"/>
          <w:color w:val="auto"/>
        </w:rPr>
      </w:pPr>
    </w:p>
    <w:p>
      <w:pPr>
        <w:ind w:left="980" w:right="300" w:firstLine="391"/>
        <w:spacing w:after="0" w:line="263" w:lineRule="auto"/>
        <w:tabs>
          <w:tab w:leader="none" w:pos="1793"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80" w:right="400" w:firstLine="391"/>
        <w:spacing w:after="0" w:line="277" w:lineRule="auto"/>
        <w:tabs>
          <w:tab w:leader="none" w:pos="1783" w:val="left"/>
        </w:tabs>
        <w:numPr>
          <w:ilvl w:val="1"/>
          <w:numId w:val="8"/>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62" w:lineRule="exact"/>
        <w:rPr>
          <w:sz w:val="20"/>
          <w:szCs w:val="20"/>
          <w:color w:val="auto"/>
        </w:rPr>
      </w:pPr>
    </w:p>
    <w:p>
      <w:pPr>
        <w:ind w:right="280" w:firstLine="419"/>
        <w:spacing w:after="0" w:line="277" w:lineRule="auto"/>
        <w:tabs>
          <w:tab w:leader="none" w:pos="81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980" w:right="20" w:firstLine="391"/>
        <w:spacing w:after="0" w:line="277" w:lineRule="auto"/>
        <w:tabs>
          <w:tab w:leader="none" w:pos="1793"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980" w:right="160" w:firstLine="391"/>
        <w:spacing w:after="0" w:line="277" w:lineRule="auto"/>
        <w:tabs>
          <w:tab w:leader="none" w:pos="1783"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 and</w:t>
      </w:r>
    </w:p>
    <w:p>
      <w:pPr>
        <w:spacing w:after="0" w:line="62" w:lineRule="exact"/>
        <w:rPr>
          <w:rFonts w:ascii="Arial" w:cs="Arial" w:eastAsia="Arial" w:hAnsi="Arial"/>
          <w:sz w:val="18"/>
          <w:szCs w:val="18"/>
          <w:color w:val="auto"/>
        </w:rPr>
      </w:pPr>
    </w:p>
    <w:p>
      <w:pPr>
        <w:ind w:firstLine="419"/>
        <w:spacing w:after="0" w:line="263" w:lineRule="auto"/>
        <w:tabs>
          <w:tab w:leader="none" w:pos="873"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past five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6" w:lineRule="exact"/>
        <w:rPr>
          <w:sz w:val="20"/>
          <w:szCs w:val="20"/>
          <w:color w:val="auto"/>
        </w:rPr>
      </w:pPr>
    </w:p>
    <w:p>
      <w:pPr>
        <w:ind w:right="40" w:firstLine="419"/>
        <w:spacing w:after="0" w:line="279" w:lineRule="auto"/>
        <w:tabs>
          <w:tab w:leader="none" w:pos="8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each of the Registration Statement, the Time of Sale Prospectus and the Prospectus, (i) the Company and its subsidiaries have not incurred any material liability or obligation, direct or contingent, nor entered into any material transaction; (ii) the Company has not purchased any of its outstanding capital stock, other than from its employees or other service-providers in connection with the termination of their service pursuant to equity compensation plans or</w:t>
      </w:r>
    </w:p>
    <w:p>
      <w:pPr>
        <w:spacing w:after="0" w:line="10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880" w:top="274" w:right="519" w:bottom="1440" w:gutter="0" w:footer="0" w:header="0"/>
        </w:sectPr>
      </w:pPr>
    </w:p>
    <w:bookmarkStart w:id="12" w:name="page13"/>
    <w:bookmarkEnd w:id="12"/>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agreements described in the Time of Sale Prospectus or in connection with the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of equity awards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and its subsidiaries taken as a whole, except in each case as described in each of the Registration Statement, the Time of Sale Prospectus and the Prospectus, respectively.</w:t>
      </w:r>
    </w:p>
    <w:p>
      <w:pPr>
        <w:spacing w:after="0" w:line="69" w:lineRule="exact"/>
        <w:rPr>
          <w:sz w:val="20"/>
          <w:szCs w:val="20"/>
          <w:color w:val="auto"/>
        </w:rPr>
      </w:pPr>
    </w:p>
    <w:p>
      <w:pPr>
        <w:ind w:firstLine="419"/>
        <w:spacing w:after="0" w:line="254" w:lineRule="auto"/>
        <w:tabs>
          <w:tab w:leader="none" w:pos="8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do not own any real property. The Company and its subsidiaries have good and marketable title to all personal property owned by them that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its subsidiaries, in any material respect;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 in each case except as described in the Time of Sale Prospectus.</w:t>
      </w:r>
    </w:p>
    <w:p>
      <w:pPr>
        <w:spacing w:after="0" w:line="83" w:lineRule="exact"/>
        <w:rPr>
          <w:rFonts w:ascii="Arial" w:cs="Arial" w:eastAsia="Arial" w:hAnsi="Arial"/>
          <w:sz w:val="18"/>
          <w:szCs w:val="18"/>
          <w:color w:val="auto"/>
        </w:rPr>
      </w:pPr>
    </w:p>
    <w:p>
      <w:pPr>
        <w:ind w:firstLine="419"/>
        <w:spacing w:after="0" w:line="271" w:lineRule="auto"/>
        <w:tabs>
          <w:tab w:leader="none" w:pos="8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its subsidiaries own or possess, or can acquire on commercially reasonable terms, sufficient rights to use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as currently operated by them except where the failure to own, possess, have the right to use or the ability to acquire any of the foregoing would not result in a material adverse effect on the Company and its subsidiaries, taken as a whole. Except as disclosed in the Time of Sale Prospectus, neither the Company nor any of its subsidiaries has received any notice of infringement of or conflict with asserted rights of others with respect to any of the foregoing which, singly or in the aggregate, if the subject of an unfavorable decision, ruling or finding, would have a material adverse effect on the Company and its subsidiaries, taken as a whole.</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3" w:name="page14"/>
    <w:bookmarkEnd w:id="13"/>
    <w:p>
      <w:pPr>
        <w:ind w:right="100" w:firstLine="419"/>
        <w:spacing w:after="0" w:line="259" w:lineRule="auto"/>
        <w:tabs>
          <w:tab w:leader="none" w:pos="813"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material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its subsidiaries, taken as a whole.</w:t>
      </w:r>
    </w:p>
    <w:p>
      <w:pPr>
        <w:spacing w:after="0" w:line="78" w:lineRule="exact"/>
        <w:rPr>
          <w:rFonts w:ascii="Arial" w:cs="Arial" w:eastAsia="Arial" w:hAnsi="Arial"/>
          <w:sz w:val="18"/>
          <w:szCs w:val="18"/>
          <w:color w:val="auto"/>
        </w:rPr>
      </w:pPr>
    </w:p>
    <w:p>
      <w:pPr>
        <w:ind w:firstLine="419"/>
        <w:spacing w:after="0" w:line="293" w:lineRule="auto"/>
        <w:tabs>
          <w:tab w:leader="none" w:pos="80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each of its subsidiaries are insured by insurers of recognized financial responsibility against such losses and risks and in such amounts as are, in the reasonable judgment of the Company,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 except as described in the Time of Sale Prospectus.</w:t>
      </w:r>
    </w:p>
    <w:p>
      <w:pPr>
        <w:spacing w:after="0" w:line="56" w:lineRule="exact"/>
        <w:rPr>
          <w:rFonts w:ascii="Arial" w:cs="Arial" w:eastAsia="Arial" w:hAnsi="Arial"/>
          <w:sz w:val="16"/>
          <w:szCs w:val="16"/>
          <w:color w:val="auto"/>
        </w:rPr>
      </w:pPr>
    </w:p>
    <w:p>
      <w:pPr>
        <w:ind w:right="60" w:firstLine="419"/>
        <w:spacing w:after="0" w:line="254" w:lineRule="auto"/>
        <w:tabs>
          <w:tab w:leader="none" w:pos="7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possess all certificates, authorizations and permits issued by the appropriate federal, state or foreign regulatory authorities necessary to conduct their respective businesses, except here the failure to obtain such certificates, authorizations and permits would not, individually or in the aggregate,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 except as described in the Time of Sale Prospectus.</w:t>
      </w:r>
    </w:p>
    <w:p>
      <w:pPr>
        <w:spacing w:after="0" w:line="87" w:lineRule="exact"/>
        <w:rPr>
          <w:sz w:val="20"/>
          <w:szCs w:val="20"/>
          <w:color w:val="auto"/>
        </w:rPr>
      </w:pPr>
    </w:p>
    <w:p>
      <w:pPr>
        <w:ind w:right="20" w:firstLine="419"/>
        <w:spacing w:after="0" w:line="269" w:lineRule="auto"/>
        <w:tabs>
          <w:tab w:leader="none" w:pos="87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w:t>
      </w:r>
      <w:r>
        <w:rPr>
          <w:rFonts w:ascii="Arial" w:cs="Arial" w:eastAsia="Arial" w:hAnsi="Arial"/>
          <w:sz w:val="17"/>
          <w:szCs w:val="17"/>
          <w:b w:val="1"/>
          <w:bCs w:val="1"/>
          <w:color w:val="auto"/>
        </w:rPr>
        <w:t>U.S. GAAP</w:t>
      </w:r>
      <w:r>
        <w:rPr>
          <w:rFonts w:ascii="Arial" w:cs="Arial" w:eastAsia="Arial" w:hAnsi="Arial"/>
          <w:sz w:val="17"/>
          <w:szCs w:val="17"/>
          <w:color w:val="auto"/>
        </w:rPr>
        <w:t>”)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4" w:name="page15"/>
    <w:bookmarkEnd w:id="14"/>
    <w:p>
      <w:pPr>
        <w:jc w:val="both"/>
        <w:ind w:right="80" w:firstLine="419"/>
        <w:spacing w:after="0" w:line="263" w:lineRule="auto"/>
        <w:tabs>
          <w:tab w:leader="none" w:pos="899"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interactive data in eXtensbile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75" w:lineRule="exact"/>
        <w:rPr>
          <w:rFonts w:ascii="Arial" w:cs="Arial" w:eastAsia="Arial" w:hAnsi="Arial"/>
          <w:sz w:val="18"/>
          <w:szCs w:val="18"/>
          <w:color w:val="auto"/>
        </w:rPr>
      </w:pPr>
    </w:p>
    <w:p>
      <w:pPr>
        <w:ind w:right="20" w:firstLine="419"/>
        <w:spacing w:after="0" w:line="342" w:lineRule="auto"/>
        <w:tabs>
          <w:tab w:leader="none" w:pos="87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or any of the Company’s directors or officers, in their capacities as such, to comply with the provisions of the Sarbanes Oxley Act of 2002, as amended, and the rules and regulations promulgated in connection therewith.</w:t>
      </w:r>
    </w:p>
    <w:p>
      <w:pPr>
        <w:spacing w:after="0" w:line="15" w:lineRule="exact"/>
        <w:rPr>
          <w:rFonts w:ascii="Arial" w:cs="Arial" w:eastAsia="Arial" w:hAnsi="Arial"/>
          <w:sz w:val="16"/>
          <w:szCs w:val="16"/>
          <w:color w:val="auto"/>
        </w:rPr>
      </w:pPr>
    </w:p>
    <w:p>
      <w:pPr>
        <w:ind w:firstLine="419"/>
        <w:spacing w:after="0" w:line="259" w:lineRule="auto"/>
        <w:tabs>
          <w:tab w:leader="none" w:pos="9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or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8" w:lineRule="exact"/>
        <w:rPr>
          <w:rFonts w:ascii="Arial" w:cs="Arial" w:eastAsia="Arial" w:hAnsi="Arial"/>
          <w:sz w:val="18"/>
          <w:szCs w:val="18"/>
          <w:color w:val="auto"/>
        </w:rPr>
      </w:pPr>
    </w:p>
    <w:p>
      <w:pPr>
        <w:ind w:right="80" w:firstLine="419"/>
        <w:spacing w:after="0" w:line="290" w:lineRule="auto"/>
        <w:tabs>
          <w:tab w:leader="none" w:pos="87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federal, state, local and foreign tax returns required to be filed through the date of this Agreement or have requested extensions thereof (except where the failure to file would not, individually or in the aggregate, have a material adverse effect on the company and its subsidiaries taken as a whole) and have paid all taxes required to be paid thereon (except for cases in which the failure to file or pay would not have a material adverse effect ,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57" w:lineRule="exact"/>
        <w:rPr>
          <w:rFonts w:ascii="Arial" w:cs="Arial" w:eastAsia="Arial" w:hAnsi="Arial"/>
          <w:sz w:val="16"/>
          <w:szCs w:val="16"/>
          <w:color w:val="auto"/>
        </w:rPr>
      </w:pPr>
    </w:p>
    <w:p>
      <w:pPr>
        <w:ind w:left="880" w:hanging="461"/>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00" w:hanging="48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19"/>
        <w:spacing w:after="0" w:line="257" w:lineRule="auto"/>
        <w:tabs>
          <w:tab w:leader="none" w:pos="8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time of each sale of the Shares in connection with the offering when the Prospectus is not yet available to prospective purchasers, none of (A) the Time of Sale Prospectus and (B) any free writing prospectus, when considered together with the Time of Sale Prospectus,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15" w:name="page16"/>
    <w:bookmarkEnd w:id="15"/>
    <w:p>
      <w:pPr>
        <w:ind w:firstLine="419"/>
        <w:spacing w:after="0" w:line="277" w:lineRule="auto"/>
        <w:tabs>
          <w:tab w:leader="none" w:pos="823"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KPMG LLP, who have certified certain financial statements of the Company and its subsidiaries, are independent public accountants as required by the Securities Act and the rules and regulations of the Commission thereunder.</w:t>
      </w:r>
    </w:p>
    <w:p>
      <w:pPr>
        <w:spacing w:after="0" w:line="62" w:lineRule="exact"/>
        <w:rPr>
          <w:rFonts w:ascii="Arial" w:cs="Arial" w:eastAsia="Arial" w:hAnsi="Arial"/>
          <w:sz w:val="18"/>
          <w:szCs w:val="18"/>
          <w:color w:val="auto"/>
        </w:rPr>
      </w:pPr>
    </w:p>
    <w:p>
      <w:pPr>
        <w:ind w:right="320" w:firstLine="419"/>
        <w:spacing w:after="0" w:line="277" w:lineRule="auto"/>
        <w:tabs>
          <w:tab w:leader="none" w:pos="8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statistical, industry-related and market-related data included in the Time of Sale Prospectus and the Prospectus are based on or derived from sources which the Company reasonably and in good faith believes are reliable and accurate.</w:t>
      </w:r>
    </w:p>
    <w:p>
      <w:pPr>
        <w:spacing w:after="0" w:line="62" w:lineRule="exact"/>
        <w:rPr>
          <w:rFonts w:ascii="Arial" w:cs="Arial" w:eastAsia="Arial" w:hAnsi="Arial"/>
          <w:sz w:val="18"/>
          <w:szCs w:val="18"/>
          <w:color w:val="auto"/>
        </w:rPr>
      </w:pPr>
    </w:p>
    <w:p>
      <w:pPr>
        <w:jc w:val="both"/>
        <w:ind w:right="540" w:firstLine="419"/>
        <w:spacing w:after="0" w:line="263" w:lineRule="auto"/>
        <w:tabs>
          <w:tab w:leader="none" w:pos="9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Securities Act and Section 21E of the Exchange Act) included or incorporated by reference in any of the Registration Statement, the Time of Sale Prospectus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right="120" w:firstLine="419"/>
        <w:spacing w:after="0" w:line="286" w:lineRule="auto"/>
        <w:tabs>
          <w:tab w:leader="none" w:pos="81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has not taken, directly or indirectly, any action designed to or that would reasonably be expected to cause or result in any stabilization or manipulation of the price of the Shares, provided, however, that the Company makes no such representation or warranty with respect to the actions of the Underwriter or affiliate or agent of the Underwriter acting on behalf of the Underwriter.</w:t>
      </w:r>
    </w:p>
    <w:p>
      <w:pPr>
        <w:spacing w:after="0" w:line="57" w:lineRule="exact"/>
        <w:rPr>
          <w:rFonts w:ascii="Arial" w:cs="Arial" w:eastAsia="Arial" w:hAnsi="Arial"/>
          <w:sz w:val="17"/>
          <w:szCs w:val="17"/>
          <w:color w:val="auto"/>
        </w:rPr>
      </w:pPr>
    </w:p>
    <w:p>
      <w:pPr>
        <w:ind w:right="20" w:firstLine="419"/>
        <w:spacing w:after="0" w:line="271" w:lineRule="auto"/>
        <w:tabs>
          <w:tab w:leader="none" w:pos="99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consolidated financial statements (including the related notes thereto) of the Company included in the Registration Statement, the Time of Sale Prospectus and the Prospectus comply in all material respects with the applicable requirements of the Securities Act and present fairly in all material respects the consolidated financial position of the Company and its subsidiaries as of the dates indicated and the results of their operations and cash flows for the periods specified. Such financial statements have been prepared in conformity with U.S. GAAP applied on a consistent basis throughout the periods covered thereby; and any supporting schedules included in the Registration Statement present fairly in all material respects the information required to be stated therein; the other financial information included in the Registration Statement, the Time of Sale Prospectus and the Prospectus has been derived from the accounting records of the Company and its subsidiaries and presents fairly in all material respects the information shown thereby.</w:t>
      </w:r>
    </w:p>
    <w:p>
      <w:pPr>
        <w:spacing w:after="0" w:line="70" w:lineRule="exact"/>
        <w:rPr>
          <w:rFonts w:ascii="Arial" w:cs="Arial" w:eastAsia="Arial" w:hAnsi="Arial"/>
          <w:sz w:val="17"/>
          <w:szCs w:val="17"/>
          <w:color w:val="auto"/>
        </w:rPr>
      </w:pPr>
    </w:p>
    <w:p>
      <w:pPr>
        <w:ind w:right="20" w:firstLine="419"/>
        <w:spacing w:after="0" w:line="301" w:lineRule="auto"/>
        <w:tabs>
          <w:tab w:leader="none" w:pos="89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and its subsidiaries have complied, and are presently in compliance, in all material respects with their respective privacy policies and other legal obligations regarding the collection, use, transfer, storage, protection, disposal and disclosure by the Company and its subsidiaries of personally identifiable user information gathered or accessed in the course of their respective operations, and with respect to all such information, the Company and its subsidiaries have at all times taken steps reasonably necessary in accordance with</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16" w:name="page17"/>
    <w:bookmarkEnd w:id="16"/>
    <w:p>
      <w:pPr>
        <w:ind w:left="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industry standard practices (including, without limitation, implementing and monitoring compliance with adequate measures with respect to technical and physical security) to protect such information against loss and against unauthorized access, use, modification, disclosure or other misuse, except in each case to the extent that the failure to do so would not reasonably be expected to have a material adverse effect on the Company and its subsidiaries, taken as a whole. To the knowledge of the Company, except as disclosed in the Time of Sale Prospectus or as would not individually or in the aggregate have a material adverse effect on the Company and its subsidiaries, taken as a whole, there has been no unauthorized access to such information.</w:t>
      </w:r>
    </w:p>
    <w:p>
      <w:pPr>
        <w:spacing w:after="0" w:line="192" w:lineRule="exact"/>
        <w:rPr>
          <w:sz w:val="20"/>
          <w:szCs w:val="20"/>
          <w:color w:val="auto"/>
        </w:rPr>
      </w:pPr>
    </w:p>
    <w:p>
      <w:pPr>
        <w:ind w:right="160" w:firstLine="436"/>
        <w:spacing w:after="0" w:line="263" w:lineRule="auto"/>
        <w:tabs>
          <w:tab w:leader="none" w:pos="7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Agreements to Sell and Purchase</w:t>
      </w:r>
      <w:r>
        <w:rPr>
          <w:rFonts w:ascii="Arial" w:cs="Arial" w:eastAsia="Arial" w:hAnsi="Arial"/>
          <w:sz w:val="18"/>
          <w:szCs w:val="18"/>
          <w:color w:val="auto"/>
        </w:rPr>
        <w:t>. The Company hereby agrees to sell to the Underwriter, and the Underwriter, upon the basis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herein contained, but subject to the conditions hereinafter stated, agrees to purchase from the Company the Firm Shares at $336.60 a share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4"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 the Additional Shares, and the Underwriter shall have the right to purchase up to 735,294 Additional Shares at the Purchase Price, provided, however, that the amount paid by the Underwriter for any Additional Shares shall be reduced by an amount per share equal to any dividends declared by the Company and payable on the Firm Shares but not payable on such Additional Shares. The Underwriter may exercise this right in whole or from time to time in part by giving written notice not later than 30 days after the date of this Agreement. Any exercise notice shall specify the number of Additional Shares to be purchased by the Underwriter and the date on which such shares are to be purchased. Each purchase date must be at least one business day after the written notice is given and may not be earlier than the closing date for the Firm Shares nor later than ten business days after the date of such notice.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the Underwriter agrees to purchase the number of Additional Shares to be purchased on such Option Closing Date.</w:t>
      </w:r>
    </w:p>
    <w:p>
      <w:pPr>
        <w:spacing w:after="0" w:line="166" w:lineRule="exact"/>
        <w:rPr>
          <w:sz w:val="20"/>
          <w:szCs w:val="20"/>
          <w:color w:val="auto"/>
        </w:rPr>
      </w:pPr>
    </w:p>
    <w:p>
      <w:pPr>
        <w:ind w:right="20" w:firstLine="436"/>
        <w:spacing w:after="0" w:line="296" w:lineRule="auto"/>
        <w:tabs>
          <w:tab w:leader="none" w:pos="75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Terms of Public Offering</w:t>
      </w:r>
      <w:r>
        <w:rPr>
          <w:rFonts w:ascii="Arial" w:cs="Arial" w:eastAsia="Arial" w:hAnsi="Arial"/>
          <w:sz w:val="16"/>
          <w:szCs w:val="16"/>
          <w:color w:val="auto"/>
        </w:rPr>
        <w:t>. The Company is advised by the Underwriter that the Underwriter proposes to make a public offering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as soon after the Registration Statement and this Agreement have become effective as in the Underwriter’s judgment is advisable. The Company is further advised by the Underwriter that the Shares are to be offered to the public initially at $340.00 a share (the “</w:t>
      </w:r>
      <w:r>
        <w:rPr>
          <w:rFonts w:ascii="Arial" w:cs="Arial" w:eastAsia="Arial" w:hAnsi="Arial"/>
          <w:sz w:val="16"/>
          <w:szCs w:val="16"/>
          <w:b w:val="1"/>
          <w:bCs w:val="1"/>
          <w:color w:val="auto"/>
        </w:rPr>
        <w:t>Public Offering Price</w:t>
      </w:r>
      <w:r>
        <w:rPr>
          <w:rFonts w:ascii="Arial" w:cs="Arial" w:eastAsia="Arial" w:hAnsi="Arial"/>
          <w:sz w:val="16"/>
          <w:szCs w:val="16"/>
          <w:color w:val="auto"/>
        </w:rPr>
        <w:t>”) and to certain dealers selected by the Underwriter at a price that represents a concession not in excess of $2.04 a share under the Public Offering Price, and that the Underwriter may allow, and such dealers may reallow, a concession, not in excess of $2.04 a share, to the Underwriter or to certain other dealers.</w:t>
      </w:r>
    </w:p>
    <w:p>
      <w:pPr>
        <w:spacing w:after="0" w:line="161" w:lineRule="exact"/>
        <w:rPr>
          <w:rFonts w:ascii="Arial" w:cs="Arial" w:eastAsia="Arial" w:hAnsi="Arial"/>
          <w:sz w:val="16"/>
          <w:szCs w:val="16"/>
          <w:color w:val="auto"/>
        </w:rPr>
      </w:pPr>
    </w:p>
    <w:p>
      <w:pPr>
        <w:jc w:val="both"/>
        <w:ind w:right="220" w:firstLine="436"/>
        <w:spacing w:after="0" w:line="259" w:lineRule="auto"/>
        <w:tabs>
          <w:tab w:leader="none" w:pos="7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Firm Shares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against delivery of such Firm Shares for the account of the Underwriter at 10:00 a.m., New York City time, on January 15, 2021, or at such other time on the same or such other date, not later than January 25, 2021, as shall be designated in writing by the Underwriter.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7" w:name="page18"/>
    <w:bookmarkEnd w:id="17"/>
    <w:p>
      <w:pPr>
        <w:ind w:right="3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for any Additional Shares shall be made to the Company in Federal or other funds immediately available in New York City against delivery of such Additional Shares for the account of the Underwriter at 10:00 a.m., New York City time, on the date specified in the corresponding notice described in Section 2 or at such other time on the same or on such other date, in any event not later than February 25, 2021, as shall be designated in writing by the Underwriter.</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Firm Shares and Additional Shares shall be registered in such names and in such denominations as the Underwriter shall request in writing not later than one full business day prior to the Closing Date or the applicable Option Closing Date, as the case may be. The Firm Shares and Additional Shares shall be delivered to the Underwriter on the Closing Date or an Option Closing Date, as the case may be, for the account of the Underwriter. The Purchase Price payable by the Underwriter shall be reduced by (i) any transfer taxes paid by, or on behalf of, the Underwriter in connection with the transfer of the Shares to the Underwriter duly paid and (ii) any withholding required by law.</w:t>
      </w:r>
    </w:p>
    <w:p>
      <w:pPr>
        <w:spacing w:after="0" w:line="176" w:lineRule="exact"/>
        <w:rPr>
          <w:sz w:val="20"/>
          <w:szCs w:val="20"/>
          <w:color w:val="auto"/>
        </w:rPr>
      </w:pPr>
    </w:p>
    <w:p>
      <w:pPr>
        <w:ind w:right="60" w:firstLine="436"/>
        <w:spacing w:after="0" w:line="263" w:lineRule="auto"/>
        <w:tabs>
          <w:tab w:leader="none" w:pos="7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 and the obligations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 to purchase and pay for the Shares on the Closing Date are subject to the condition that the Registration Statement shall have become effective not later than January 12, 2021 (New York City time) on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obligations of the Underwriter are subject to the following further conditions:</w:t>
      </w:r>
    </w:p>
    <w:p>
      <w:pPr>
        <w:spacing w:after="0" w:line="117" w:lineRule="exact"/>
        <w:rPr>
          <w:sz w:val="20"/>
          <w:szCs w:val="20"/>
          <w:color w:val="auto"/>
        </w:rPr>
      </w:pPr>
    </w:p>
    <w:p>
      <w:pPr>
        <w:ind w:left="1240" w:hanging="381"/>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440" w:firstLine="948"/>
        <w:spacing w:after="0" w:line="259" w:lineRule="auto"/>
        <w:tabs>
          <w:tab w:leader="none" w:pos="17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78" w:lineRule="exact"/>
        <w:rPr>
          <w:rFonts w:ascii="Arial" w:cs="Arial" w:eastAsia="Arial" w:hAnsi="Arial"/>
          <w:sz w:val="18"/>
          <w:szCs w:val="18"/>
          <w:color w:val="auto"/>
        </w:rPr>
      </w:pPr>
    </w:p>
    <w:p>
      <w:pPr>
        <w:ind w:left="440" w:right="80" w:firstLine="948"/>
        <w:spacing w:after="0" w:line="279" w:lineRule="auto"/>
        <w:tabs>
          <w:tab w:leader="none" w:pos="1792"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Underwriter’s judgment, is material and adverse and that makes it, in the Underwriter’s judgment, impracticable to market the Shares on the terms and in the manner contemplated in the Time of Sale Prospectus.</w:t>
      </w:r>
    </w:p>
    <w:p>
      <w:pPr>
        <w:spacing w:after="0" w:line="63" w:lineRule="exact"/>
        <w:rPr>
          <w:sz w:val="20"/>
          <w:szCs w:val="20"/>
          <w:color w:val="auto"/>
        </w:rPr>
      </w:pPr>
    </w:p>
    <w:p>
      <w:pPr>
        <w:ind w:left="1780" w:hanging="392"/>
        <w:spacing w:after="0"/>
        <w:tabs>
          <w:tab w:leader="none" w:pos="1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Underwriter shall have received on the Closing Date a certificate, dated the Closing Date and signed on behalf of the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Company by an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8" w:name="page19"/>
    <w:bookmarkEnd w:id="18"/>
    <w:p>
      <w:pPr>
        <w:ind w:left="44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officer of the Company, to the effect set forth in Section 6(a)(i)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officer signing and delivering such certificate may rely upon his or her knowledge as to proceedings threatened.</w:t>
      </w:r>
    </w:p>
    <w:p>
      <w:pPr>
        <w:spacing w:after="0" w:line="113" w:lineRule="exact"/>
        <w:rPr>
          <w:sz w:val="20"/>
          <w:szCs w:val="20"/>
          <w:color w:val="auto"/>
        </w:rPr>
      </w:pPr>
    </w:p>
    <w:p>
      <w:pPr>
        <w:ind w:left="440" w:right="140" w:firstLine="419"/>
        <w:spacing w:after="0" w:line="312" w:lineRule="auto"/>
        <w:tabs>
          <w:tab w:leader="none" w:pos="123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Underwriter shall have received on the Closing Date an opinion and negative assurance letter of Cooley LLP (“</w:t>
      </w:r>
      <w:r>
        <w:rPr>
          <w:rFonts w:ascii="Arial" w:cs="Arial" w:eastAsia="Arial" w:hAnsi="Arial"/>
          <w:sz w:val="17"/>
          <w:szCs w:val="17"/>
          <w:b w:val="1"/>
          <w:bCs w:val="1"/>
          <w:color w:val="auto"/>
        </w:rPr>
        <w:t>Cooley</w:t>
      </w:r>
      <w:r>
        <w:rPr>
          <w:rFonts w:ascii="Arial" w:cs="Arial" w:eastAsia="Arial" w:hAnsi="Arial"/>
          <w:sz w:val="17"/>
          <w:szCs w:val="17"/>
          <w:color w:val="auto"/>
        </w:rPr>
        <w:t>”), outside counsel for the Company, dated the Closing Date, in form and substance reasonably satisfactory to the Underwriter.</w:t>
      </w:r>
    </w:p>
    <w:p>
      <w:pPr>
        <w:spacing w:after="0" w:line="35" w:lineRule="exact"/>
        <w:rPr>
          <w:rFonts w:ascii="Arial" w:cs="Arial" w:eastAsia="Arial" w:hAnsi="Arial"/>
          <w:sz w:val="17"/>
          <w:szCs w:val="17"/>
          <w:color w:val="auto"/>
        </w:rPr>
      </w:pPr>
    </w:p>
    <w:p>
      <w:pPr>
        <w:ind w:left="440" w:right="140" w:firstLine="419"/>
        <w:spacing w:after="0" w:line="263" w:lineRule="auto"/>
        <w:tabs>
          <w:tab w:leader="none" w:pos="1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Underwriter shall have received on the Closing Date an opinion and a negative assurance letter of Wilson Sonsini Goodrich &amp; Rosati, Profession Corporation (“</w:t>
      </w:r>
      <w:r>
        <w:rPr>
          <w:rFonts w:ascii="Arial" w:cs="Arial" w:eastAsia="Arial" w:hAnsi="Arial"/>
          <w:sz w:val="18"/>
          <w:szCs w:val="18"/>
          <w:b w:val="1"/>
          <w:bCs w:val="1"/>
          <w:color w:val="auto"/>
        </w:rPr>
        <w:t>WSGR</w:t>
      </w:r>
      <w:r>
        <w:rPr>
          <w:rFonts w:ascii="Arial" w:cs="Arial" w:eastAsia="Arial" w:hAnsi="Arial"/>
          <w:sz w:val="18"/>
          <w:szCs w:val="18"/>
          <w:color w:val="auto"/>
        </w:rPr>
        <w:t>”), counsel for the Underwriter, dated the Closing Date in form and substance reasonably satisfactory to the Underwriter.</w:t>
      </w:r>
    </w:p>
    <w:p>
      <w:pPr>
        <w:spacing w:after="0" w:line="184"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With respect to Sections 1(a) and 5(d) above, Cooley and WSGR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6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opinion of Cooley described in Section 5(c) above shall be rendered to the Underwriter at the request of the Company and shall so state therein.</w:t>
      </w:r>
    </w:p>
    <w:p>
      <w:pPr>
        <w:spacing w:after="0" w:line="62" w:lineRule="exact"/>
        <w:rPr>
          <w:sz w:val="20"/>
          <w:szCs w:val="20"/>
          <w:color w:val="auto"/>
        </w:rPr>
      </w:pPr>
    </w:p>
    <w:p>
      <w:pPr>
        <w:ind w:left="440" w:firstLine="419"/>
        <w:spacing w:after="0" w:line="275" w:lineRule="auto"/>
        <w:tabs>
          <w:tab w:leader="none" w:pos="1239"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The Underwriter shall have received, on each of the date hereof and the Closing Date, a letter dated the date hereof or the Closing Date, as the case may be, in form and substance reasonably satisfactory to the Underwriter, from KPMG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letter delivered on the Closing Date shall use a “cut-off date” not earlier than the date hereof.</w:t>
      </w:r>
    </w:p>
    <w:p>
      <w:pPr>
        <w:spacing w:after="0" w:line="68" w:lineRule="exact"/>
        <w:rPr>
          <w:rFonts w:ascii="Arial" w:cs="Arial" w:eastAsia="Arial" w:hAnsi="Arial"/>
          <w:sz w:val="17"/>
          <w:szCs w:val="17"/>
          <w:color w:val="auto"/>
        </w:rPr>
      </w:pPr>
    </w:p>
    <w:p>
      <w:pPr>
        <w:ind w:left="440" w:firstLine="419"/>
        <w:spacing w:after="0" w:line="259" w:lineRule="auto"/>
        <w:tabs>
          <w:tab w:leader="none" w:pos="1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(with any such modifications as the Underwriter shall have previously agreed to), between the Underwriter and the officers and directors of the Company relating to sales and certain other dispositions of shares of Common Stock or certain other securities, delivered to the Underwriter on or before the date hereof, shall be in full force and effect on the Closing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9" w:name="page20"/>
    <w:bookmarkEnd w:id="19"/>
    <w:p>
      <w:pPr>
        <w:ind w:left="4" w:right="40" w:firstLine="419"/>
        <w:spacing w:after="0" w:line="277" w:lineRule="auto"/>
        <w:tabs>
          <w:tab w:leader="none" w:pos="813"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Underwriter shall have received, on the date hereof and on the Closing Date, a certificate of the principal financial officer, in form and substance reasonably satisfactory to the Underwriter.</w:t>
      </w:r>
    </w:p>
    <w:p>
      <w:pPr>
        <w:spacing w:after="0" w:line="62" w:lineRule="exact"/>
        <w:rPr>
          <w:rFonts w:ascii="Arial" w:cs="Arial" w:eastAsia="Arial" w:hAnsi="Arial"/>
          <w:sz w:val="18"/>
          <w:szCs w:val="18"/>
          <w:color w:val="auto"/>
        </w:rPr>
      </w:pPr>
    </w:p>
    <w:p>
      <w:pPr>
        <w:ind w:left="4" w:right="480" w:firstLine="419"/>
        <w:spacing w:after="0" w:line="277" w:lineRule="auto"/>
        <w:tabs>
          <w:tab w:leader="none" w:pos="813"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obligations of the Underwriter to purchase Additional Shares hereunder are subject to the delivery to the Underwriter on the applicable Option Closing Date of the following:</w:t>
      </w:r>
    </w:p>
    <w:p>
      <w:pPr>
        <w:spacing w:after="0" w:line="62" w:lineRule="exact"/>
        <w:rPr>
          <w:rFonts w:ascii="Arial" w:cs="Arial" w:eastAsia="Arial" w:hAnsi="Arial"/>
          <w:sz w:val="18"/>
          <w:szCs w:val="18"/>
          <w:color w:val="auto"/>
        </w:rPr>
      </w:pPr>
    </w:p>
    <w:p>
      <w:pPr>
        <w:ind w:left="4" w:right="220" w:firstLine="948"/>
        <w:spacing w:after="0" w:line="263" w:lineRule="auto"/>
        <w:tabs>
          <w:tab w:leader="none" w:pos="1305" w:val="left"/>
        </w:tabs>
        <w:numPr>
          <w:ilvl w:val="2"/>
          <w:numId w:val="23"/>
        </w:numPr>
        <w:rPr>
          <w:rFonts w:ascii="Arial" w:cs="Arial" w:eastAsia="Arial" w:hAnsi="Arial"/>
          <w:sz w:val="18"/>
          <w:szCs w:val="18"/>
          <w:color w:val="auto"/>
        </w:rPr>
      </w:pPr>
      <w:r>
        <w:rPr>
          <w:rFonts w:ascii="Arial" w:cs="Arial" w:eastAsia="Arial" w:hAnsi="Arial"/>
          <w:sz w:val="18"/>
          <w:szCs w:val="18"/>
          <w:color w:val="auto"/>
        </w:rPr>
        <w:t>a certificate, dated the Option Closing Date and signed on behalf of the Company by an executive officer of the Company, confirming that the certificate delivered on the Closing Date pursuant to Section 5(b) hereof remains true and correct as of such Option Closing Date;</w:t>
      </w:r>
    </w:p>
    <w:p>
      <w:pPr>
        <w:spacing w:after="0" w:line="75" w:lineRule="exact"/>
        <w:rPr>
          <w:rFonts w:ascii="Arial" w:cs="Arial" w:eastAsia="Arial" w:hAnsi="Arial"/>
          <w:sz w:val="18"/>
          <w:szCs w:val="18"/>
          <w:color w:val="auto"/>
        </w:rPr>
      </w:pPr>
    </w:p>
    <w:p>
      <w:pPr>
        <w:ind w:left="4" w:firstLine="948"/>
        <w:spacing w:after="0" w:line="263" w:lineRule="auto"/>
        <w:tabs>
          <w:tab w:leader="none" w:pos="1355"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 opinion and negative assurance letter of Cooley, outside counsel for the Company, dated the Option Closing Date, relating to the Additional Shares to be purchased on such Option Closing Date and otherwise to the same effect as the opinion and negative assurance letter required by Section 5(c) hereof;</w:t>
      </w:r>
    </w:p>
    <w:p>
      <w:pPr>
        <w:spacing w:after="0" w:line="75" w:lineRule="exact"/>
        <w:rPr>
          <w:rFonts w:ascii="Arial" w:cs="Arial" w:eastAsia="Arial" w:hAnsi="Arial"/>
          <w:sz w:val="18"/>
          <w:szCs w:val="18"/>
          <w:color w:val="auto"/>
        </w:rPr>
      </w:pPr>
    </w:p>
    <w:p>
      <w:pPr>
        <w:ind w:left="4" w:right="60" w:firstLine="948"/>
        <w:spacing w:after="0" w:line="263" w:lineRule="auto"/>
        <w:tabs>
          <w:tab w:leader="none" w:pos="1405"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 opinion and negative assurance letter of WSGR, counsel for the Underwriter, dated the Option Closing Date, relating to the Additional Shares to be purchased on such Option Closing Date and otherwise to the same effect as the opinion and negative assurance letter required by Section 5(d) hereof;</w:t>
      </w:r>
    </w:p>
    <w:p>
      <w:pPr>
        <w:spacing w:after="0" w:line="75" w:lineRule="exact"/>
        <w:rPr>
          <w:rFonts w:ascii="Arial" w:cs="Arial" w:eastAsia="Arial" w:hAnsi="Arial"/>
          <w:sz w:val="18"/>
          <w:szCs w:val="18"/>
          <w:color w:val="auto"/>
        </w:rPr>
      </w:pPr>
    </w:p>
    <w:p>
      <w:pPr>
        <w:ind w:left="4" w:right="220" w:firstLine="948"/>
        <w:spacing w:after="0" w:line="259" w:lineRule="auto"/>
        <w:tabs>
          <w:tab w:leader="none" w:pos="1395"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reasonably satisfactory to the Underwriter, from KPMG LLP, independent public accountants, substantially in the same form and substance as the letter furnished to the Underwriter pursuant to Section 5(e)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three business days prior to such Option Closing Date;</w:t>
      </w:r>
    </w:p>
    <w:p>
      <w:pPr>
        <w:spacing w:after="0" w:line="78" w:lineRule="exact"/>
        <w:rPr>
          <w:rFonts w:ascii="Arial" w:cs="Arial" w:eastAsia="Arial" w:hAnsi="Arial"/>
          <w:sz w:val="18"/>
          <w:szCs w:val="18"/>
          <w:color w:val="auto"/>
        </w:rPr>
      </w:pPr>
    </w:p>
    <w:p>
      <w:pPr>
        <w:ind w:left="1344" w:hanging="392"/>
        <w:spacing w:after="0"/>
        <w:tabs>
          <w:tab w:leader="none" w:pos="1344" w:val="left"/>
        </w:tabs>
        <w:numPr>
          <w:ilvl w:val="2"/>
          <w:numId w:val="23"/>
        </w:numPr>
        <w:rPr>
          <w:rFonts w:ascii="Arial" w:cs="Arial" w:eastAsia="Arial" w:hAnsi="Arial"/>
          <w:sz w:val="18"/>
          <w:szCs w:val="18"/>
          <w:color w:val="auto"/>
        </w:rPr>
      </w:pPr>
      <w:r>
        <w:rPr>
          <w:rFonts w:ascii="Arial" w:cs="Arial" w:eastAsia="Arial" w:hAnsi="Arial"/>
          <w:sz w:val="18"/>
          <w:szCs w:val="18"/>
          <w:color w:val="auto"/>
        </w:rPr>
        <w:t>a certificate of the principal financial officer, in form and substance reasonably satisfactory to the Underwriter; and</w:t>
      </w:r>
    </w:p>
    <w:p>
      <w:pPr>
        <w:spacing w:after="0" w:line="117" w:lineRule="exact"/>
        <w:rPr>
          <w:rFonts w:ascii="Arial" w:cs="Arial" w:eastAsia="Arial" w:hAnsi="Arial"/>
          <w:sz w:val="18"/>
          <w:szCs w:val="18"/>
          <w:color w:val="auto"/>
        </w:rPr>
      </w:pPr>
    </w:p>
    <w:p>
      <w:pPr>
        <w:ind w:left="4" w:right="220" w:firstLine="948"/>
        <w:spacing w:after="0" w:line="263" w:lineRule="auto"/>
        <w:tabs>
          <w:tab w:leader="none" w:pos="1395" w:val="left"/>
        </w:tabs>
        <w:numPr>
          <w:ilvl w:val="2"/>
          <w:numId w:val="23"/>
        </w:numPr>
        <w:rPr>
          <w:rFonts w:ascii="Arial" w:cs="Arial" w:eastAsia="Arial" w:hAnsi="Arial"/>
          <w:sz w:val="18"/>
          <w:szCs w:val="18"/>
          <w:color w:val="auto"/>
        </w:rPr>
      </w:pPr>
      <w:r>
        <w:rPr>
          <w:rFonts w:ascii="Arial" w:cs="Arial" w:eastAsia="Arial" w:hAnsi="Arial"/>
          <w:sz w:val="18"/>
          <w:szCs w:val="18"/>
          <w:color w:val="auto"/>
        </w:rPr>
        <w:t>such other documents as the Underwriter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the Underwriter as follows:</w:t>
      </w:r>
    </w:p>
    <w:p>
      <w:pPr>
        <w:spacing w:after="0" w:line="117" w:lineRule="exact"/>
        <w:rPr>
          <w:rFonts w:ascii="Arial" w:cs="Arial" w:eastAsia="Arial" w:hAnsi="Arial"/>
          <w:sz w:val="18"/>
          <w:szCs w:val="18"/>
          <w:color w:val="auto"/>
        </w:rPr>
      </w:pPr>
    </w:p>
    <w:p>
      <w:pPr>
        <w:jc w:val="both"/>
        <w:ind w:left="4" w:firstLine="419"/>
        <w:spacing w:after="0" w:line="301" w:lineRule="auto"/>
        <w:tabs>
          <w:tab w:leader="none" w:pos="803"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furnish to the Underwriter, without charge, three conformed copies of the Registration Statement (including exhibits thereto) and to furnish to the Underwriter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Underwriter may reasonably request.</w:t>
      </w:r>
    </w:p>
    <w:p>
      <w:pPr>
        <w:spacing w:after="0" w:line="9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44"/>
          </w:cols>
          <w:pgMar w:left="876" w:top="274" w:right="479" w:bottom="1440" w:gutter="0" w:footer="0" w:header="0"/>
        </w:sectPr>
      </w:pPr>
    </w:p>
    <w:bookmarkStart w:id="20" w:name="page21"/>
    <w:bookmarkEnd w:id="20"/>
    <w:p>
      <w:pPr>
        <w:ind w:firstLine="419"/>
        <w:spacing w:after="0" w:line="259" w:lineRule="auto"/>
        <w:tabs>
          <w:tab w:leader="none" w:pos="813"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amending or supplementing the Registration Statement, the Time of Sale Prospectus or the Prospectus, to furnish to the Underwriter a copy of each such proposed amendment or supplement and not to file any such proposed amendment or supplement to which the Underwriter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right="40" w:firstLine="419"/>
        <w:spacing w:after="0" w:line="308" w:lineRule="auto"/>
        <w:tabs>
          <w:tab w:leader="none" w:pos="79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furnish to the Underwriter a copy of each proposed free writing prospectus to be prepared by or on behalf of, used by, or referred to by the Company and not to use or refer to any proposed free writing prospectus to which the Underwriter reasonably object.</w:t>
      </w:r>
    </w:p>
    <w:p>
      <w:pPr>
        <w:spacing w:after="0" w:line="38" w:lineRule="exact"/>
        <w:rPr>
          <w:rFonts w:ascii="Arial" w:cs="Arial" w:eastAsia="Arial" w:hAnsi="Arial"/>
          <w:sz w:val="17"/>
          <w:szCs w:val="17"/>
          <w:color w:val="auto"/>
        </w:rPr>
      </w:pPr>
    </w:p>
    <w:p>
      <w:pPr>
        <w:ind w:right="120" w:firstLine="419"/>
        <w:spacing w:after="0" w:line="263" w:lineRule="auto"/>
        <w:tabs>
          <w:tab w:leader="none" w:pos="8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to take any action that would result in the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5" w:lineRule="exact"/>
        <w:rPr>
          <w:rFonts w:ascii="Arial" w:cs="Arial" w:eastAsia="Arial" w:hAnsi="Arial"/>
          <w:sz w:val="18"/>
          <w:szCs w:val="18"/>
          <w:color w:val="auto"/>
        </w:rPr>
      </w:pPr>
    </w:p>
    <w:p>
      <w:pPr>
        <w:ind w:right="60" w:firstLine="419"/>
        <w:spacing w:after="0" w:line="269" w:lineRule="auto"/>
        <w:tabs>
          <w:tab w:leader="none" w:pos="803"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 it is necessary to amend or supplement the Time of Sale Prospectus to comply with applicable law, forthwith to prepare, file with the Commission and furnish, at its own expense, to the Underwriter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77" w:lineRule="exact"/>
        <w:rPr>
          <w:rFonts w:ascii="Arial" w:cs="Arial" w:eastAsia="Arial" w:hAnsi="Arial"/>
          <w:sz w:val="17"/>
          <w:szCs w:val="17"/>
          <w:color w:val="auto"/>
        </w:rPr>
      </w:pPr>
    </w:p>
    <w:p>
      <w:pPr>
        <w:ind w:firstLine="419"/>
        <w:spacing w:after="0" w:line="259" w:lineRule="auto"/>
        <w:tabs>
          <w:tab w:leader="none" w:pos="7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during such period after the first date of the public offering of the Shares as in the opinion of counsel for the Underwriter the Prospectus (or in lieu thereof the notice referred to in Rule 173(a) of the Securities Act) is required by law to be delivered in connection with sales by the Underwriter or a dealer, any event shall occur or condition exist as a result of which it is necessary to amend or supplement the Prospectus in order to make the statements therein, in</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20"/>
          </w:cols>
          <w:pgMar w:left="880" w:top="274" w:right="499" w:bottom="1440" w:gutter="0" w:footer="0" w:header="0"/>
        </w:sectPr>
      </w:pPr>
    </w:p>
    <w:bookmarkStart w:id="21" w:name="page22"/>
    <w:bookmarkEnd w:id="21"/>
    <w:p>
      <w:pPr>
        <w:ind w:lef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light of the circumstances when the Prospectus (or in lieu thereof the notice referred to in Rule 173(a) of the Securities Act) is delivered to a purchaser, not misleading, or if, in the opinion of counsel for the Underwriter, it is necessary to amend or supplement the Prospectus to comply with applicable law, forthwith to prepare, file with the Commission and furnish, at its own expense, to the Underwriter and to the dealers (whose names and addresses the Underwriter will furnish to the Company) to which Shares may have been sold by the Underwriter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58" w:lineRule="exact"/>
        <w:rPr>
          <w:sz w:val="20"/>
          <w:szCs w:val="20"/>
          <w:color w:val="auto"/>
        </w:rPr>
      </w:pPr>
    </w:p>
    <w:p>
      <w:pPr>
        <w:ind w:left="440" w:firstLine="419"/>
        <w:spacing w:after="0" w:line="259" w:lineRule="auto"/>
        <w:tabs>
          <w:tab w:leader="none" w:pos="1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endeavor to qualify the Shares for offer and sale under the securities or Blue Sky laws of such jurisdictions as the Underwriter shall reasonably request; provided, however, that nothing contained herein shall require the Company to qualify to do business in any jurisdiction, to execute or file a general consent to service of process in any jurisdiction or to subject itself to taxation in any jurisdiction in which is not otherwise subject.</w:t>
      </w:r>
    </w:p>
    <w:p>
      <w:pPr>
        <w:spacing w:after="0" w:line="78" w:lineRule="exact"/>
        <w:rPr>
          <w:rFonts w:ascii="Arial" w:cs="Arial" w:eastAsia="Arial" w:hAnsi="Arial"/>
          <w:sz w:val="18"/>
          <w:szCs w:val="18"/>
          <w:color w:val="auto"/>
        </w:rPr>
      </w:pPr>
    </w:p>
    <w:p>
      <w:pPr>
        <w:ind w:left="440" w:right="260" w:firstLine="419"/>
        <w:spacing w:after="0" w:line="279" w:lineRule="auto"/>
        <w:tabs>
          <w:tab w:leader="none" w:pos="12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make generally available (which may be satisfied by filing with the Commission on its Electronic Data Gathering Analysis and Retrieval System) to the Company’s security holders and to the Underwriter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7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The Company also covenants with the Underwriter that, without the prior written consent of the Underwriter, it will not, during the period ending 45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or (4) make any public announcement of its intention to do any of the foregoing.</w:t>
      </w:r>
    </w:p>
    <w:p>
      <w:pPr>
        <w:spacing w:after="0" w:line="16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restrictions contained in the preceding paragraph shall not apply to (a) the Shares to be sold hereunder, (b) the issuance by the Company of shares of Common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2" w:name="page23"/>
    <w:bookmarkEnd w:id="2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Stock as disclosed in the Time of Sale Prospectus, (c) the issuance by the Company of shares of Common Stock or securities convertible into or exercisable for Common Stock pursuant to the conversion or exchange of convertible or exchangeable securities or the exercise of options (including net exercise) or the settlement of restricted stock units (including net settlement), in each case outstanding on the date hereof and described in the Time of Sale Prospectus, (d) grants of stock options, stock awards, restricted stock, restricted stock units or other equity awards and the issuance of Common Stock or securities convertible into or exercisable for Common Stock (whether upon the exercise of stock options or otherwise) to employees, officers, directors, advisors, or consultants of the Company pursuant to the terms of a plan in effect on the date hereof and described in the Time of Sale Prospectus provided that, solely in the case of such grants or other equity awards to directors or officers of the Company, prior to the issuance of any such shares or the grant of any such options or restricted stock units, the Company shall cause each recipient of such grant or issuance to execute and deliver a “lock up” agreement, substantially in the form of Exhibit A hereto covering the remainder of the Restricted Period, to the extent that such recipient has not already delivered such an agreement, (e) the sale or issuance of or entry into an agreement providing for the sale or issuance of Common Stock or securities convertible into, exercisable for or which are otherwise exchangeable for or represent the right to receive Common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Common Stock or securities convertible into, exercisable for or which are otherwise exchangeable for or represent the right to receive Common Stock pursuant to any such agreement or (y) the Company’s joint ventures, commercial relationships and other strategic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shares of Common Stock and securities convertible into, exercisable for or which are otherwise exchangeable for or represent the right to receive Common Stock that the Company may sell or issue or agree to sell or issue pursuant to this clause (e) shall not exceed 5% of the total number of shares of Common Stock outstanding immediately following the completion of the transactions contemplated by this Agreement,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all recipients of any such securities pursuant to this clause (e) shall enter into a lock-up letter substantially in the form of Exhibit A covering the remainder of the Restricted Period, (f) the establishment or amendment of a trading plan pursuant to Rule 10b5-1 under the Exchange Act for the transfer of shares of Common Stock, provided that (x) such plan or amendment does not provide for the transfer of Common Stock during the Restricted Period and (y) to the extent a public announcement or filing under the Exchange Act, if any, is required of or voluntarily made by the Company regarding the establishment or amendment of such plan, such announcement or filing shall include a statement to the effect that no transfer of Common Stock may be made under such plan during the Restricted Period, or (g) the filing of any registration statement on Form S-8 relating to securities granted or to be granted pursuant to any plan in effect on the date hereof and described in the Time of Sale Prospectus or any assumed benefit plan contemplated by clause (e).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3" w:name="page24"/>
    <w:bookmarkEnd w:id="23"/>
    <w:p>
      <w:pPr>
        <w:ind w:firstLine="436"/>
        <w:spacing w:after="0" w:line="284" w:lineRule="auto"/>
        <w:tabs>
          <w:tab w:leader="none" w:pos="75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Expenses</w:t>
      </w:r>
      <w:r>
        <w:rPr>
          <w:rFonts w:ascii="Arial" w:cs="Arial" w:eastAsia="Arial" w:hAnsi="Arial"/>
          <w:sz w:val="16"/>
          <w:szCs w:val="16"/>
          <w:color w:val="auto"/>
        </w:rPr>
        <w:t>. Whether or not the transactions contemplated in this Agreement are consummated or this Agreement is terminated,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agrees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the filing fees payable to the Commission relating to the Shares (within the time required by Rule 456(b)(1), if applicable), all printing costs associated therewith, and the mailing and delivering of copies thereof to the Underwriter and dealers, in the quantities hereinabove specified, (ii) all costs and expenses related to the transfer and delivery of the Shares to the Underwriter, including any transfer or other taxes payable thereon, (iii) the reasonable, documented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documented fees and disbursements of counsel for the Underwriter in connection with such qualification and in connection with the Blue Sky or Legal Investment memorandum, (iv) all filing fees and the reasonable fees and disbursements of counsel to the Underwriter incurred in connection with the review and qualification of the offering of the Shares by FINRA (provided, that, the amount payable by the Company with respect to fees and disbursements of counsel for the Underwriter pursuant to subsections (iii) and (iv) shall not exceed $35,000), (v) all fees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9 entitled “Indemnity and Contribution” and the last sentence of Section 12 below, the Underwriter will pay all of its costs and expenses, including fees and disbursements of its counsel, stock transfer taxes payable on resale of any of the Shares by it and any advertising expenses connected with any offers it may make and other expenses of the Underwriter or any of its employees incurred by it in connection with any “road show.”</w:t>
      </w:r>
    </w:p>
    <w:p>
      <w:pPr>
        <w:spacing w:after="0" w:line="390" w:lineRule="exact"/>
        <w:rPr>
          <w:rFonts w:ascii="Arial" w:cs="Arial" w:eastAsia="Arial" w:hAnsi="Arial"/>
          <w:sz w:val="16"/>
          <w:szCs w:val="16"/>
          <w:color w:val="auto"/>
        </w:rPr>
      </w:pPr>
    </w:p>
    <w:p>
      <w:pPr>
        <w:ind w:right="180" w:firstLine="436"/>
        <w:spacing w:after="0" w:line="277" w:lineRule="auto"/>
        <w:tabs>
          <w:tab w:leader="none" w:pos="7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Covenants of the Underwriter</w:t>
      </w:r>
      <w:r>
        <w:rPr>
          <w:rFonts w:ascii="Arial" w:cs="Arial" w:eastAsia="Arial" w:hAnsi="Arial"/>
          <w:sz w:val="18"/>
          <w:szCs w:val="18"/>
          <w:color w:val="auto"/>
        </w:rPr>
        <w:t>. The Underwriter covenants with the Company not to take any action that would result in the Company being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file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4" w:name="page25"/>
    <w:bookmarkEnd w:id="2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the Commission under Rule 433(d) a free writing prospectus prepared by or on behalf of the Underwriter that otherwise would not be required to be filed by the Company thereunder, but for the action of the Underwriter.</w:t>
      </w:r>
    </w:p>
    <w:p>
      <w:pPr>
        <w:spacing w:after="0" w:line="170" w:lineRule="exact"/>
        <w:rPr>
          <w:sz w:val="20"/>
          <w:szCs w:val="20"/>
          <w:color w:val="auto"/>
        </w:rPr>
      </w:pPr>
    </w:p>
    <w:p>
      <w:pPr>
        <w:ind w:right="40" w:firstLine="436"/>
        <w:spacing w:after="0" w:line="269" w:lineRule="auto"/>
        <w:tabs>
          <w:tab w:leader="none" w:pos="75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Indemnity and Contribution</w:t>
      </w:r>
      <w:r>
        <w:rPr>
          <w:rFonts w:ascii="Arial" w:cs="Arial" w:eastAsia="Arial" w:hAnsi="Arial"/>
          <w:sz w:val="17"/>
          <w:szCs w:val="17"/>
          <w:color w:val="auto"/>
        </w:rPr>
        <w:t>. (a) The Company agrees to indemnify and hold harmless the Underwriter, each person, if any, who controls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within the meaning of either Section 15 of the Securities Act or Section 20 of the Exchange Act, and each affiliate of the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arising out of or relating to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or the Prospectus or any amendment or supplement thereto, arising out of or relating to any omission or alleged omission to state therein a material fact required to be stated therein or necessary to make the statements therein not misleading, except insofar as such losses, claims, damages or liabilities arise from or relate to any such untrue statement or omission or alleged untrue statement or omission based upon information relating to the Underwriter furnished to the Company in writing by the Underwriter expressly for use therein.</w:t>
      </w:r>
    </w:p>
    <w:p>
      <w:pPr>
        <w:spacing w:after="0" w:line="70" w:lineRule="exact"/>
        <w:rPr>
          <w:rFonts w:ascii="Arial" w:cs="Arial" w:eastAsia="Arial" w:hAnsi="Arial"/>
          <w:sz w:val="17"/>
          <w:szCs w:val="17"/>
          <w:color w:val="auto"/>
        </w:rPr>
      </w:pPr>
    </w:p>
    <w:p>
      <w:pPr>
        <w:ind w:left="440" w:right="120" w:firstLine="419"/>
        <w:spacing w:after="0" w:line="275" w:lineRule="auto"/>
        <w:tabs>
          <w:tab w:leader="none" w:pos="1249"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Underwriter agrees to indemnify and hold harmless the Company, its directors, officers and each person, if any, who controls the Company within the meaning of either Section 15 of the Securities Act or Section 20 of the Exchange Act to the same extent as the foregoing indemnity from the Company to the Underwriter, but only with reference to information relating to the Underwriter furnished to the Company in writing by the Underwriter expressly for use in the Registration Statement, any preliminary prospectus, the Time of Sale Prospectus, any issuer free writing prospectus, road show, or the Prospectus or any amendment or supplement thereto.</w:t>
      </w:r>
    </w:p>
    <w:p>
      <w:pPr>
        <w:spacing w:after="0" w:line="68" w:lineRule="exact"/>
        <w:rPr>
          <w:rFonts w:ascii="Arial" w:cs="Arial" w:eastAsia="Arial" w:hAnsi="Arial"/>
          <w:sz w:val="17"/>
          <w:szCs w:val="17"/>
          <w:color w:val="auto"/>
        </w:rPr>
      </w:pPr>
    </w:p>
    <w:p>
      <w:pPr>
        <w:ind w:left="440" w:firstLine="419"/>
        <w:spacing w:after="0" w:line="254" w:lineRule="auto"/>
        <w:tabs>
          <w:tab w:leader="none" w:pos="1243"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case any proceeding (including any governmental investigation) shall be instituted involving any person in respect of which indemnity may be sought pursuant to Section 9(a) or 9(b), such person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documented fees and disbursements of such counsel related to such proceeding. In any such proceeding, any indemnified party shall have the right to retain its own counsel, but the fees and expenses of such counsel shall be at the expense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5" w:name="page26"/>
    <w:bookmarkEnd w:id="2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the Underwriter and all persons, if any, who control the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 officers and each person, if any, who controls the Company within the meaning of either such Section, and that all such fees and expenses shall be reimbursed as they are incurred. In the case of any such separate firm for the Underwriter and such control persons and affiliates of the Underwriter, such firm shall be designated in writing by the Underwriter.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in form and substance reasonably satisfactory to such indemnified party, from all liability on claims that are the subject matter of such proceeding and (y) does not include any statements to or any admission of fault, culpability or failure to act by or on behalf of any indemnified party.</w:t>
      </w:r>
    </w:p>
    <w:p>
      <w:pPr>
        <w:spacing w:after="0" w:line="73" w:lineRule="exact"/>
        <w:rPr>
          <w:sz w:val="20"/>
          <w:szCs w:val="20"/>
          <w:color w:val="auto"/>
        </w:rPr>
      </w:pPr>
    </w:p>
    <w:p>
      <w:pPr>
        <w:ind w:right="20" w:firstLine="419"/>
        <w:spacing w:after="0" w:line="277" w:lineRule="auto"/>
        <w:tabs>
          <w:tab w:leader="none" w:pos="8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the indemnification provided for in Section 9(a) or 9(b) is unavailable to an indemnified party or insufficient in respect of any losses, claims, damages or liabilities referred to therein, then each indemnifying party</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 on the other hand in connection with the offering of the Shares shall be deemed to be in the same respective proportions as the net proceeds from the offering of the Shares (after deducting underwriting discounts and commissions but before deducting expenses) received by the Company and the total underwriting discounts and commissions received by the Underwriter, in each case as set forth in the table on the cover of the Prospectus, bear to the aggregate Public Offering Price of the Shares. The relative fault of the Company on the one hand and the Underwriter on the other hand shall be determined by reference to, among other things, whether the untrue or alleged untrue statement of a material fact or the omission or alleged omission to state a material fact relates to information supplied by the Company or by the Underwriter and the parties’ relative intent, knowledge, access to information and opportunity to correct or prevent such statement or omission.</w:t>
      </w:r>
    </w:p>
    <w:p>
      <w:pPr>
        <w:spacing w:after="0" w:line="63" w:lineRule="exact"/>
        <w:rPr>
          <w:sz w:val="20"/>
          <w:szCs w:val="20"/>
          <w:color w:val="auto"/>
        </w:rPr>
      </w:pPr>
    </w:p>
    <w:p>
      <w:pPr>
        <w:ind w:right="20" w:firstLine="419"/>
        <w:spacing w:after="0" w:line="269" w:lineRule="auto"/>
        <w:tabs>
          <w:tab w:leader="none" w:pos="799"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Company and the Underwriter agree that it would not be just or equitable if contribution pursuant to this Section 9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or by any other method of allocation that does not take account of the 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the Underwriter shall not be required to contribute any amount in excess of the amount by which the total price at which the Shares underwritten by it and distributed to the public were offered to the public exceeds the amount of any damages that the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4" w:right="459" w:bottom="1440" w:gutter="0" w:footer="0" w:header="0"/>
        </w:sectPr>
      </w:pPr>
    </w:p>
    <w:bookmarkStart w:id="27" w:name="page28"/>
    <w:bookmarkEnd w:id="27"/>
    <w:p>
      <w:pPr>
        <w:ind w:left="440" w:right="240" w:firstLine="419"/>
        <w:spacing w:after="0" w:line="291" w:lineRule="auto"/>
        <w:tabs>
          <w:tab w:leader="none" w:pos="1219" w:val="left"/>
        </w:tabs>
        <w:numPr>
          <w:ilvl w:val="1"/>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indemnity and contribution provisions contained in this Section 9 and the representations, warranties and other statements of the Company contained in this Agreement shall remain operative and in full force and effect regardless of (i) any termination of this Agreement,</w:t>
      </w:r>
    </w:p>
    <w:p>
      <w:pPr>
        <w:ind w:left="440" w:right="100" w:hanging="4"/>
        <w:spacing w:after="0" w:line="255"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investigation made by or on behalf of the Underwriter, any person controlling the Underwriter or any affiliate of the Underwriter, or by or on behalf of the Company, its officers or directors or any person controlling the Company and (iii) acceptance of and payment for any of the Shares.</w:t>
      </w:r>
    </w:p>
    <w:p>
      <w:pPr>
        <w:spacing w:after="0" w:line="298" w:lineRule="exact"/>
        <w:rPr>
          <w:sz w:val="20"/>
          <w:szCs w:val="20"/>
          <w:color w:val="auto"/>
        </w:rPr>
      </w:pPr>
    </w:p>
    <w:p>
      <w:pPr>
        <w:ind w:left="840" w:hanging="404"/>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9"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that the Underwriter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firstLine="436"/>
        <w:spacing w:after="0" w:line="259" w:lineRule="auto"/>
        <w:tabs>
          <w:tab w:leader="none" w:pos="8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that the Underwriter is a Covered Entity or a BHC Act Affiliate of the Underwriter becomes subject to a proceeding under a U.S. Special Resolution Regime, Default Rights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 xml:space="preserve">For purposes of this Section 10,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w:t>
      </w:r>
      <w:r>
        <w:rPr>
          <w:rFonts w:ascii="Arial" w:cs="Arial" w:eastAsia="Arial" w:hAnsi="Arial"/>
          <w:sz w:val="17"/>
          <w:szCs w:val="17"/>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7" w:lineRule="exact"/>
        <w:rPr>
          <w:sz w:val="20"/>
          <w:szCs w:val="20"/>
          <w:color w:val="auto"/>
        </w:rPr>
      </w:pPr>
    </w:p>
    <w:p>
      <w:pPr>
        <w:ind w:right="100" w:firstLine="436"/>
        <w:spacing w:after="0" w:line="293" w:lineRule="auto"/>
        <w:tabs>
          <w:tab w:leader="none" w:pos="838"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 may terminate this Agreement by notice given by the Underwriter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NYSE MKT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8" w:name="page29"/>
    <w:bookmarkEnd w:id="28"/>
    <w:p>
      <w:pPr>
        <w:jc w:val="both"/>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calamity or crisis that, in the Underwriter’s judgment, is material and adverse and which, singly or together with any other event specified in this clause (v), makes it, in the Underwriter’s judgment, impracticable or inadvisable to proceed with the offer, sale or delivery of the Shares on the terms and in the manner contemplated in the Time of Sale Prospectus or the Prospectus.</w:t>
      </w:r>
    </w:p>
    <w:p>
      <w:pPr>
        <w:spacing w:after="0" w:line="184" w:lineRule="exact"/>
        <w:rPr>
          <w:sz w:val="20"/>
          <w:szCs w:val="20"/>
          <w:color w:val="auto"/>
        </w:rPr>
      </w:pPr>
    </w:p>
    <w:p>
      <w:pPr>
        <w:ind w:firstLine="436"/>
        <w:spacing w:after="0" w:line="255" w:lineRule="auto"/>
        <w:tabs>
          <w:tab w:leader="none" w:pos="84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Agreement shall become effective upon the execution and delivery hereof by the parties hereto. If this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terminated by the Underwriter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 or the occurrence of any of the events described in Section 11(i), (iii), (iv) or (v)), the Company will reimburse the Underwriter for all out-of-pocket expenses (including the fees and disbursements of its counsel) reasonably incurred by the Underwriter in connection with this Agreement or the offering contemplated hereunder.</w:t>
      </w:r>
    </w:p>
    <w:p>
      <w:pPr>
        <w:spacing w:after="0" w:line="300" w:lineRule="exact"/>
        <w:rPr>
          <w:rFonts w:ascii="Arial" w:cs="Arial" w:eastAsia="Arial" w:hAnsi="Arial"/>
          <w:sz w:val="18"/>
          <w:szCs w:val="18"/>
          <w:color w:val="auto"/>
        </w:rPr>
      </w:pPr>
    </w:p>
    <w:p>
      <w:pPr>
        <w:ind w:left="840" w:hanging="404"/>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36"/>
        <w:spacing w:after="0" w:line="259" w:lineRule="auto"/>
        <w:tabs>
          <w:tab w:leader="none" w:pos="8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Agreement, together with any contemporaneous written agreements and any prior written agreements (to the extent not superseded by this Agreement) that relate to the offering of the Shares, represents the entire agreement between the Company and the Underwriter with respect to the preparation of any preliminary prospectus, the Time of Sale Prospectus, the Prospectus, the conduct of the offering, and the purchase and sale of the Shares.</w:t>
      </w:r>
    </w:p>
    <w:p>
      <w:pPr>
        <w:spacing w:after="0" w:line="186" w:lineRule="exact"/>
        <w:rPr>
          <w:rFonts w:ascii="Arial" w:cs="Arial" w:eastAsia="Arial" w:hAnsi="Arial"/>
          <w:sz w:val="18"/>
          <w:szCs w:val="18"/>
          <w:color w:val="auto"/>
        </w:rPr>
      </w:pPr>
    </w:p>
    <w:p>
      <w:pPr>
        <w:ind w:firstLine="436"/>
        <w:spacing w:after="0" w:line="275" w:lineRule="auto"/>
        <w:tabs>
          <w:tab w:leader="none" w:pos="82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acknowledges that in connection with the offering of the Shares: (i) the Underwriter has acted at arms length, is not an agent of, and owes no fiduciary duties to, the Company or any other person, (ii) the Underwriter owes the Company only those duties and obligations set forth in this Agreement and prior written agreements (to the extent not superseded by this Agreement), if any, and (iii) the Underwriter may have interests that differ from those of the Company. The Company waives to the full extent permitted by applicable law any claims it may have against the Underwriter arising from an alleged breach of fiduciary duty in connection with the offering of the Shares.</w:t>
      </w:r>
    </w:p>
    <w:p>
      <w:pPr>
        <w:spacing w:after="0" w:line="176" w:lineRule="exact"/>
        <w:rPr>
          <w:sz w:val="20"/>
          <w:szCs w:val="20"/>
          <w:color w:val="auto"/>
        </w:rPr>
      </w:pPr>
    </w:p>
    <w:p>
      <w:pPr>
        <w:ind w:right="40" w:firstLine="436"/>
        <w:spacing w:after="0" w:line="257" w:lineRule="auto"/>
        <w:tabs>
          <w:tab w:leader="none" w:pos="84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 Counterparts may be delivered via facsimile,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ind w:left="840" w:hanging="404"/>
        <w:spacing w:after="0"/>
        <w:tabs>
          <w:tab w:leader="none" w:pos="84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9" w:name="page30"/>
    <w:bookmarkEnd w:id="29"/>
    <w:p>
      <w:pPr>
        <w:ind w:left="4" w:right="220" w:firstLine="436"/>
        <w:spacing w:after="0" w:line="277" w:lineRule="auto"/>
        <w:tabs>
          <w:tab w:leader="none" w:pos="849"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left="4" w:right="380" w:firstLine="436"/>
        <w:spacing w:after="0" w:line="291" w:lineRule="auto"/>
        <w:tabs>
          <w:tab w:leader="none" w:pos="849"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communications hereunder shall be in writing and effective only upon receipt and if to the Underwriter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J. P. Morgan Securities LLC, 383 Madison Avenue, 4</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10179, Attention: Equity Syndicate Desk, fax</w:t>
      </w:r>
    </w:p>
    <w:p>
      <w:pPr>
        <w:ind w:left="4" w:hanging="4"/>
        <w:spacing w:after="0" w:line="260" w:lineRule="auto"/>
        <w:tabs>
          <w:tab w:leader="none" w:pos="4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622-8358; if to the Company shall be delivered, mailed or sent to Zoom Video Communications, Inc., 55 Almaden Boulevard, 6th Floor, San Jose, California 95113.</w:t>
      </w:r>
    </w:p>
    <w:p>
      <w:pPr>
        <w:spacing w:after="0" w:line="185" w:lineRule="exact"/>
        <w:rPr>
          <w:sz w:val="20"/>
          <w:szCs w:val="20"/>
          <w:color w:val="auto"/>
        </w:rPr>
      </w:pPr>
    </w:p>
    <w:p>
      <w:pPr>
        <w:jc w:val="center"/>
        <w:ind w:right="-23"/>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0" w:name="page31"/>
    <w:bookmarkEnd w:id="30"/>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ZOOM VIDEO COMMUNICATIONS, INC.</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Kelly S.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14605</wp:posOffset>
            </wp:positionV>
            <wp:extent cx="2588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Kelly Steckelberg</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 P. Morgan Securities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Ilana Foni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2588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Ilana Foni</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Prospectus dated January 12, 2021 relating to the Shelf Securities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Preliminary Prospectus Supplement dated January 12, 2021 relating to the Shares</w:t>
      </w:r>
    </w:p>
    <w:p>
      <w:pPr>
        <w:spacing w:after="0" w:line="130" w:lineRule="exact"/>
        <w:rPr>
          <w:rFonts w:ascii="Arial" w:cs="Arial" w:eastAsia="Arial" w:hAnsi="Arial"/>
          <w:sz w:val="18"/>
          <w:szCs w:val="18"/>
          <w:color w:val="auto"/>
        </w:rPr>
      </w:pPr>
    </w:p>
    <w:p>
      <w:pPr>
        <w:ind w:left="424" w:right="320" w:hanging="424"/>
        <w:spacing w:after="0" w:line="277"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orally communicated pricing information such as price per share and size of offering if a Rule 134 pricing term sheet is used at the time of sale instead of a pricing term sheet filed by the Company under Rule 433(d) as a free writing prospectus</w:t>
      </w:r>
    </w:p>
    <w:p>
      <w:pPr>
        <w:sectPr>
          <w:pgSz w:w="11900" w:h="16838" w:orient="portrait"/>
          <w:cols w:equalWidth="0" w:num="1">
            <w:col w:w="11024"/>
          </w:cols>
          <w:pgMar w:left="436" w:top="270"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 P. Morgan Securities LLC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224"/>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224"/>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 w:right="40" w:firstLine="991"/>
        <w:spacing w:after="0" w:line="303" w:lineRule="auto"/>
        <w:rPr>
          <w:sz w:val="20"/>
          <w:szCs w:val="20"/>
          <w:color w:val="auto"/>
        </w:rPr>
      </w:pPr>
      <w:r>
        <w:rPr>
          <w:rFonts w:ascii="Arial" w:cs="Arial" w:eastAsia="Arial" w:hAnsi="Arial"/>
          <w:sz w:val="16"/>
          <w:szCs w:val="16"/>
          <w:color w:val="auto"/>
        </w:rPr>
        <w:t>The undersigned understands that J. P. Morgan Securities LLC (the “</w:t>
      </w:r>
      <w:r>
        <w:rPr>
          <w:rFonts w:ascii="Arial" w:cs="Arial" w:eastAsia="Arial" w:hAnsi="Arial"/>
          <w:sz w:val="16"/>
          <w:szCs w:val="16"/>
          <w:b w:val="1"/>
          <w:bCs w:val="1"/>
          <w:color w:val="auto"/>
        </w:rPr>
        <w:t>Underwriter</w:t>
      </w:r>
      <w:r>
        <w:rPr>
          <w:rFonts w:ascii="Arial" w:cs="Arial" w:eastAsia="Arial" w:hAnsi="Arial"/>
          <w:sz w:val="16"/>
          <w:szCs w:val="16"/>
          <w:color w:val="auto"/>
        </w:rPr>
        <w:t>”) proposes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Zoom Video Communications,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Underwriter of shares of the Class A common stock, par value $0.001 per share of the Company (“</w:t>
      </w:r>
      <w:r>
        <w:rPr>
          <w:rFonts w:ascii="Arial" w:cs="Arial" w:eastAsia="Arial" w:hAnsi="Arial"/>
          <w:sz w:val="16"/>
          <w:szCs w:val="16"/>
          <w:b w:val="1"/>
          <w:bCs w:val="1"/>
          <w:color w:val="auto"/>
        </w:rPr>
        <w:t>Class A 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and together with the Company’s Class B common stock, par value $0.001 per share, “</w:t>
      </w:r>
      <w:r>
        <w:rPr>
          <w:rFonts w:ascii="Arial" w:cs="Arial" w:eastAsia="Arial" w:hAnsi="Arial"/>
          <w:sz w:val="16"/>
          <w:szCs w:val="16"/>
          <w:b w:val="1"/>
          <w:bCs w:val="1"/>
          <w:color w:val="auto"/>
        </w:rPr>
        <w:t>Class B Common Stock</w:t>
      </w:r>
      <w:r>
        <w:rPr>
          <w:rFonts w:ascii="Arial" w:cs="Arial" w:eastAsia="Arial" w:hAnsi="Arial"/>
          <w:sz w:val="16"/>
          <w:szCs w:val="16"/>
          <w:color w:val="auto"/>
        </w:rPr>
        <w:t>”,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5" w:lineRule="exact"/>
        <w:rPr>
          <w:sz w:val="20"/>
          <w:szCs w:val="20"/>
          <w:color w:val="auto"/>
        </w:rPr>
      </w:pPr>
    </w:p>
    <w:p>
      <w:pPr>
        <w:ind w:left="4" w:right="60" w:firstLine="991"/>
        <w:spacing w:after="0" w:line="269" w:lineRule="auto"/>
        <w:rPr>
          <w:sz w:val="20"/>
          <w:szCs w:val="20"/>
          <w:color w:val="auto"/>
        </w:rPr>
      </w:pPr>
      <w:r>
        <w:rPr>
          <w:rFonts w:ascii="Arial" w:cs="Arial" w:eastAsia="Arial" w:hAnsi="Arial"/>
          <w:sz w:val="17"/>
          <w:szCs w:val="17"/>
          <w:color w:val="auto"/>
        </w:rPr>
        <w:t>To induce the Underwriter to continue its efforts in connection with the Public Offering, the undersigned hereby agrees that, without the prior written consent of the Underwriter, it will not, during the period commencing on the date hereof and ending on and including the 45</w:t>
      </w:r>
      <w:r>
        <w:rPr>
          <w:rFonts w:ascii="Arial" w:cs="Arial" w:eastAsia="Arial" w:hAnsi="Arial"/>
          <w:sz w:val="14"/>
          <w:szCs w:val="14"/>
          <w:color w:val="auto"/>
        </w:rPr>
        <w:t>th</w:t>
      </w:r>
      <w:r>
        <w:rPr>
          <w:rFonts w:ascii="Arial" w:cs="Arial" w:eastAsia="Arial" w:hAnsi="Arial"/>
          <w:sz w:val="17"/>
          <w:szCs w:val="17"/>
          <w:color w:val="auto"/>
        </w:rPr>
        <w:t xml:space="preserve"> day after the date of the final prospectus (the “</w:t>
      </w:r>
      <w:r>
        <w:rPr>
          <w:rFonts w:ascii="Arial" w:cs="Arial" w:eastAsia="Arial" w:hAnsi="Arial"/>
          <w:sz w:val="17"/>
          <w:szCs w:val="17"/>
          <w:b w:val="1"/>
          <w:bCs w:val="1"/>
          <w:color w:val="auto"/>
        </w:rPr>
        <w:t>Restricted Period</w:t>
      </w:r>
      <w:r>
        <w:rPr>
          <w:rFonts w:ascii="Arial" w:cs="Arial" w:eastAsia="Arial" w:hAnsi="Arial"/>
          <w:sz w:val="17"/>
          <w:szCs w:val="17"/>
          <w:color w:val="auto"/>
        </w:rPr>
        <w:t>”) relating to the Public Offering (the “</w:t>
      </w:r>
      <w:r>
        <w:rPr>
          <w:rFonts w:ascii="Arial" w:cs="Arial" w:eastAsia="Arial" w:hAnsi="Arial"/>
          <w:sz w:val="17"/>
          <w:szCs w:val="17"/>
          <w:b w:val="1"/>
          <w:bCs w:val="1"/>
          <w:color w:val="auto"/>
        </w:rPr>
        <w:t>Prospectus</w:t>
      </w:r>
      <w:r>
        <w:rPr>
          <w:rFonts w:ascii="Arial" w:cs="Arial" w:eastAsia="Arial" w:hAnsi="Arial"/>
          <w:sz w:val="17"/>
          <w:szCs w:val="17"/>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by the undersigned or any other securities so owned convertible into or exercisable or exchangeable for Common Stock (collectively, the “</w:t>
      </w:r>
      <w:r>
        <w:rPr>
          <w:rFonts w:ascii="Arial" w:cs="Arial" w:eastAsia="Arial" w:hAnsi="Arial"/>
          <w:sz w:val="17"/>
          <w:szCs w:val="17"/>
          <w:b w:val="1"/>
          <w:bCs w:val="1"/>
          <w:color w:val="auto"/>
        </w:rPr>
        <w:t>Securities</w:t>
      </w:r>
      <w:r>
        <w:rPr>
          <w:rFonts w:ascii="Arial" w:cs="Arial" w:eastAsia="Arial" w:hAnsi="Arial"/>
          <w:sz w:val="17"/>
          <w:szCs w:val="17"/>
          <w:color w:val="auto"/>
        </w:rPr>
        <w:t>”), or publicly announce the intention to enter into any such transaction,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w:t>
      </w:r>
    </w:p>
    <w:p>
      <w:pPr>
        <w:spacing w:after="0" w:line="91" w:lineRule="exact"/>
        <w:rPr>
          <w:sz w:val="20"/>
          <w:szCs w:val="20"/>
          <w:color w:val="auto"/>
        </w:rPr>
      </w:pPr>
    </w:p>
    <w:p>
      <w:pPr>
        <w:ind w:left="424" w:right="580" w:hanging="424"/>
        <w:spacing w:after="0" w:line="277"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transactions relating to shares of Common Stock or other Securities acquired in the Public Offering or open market transactions after the completion of the Public</w:t>
      </w:r>
    </w:p>
    <w:p>
      <w:pPr>
        <w:sectPr>
          <w:pgSz w:w="11900" w:h="16838" w:orient="portrait"/>
          <w:cols w:equalWidth="0" w:num="1">
            <w:col w:w="11024"/>
          </w:cols>
          <w:pgMar w:left="436" w:top="270" w:right="439" w:bottom="1440" w:gutter="0" w:footer="0" w:header="0"/>
        </w:sectPr>
      </w:pPr>
    </w:p>
    <w:bookmarkStart w:id="33" w:name="page34"/>
    <w:bookmarkEnd w:id="33"/>
    <w:p>
      <w:pPr>
        <w:ind w:left="42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 of the Exchange Act, reporting a reduction in beneficial ownership of shares of Common Stock, shall be required or shall be voluntarily made during the Restricted Period in connection with subsequent sales of Common Stock or other Securities acquired in the Public Offering or in such open market transactions;</w:t>
      </w:r>
    </w:p>
    <w:p>
      <w:pPr>
        <w:spacing w:after="0" w:line="89" w:lineRule="exact"/>
        <w:rPr>
          <w:sz w:val="20"/>
          <w:szCs w:val="20"/>
          <w:color w:val="auto"/>
        </w:rPr>
      </w:pPr>
    </w:p>
    <w:p>
      <w:pPr>
        <w:ind w:left="424" w:hanging="424"/>
        <w:spacing w:after="0"/>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transfers of shares of Common Stock or other Securities as a bona fide gift, charitable contribution or for bona fide estate planning purposes;</w:t>
      </w:r>
    </w:p>
    <w:p>
      <w:pPr>
        <w:spacing w:after="0" w:line="153" w:lineRule="exact"/>
        <w:rPr>
          <w:rFonts w:ascii="Arial" w:cs="Arial" w:eastAsia="Arial" w:hAnsi="Arial"/>
          <w:sz w:val="16"/>
          <w:szCs w:val="16"/>
          <w:color w:val="auto"/>
        </w:rPr>
      </w:pPr>
    </w:p>
    <w:p>
      <w:pPr>
        <w:ind w:left="424" w:right="440" w:hanging="424"/>
        <w:spacing w:after="0" w:line="277"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transfers of shares of Common Stock or other Securities by will or intestate succession upon the death of the undersigned, including to the transferee’s nominee or custodian;</w:t>
      </w:r>
    </w:p>
    <w:p>
      <w:pPr>
        <w:spacing w:after="0" w:line="75" w:lineRule="exact"/>
        <w:rPr>
          <w:rFonts w:ascii="Arial" w:cs="Arial" w:eastAsia="Arial" w:hAnsi="Arial"/>
          <w:sz w:val="18"/>
          <w:szCs w:val="18"/>
          <w:color w:val="auto"/>
        </w:rPr>
      </w:pPr>
    </w:p>
    <w:p>
      <w:pPr>
        <w:ind w:left="424" w:right="360" w:hanging="424"/>
        <w:spacing w:after="0" w:line="263"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transfers of shares of Common Stock or other Securities to an immediate family member or any trust for the direct or indirect benefit of the undersigned or the immediate family of the undersigned (for purposes of this lock-up letter agreement, “immediate family” shall mean any relationship by blood, marriage or adoption, not more remote than first cousin);</w:t>
      </w:r>
    </w:p>
    <w:p>
      <w:pPr>
        <w:spacing w:after="0" w:line="89"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transfers or distributions of shares of Common Stock or any other Securities by a stockholder that is a trust to a trustor or beneficiary of the trust or to the estate of a beneficiary of such trust;</w:t>
      </w:r>
    </w:p>
    <w:p>
      <w:pPr>
        <w:spacing w:after="0" w:line="75" w:lineRule="exact"/>
        <w:rPr>
          <w:rFonts w:ascii="Arial" w:cs="Arial" w:eastAsia="Arial" w:hAnsi="Arial"/>
          <w:sz w:val="18"/>
          <w:szCs w:val="18"/>
          <w:color w:val="auto"/>
        </w:rPr>
      </w:pPr>
    </w:p>
    <w:p>
      <w:pPr>
        <w:ind w:left="424" w:right="60" w:hanging="424"/>
        <w:spacing w:after="0" w:line="255"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(1) to distributions of shares of Common Stock or other Securities to limited partners, members, stockholders or holders of similar equity interests in the undersigned (or in each case its nominee or custodian) or (2) to transfers of shares of Common Stock or other Securities to another corporation, partnership, limited liability company, trust or other business entity (or in each case its nominee or custodian) that is an affiliate (as defined in Rule 405 promulgated under the Securities Act of 1933, as amended) of the undersigned, or to any investment fund or other entity controlled or managed by the undersigned or affiliates of the undersigned;</w:t>
      </w:r>
    </w:p>
    <w:p>
      <w:pPr>
        <w:spacing w:after="0" w:line="97" w:lineRule="exact"/>
        <w:rPr>
          <w:rFonts w:ascii="Arial" w:cs="Arial" w:eastAsia="Arial" w:hAnsi="Arial"/>
          <w:sz w:val="18"/>
          <w:szCs w:val="18"/>
          <w:color w:val="auto"/>
        </w:rPr>
      </w:pPr>
    </w:p>
    <w:p>
      <w:pPr>
        <w:ind w:left="424" w:right="20" w:hanging="424"/>
        <w:spacing w:after="0" w:line="257"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to transfers of shares of Common Stock or other Securities by operation of law pursuant to a qualified domestic order or in connection with a divorce settlement, or other court ordered transfer;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required by Section 16 of the Exchange Act shall clearly indicate in the footnotes thereto that such transfer is being made pursuant to the circumstances described in this clause (g) and such shares remain subject to this lock-up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other public announcement or filing shall be required or shall be voluntarily made during the Restricted Period;</w:t>
      </w:r>
    </w:p>
    <w:p>
      <w:pPr>
        <w:spacing w:after="0" w:line="93" w:lineRule="exact"/>
        <w:rPr>
          <w:rFonts w:ascii="Arial" w:cs="Arial" w:eastAsia="Arial" w:hAnsi="Arial"/>
          <w:sz w:val="18"/>
          <w:szCs w:val="18"/>
          <w:color w:val="auto"/>
        </w:rPr>
      </w:pPr>
    </w:p>
    <w:p>
      <w:pPr>
        <w:ind w:left="424" w:right="260" w:hanging="424"/>
        <w:spacing w:after="0" w:line="263"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(1) the receipt by the undersigned from the Company of shares of Common Stock upon the exercise, vesting or settlement of options, restricted stock units or other equity awards granted under a stock incentive plan or other equity award plan, which plan is described in the registration statement related to the Public Offering (the</w:t>
      </w:r>
    </w:p>
    <w:p>
      <w:pPr>
        <w:sectPr>
          <w:pgSz w:w="11900" w:h="16838" w:orient="portrait"/>
          <w:cols w:equalWidth="0" w:num="1">
            <w:col w:w="11004"/>
          </w:cols>
          <w:pgMar w:left="436" w:top="274" w:right="459" w:bottom="1440" w:gutter="0" w:footer="0" w:header="0"/>
        </w:sectPr>
      </w:pPr>
    </w:p>
    <w:bookmarkStart w:id="34" w:name="page35"/>
    <w:bookmarkEnd w:id="34"/>
    <w:p>
      <w:pPr>
        <w:ind w:left="42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or the Prospectus, or (2) the transfer of shares of Common Stock or any securities convertible into Common Stock to the Company upon a vesting or settlement event of the Company’s restricted stock units or other securities or upon the exercise of options to purchase the Company’s securities on a “cashless” or “net exercise” basis to the extent permitted by the instruments representing such options (and any transfer to the Company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the Company and the Company’s cancellation of all or a portion thereof to pay the exercise price and/or withholding tax and remittance obligations in connection with the vesting, settlement or exercise of the restricted stock unit, option or other equity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(yy) that the shares received upon vesting, settlement or exercise of the restricted stock unit, option or other equity award are subject to this lock-up agreement with the Underwriter of the Public Offering, and (zz) that in the case of clauses (1) or (2), any filing required under Section 16 of the Exchange Act to be made during the Restricted Period shall include a statement to the effect that</w:t>
      </w:r>
    </w:p>
    <w:p>
      <w:pPr>
        <w:spacing w:after="0" w:line="8" w:lineRule="exact"/>
        <w:rPr>
          <w:sz w:val="20"/>
          <w:szCs w:val="20"/>
          <w:color w:val="auto"/>
        </w:rPr>
      </w:pPr>
    </w:p>
    <w:p>
      <w:pPr>
        <w:ind w:left="724" w:hanging="292"/>
        <w:spacing w:after="0"/>
        <w:tabs>
          <w:tab w:leader="none" w:pos="724"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such transaction reflects the circumstances described in (1) or (2), as the case may be, (B) such transaction was only with the Company and</w:t>
      </w:r>
    </w:p>
    <w:p>
      <w:pPr>
        <w:spacing w:after="0" w:line="32" w:lineRule="exact"/>
        <w:rPr>
          <w:rFonts w:ascii="Arial" w:cs="Arial" w:eastAsia="Arial" w:hAnsi="Arial"/>
          <w:sz w:val="16"/>
          <w:szCs w:val="16"/>
          <w:color w:val="auto"/>
        </w:rPr>
      </w:pPr>
    </w:p>
    <w:p>
      <w:pPr>
        <w:ind w:left="424" w:right="40" w:firstLine="8"/>
        <w:spacing w:after="0" w:line="260" w:lineRule="auto"/>
        <w:tabs>
          <w:tab w:leader="none" w:pos="709"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case of (1) the shares of Common Stock received upon exercise or settlement of the option, restricted stock units or other equity awards are subject to this lock-up agreement with the Underwriter of the Public Offering;</w:t>
      </w:r>
    </w:p>
    <w:p>
      <w:pPr>
        <w:spacing w:after="0" w:line="90" w:lineRule="exact"/>
        <w:rPr>
          <w:rFonts w:ascii="Arial" w:cs="Arial" w:eastAsia="Arial" w:hAnsi="Arial"/>
          <w:sz w:val="18"/>
          <w:szCs w:val="18"/>
          <w:color w:val="auto"/>
        </w:rPr>
      </w:pPr>
    </w:p>
    <w:p>
      <w:pPr>
        <w:ind w:left="424" w:right="160" w:hanging="424"/>
        <w:spacing w:after="0" w:line="293" w:lineRule="auto"/>
        <w:tabs>
          <w:tab w:leader="none" w:pos="4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to transfers to the Company of shares of Common Stock or other Securities in connection with the repurchase by the Company from the undersigned of shares of Common Stock or other Securities pursuant to a repurchase right arising upon the termination of the undersigned’s employment with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repurchase right is pursuant to contractual agreements with the Company;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filing required by Section 16 of the Exchange Act shall clearly indicate in the footnotes thereto that the such transfer is being made pursuant to the circumstances described in this clause (i) and that no shares or securities were sold by the reporting person;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other public announcement or filing shall be required or shall be voluntarily made during the Restricted Period;</w:t>
      </w:r>
    </w:p>
    <w:p>
      <w:pPr>
        <w:spacing w:after="0" w:line="69" w:lineRule="exact"/>
        <w:rPr>
          <w:rFonts w:ascii="Arial" w:cs="Arial" w:eastAsia="Arial" w:hAnsi="Arial"/>
          <w:sz w:val="16"/>
          <w:szCs w:val="16"/>
          <w:color w:val="auto"/>
        </w:rPr>
      </w:pPr>
    </w:p>
    <w:p>
      <w:pPr>
        <w:ind w:left="424" w:right="20" w:hanging="424"/>
        <w:spacing w:after="0" w:line="25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to transfers of shares of Common Stock or other Securities pursuant to a bona fide third-party tender offer, merger, consolidation or other similar transaction that is approved by the Board of Directors of the Company, made to all holders of Common Stock involving a Change of Control (as defined below) of the Company which occurs after the consummation of the Public Offering, is open to all holders of the Company’s capital stock and has been approved by the Board of Directors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tender offer, merger, consolidation or other such transaction is not completed, the Securities held by the undersigned shall remain subject to the provisions of this letter agreement (for purposes of this clause (j),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any bona fide third party tender offer, merger, consolidation or other similar transaction, in one transaction or a series of related</w:t>
      </w:r>
    </w:p>
    <w:p>
      <w:pPr>
        <w:sectPr>
          <w:pgSz w:w="11900" w:h="16838" w:orient="portrait"/>
          <w:cols w:equalWidth="0" w:num="1">
            <w:col w:w="10964"/>
          </w:cols>
          <w:pgMar w:left="436" w:top="270" w:right="499" w:bottom="1440" w:gutter="0" w:footer="0" w:header="0"/>
        </w:sectPr>
      </w:pPr>
    </w:p>
    <w:bookmarkStart w:id="35" w:name="page36"/>
    <w:bookmarkEnd w:id="35"/>
    <w:p>
      <w:pPr>
        <w:ind w:left="42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transactions, the result of which is that any “person” (as defined in Section 13(d)(3) of the Exchange Act), or group of persons, other than the Company, becomes the beneficial owner (as defined in Rules 13d-3 and 13d-5 of the Exchange Act) of at least a majority of the total voting power of the voting stock of the Company (or the surviving entity));</w:t>
      </w:r>
    </w:p>
    <w:p>
      <w:pPr>
        <w:spacing w:after="0" w:line="85" w:lineRule="exact"/>
        <w:rPr>
          <w:sz w:val="20"/>
          <w:szCs w:val="20"/>
          <w:color w:val="auto"/>
        </w:rPr>
      </w:pPr>
    </w:p>
    <w:p>
      <w:pPr>
        <w:ind w:left="424" w:hanging="424"/>
        <w:spacing w:after="0" w:line="258"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establishment of a trading plan pursuant to Rule 10b5-1 under the Exchange Act (such plan, a “</w:t>
      </w:r>
      <w:r>
        <w:rPr>
          <w:rFonts w:ascii="Arial" w:cs="Arial" w:eastAsia="Arial" w:hAnsi="Arial"/>
          <w:sz w:val="18"/>
          <w:szCs w:val="18"/>
          <w:b w:val="1"/>
          <w:bCs w:val="1"/>
          <w:color w:val="auto"/>
        </w:rPr>
        <w:t>10b5-1 Plan</w:t>
      </w:r>
      <w:r>
        <w:rPr>
          <w:rFonts w:ascii="Arial" w:cs="Arial" w:eastAsia="Arial" w:hAnsi="Arial"/>
          <w:sz w:val="18"/>
          <w:szCs w:val="18"/>
          <w:color w:val="auto"/>
        </w:rPr>
        <w:t xml:space="preserve">”) for the transfer of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92" w:lineRule="exact"/>
        <w:rPr>
          <w:rFonts w:ascii="Arial" w:cs="Arial" w:eastAsia="Arial" w:hAnsi="Arial"/>
          <w:sz w:val="18"/>
          <w:szCs w:val="18"/>
          <w:color w:val="auto"/>
        </w:rPr>
      </w:pPr>
    </w:p>
    <w:p>
      <w:pPr>
        <w:ind w:left="424" w:right="240" w:hanging="424"/>
        <w:spacing w:after="0" w:line="263"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transfers of shares of Common Stock under a 10b5-1 Plan that is existing as of the date hereof, provided that to the extent a public announcement or filing under the Exchange Act is required of the undersigned or the Company regarding the sale, such announcement or filing shall include a statement to the effect that the sale occurred pursuant to such 10b5-1 Plan; or</w:t>
      </w:r>
    </w:p>
    <w:p>
      <w:pPr>
        <w:spacing w:after="0" w:line="89" w:lineRule="exact"/>
        <w:rPr>
          <w:rFonts w:ascii="Arial" w:cs="Arial" w:eastAsia="Arial" w:hAnsi="Arial"/>
          <w:sz w:val="18"/>
          <w:szCs w:val="18"/>
          <w:color w:val="auto"/>
        </w:rPr>
      </w:pPr>
    </w:p>
    <w:p>
      <w:pPr>
        <w:ind w:left="424" w:right="340" w:hanging="424"/>
        <w:spacing w:after="0" w:line="311" w:lineRule="auto"/>
        <w:tabs>
          <w:tab w:leader="none" w:pos="4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to the conversion of outstanding Class B Common Stock of the Company into shares of Class A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shares of Class A Common Stock received upon conversion remain subject to the terms of this lock-up letter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filing required by Section 16 of the Exchange Act shall clearly indicate in the footnotes thereto the nature and conditions of such transfer.</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31" w:lineRule="exact"/>
        <w:rPr>
          <w:sz w:val="20"/>
          <w:szCs w:val="20"/>
          <w:color w:val="auto"/>
        </w:rPr>
      </w:pPr>
    </w:p>
    <w:p>
      <w:pPr>
        <w:ind w:left="424" w:right="160" w:hanging="424"/>
        <w:spacing w:after="0" w:line="308" w:lineRule="auto"/>
        <w:tabs>
          <w:tab w:leader="none" w:pos="424"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each of the clauses (b) through (g) above, each donee, trustee, distributee or transferee shall sign and deliver a lock-up letter agreement to the Underwriter substantially in the form of this lock-up letter agreement;</w:t>
      </w:r>
    </w:p>
    <w:p>
      <w:pPr>
        <w:spacing w:after="0" w:line="51" w:lineRule="exact"/>
        <w:rPr>
          <w:rFonts w:ascii="Arial" w:cs="Arial" w:eastAsia="Arial" w:hAnsi="Arial"/>
          <w:sz w:val="17"/>
          <w:szCs w:val="17"/>
          <w:color w:val="auto"/>
        </w:rPr>
      </w:pPr>
    </w:p>
    <w:p>
      <w:pPr>
        <w:ind w:left="424" w:right="80" w:hanging="424"/>
        <w:spacing w:after="0" w:line="342" w:lineRule="auto"/>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case of any transfer or distribution pursuant to each of the clauses (b) through (f) above, no public announcement or filing under Section 16 of the Exchange Act, or any other public filing or disclosure shall be required or shall be voluntarily made during the Restricted Period; and</w:t>
      </w:r>
    </w:p>
    <w:p>
      <w:pPr>
        <w:spacing w:after="0" w:line="29" w:lineRule="exact"/>
        <w:rPr>
          <w:rFonts w:ascii="Arial" w:cs="Arial" w:eastAsia="Arial" w:hAnsi="Arial"/>
          <w:sz w:val="16"/>
          <w:szCs w:val="16"/>
          <w:color w:val="auto"/>
        </w:rPr>
      </w:pPr>
    </w:p>
    <w:p>
      <w:pPr>
        <w:ind w:left="424" w:right="660" w:hanging="424"/>
        <w:spacing w:after="0" w:line="277"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each of clauses (b) through (f) above, such transfer or distribution shall not involve a disposition for value.</w:t>
      </w:r>
    </w:p>
    <w:p>
      <w:pPr>
        <w:spacing w:after="0" w:line="170"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In addition, the undersigned agrees that, without the prior written consent of the Underwriter, it will not, during the Restricted Period, make any demand for or exercise any right with respect to, the registration of any shares of Common Stock or any other Security. The undersigned also agrees and consents to the entry of stop transfer instructions with the Company’s transfer agent and registrar against the transfer of the undersigned’s shares of Common Stock except in compliance with the foregoing restrictions.</w:t>
      </w:r>
    </w:p>
    <w:p>
      <w:pPr>
        <w:sectPr>
          <w:pgSz w:w="11900" w:h="16838" w:orient="portrait"/>
          <w:cols w:equalWidth="0" w:num="1">
            <w:col w:w="11004"/>
          </w:cols>
          <w:pgMar w:left="436" w:top="274" w:right="459" w:bottom="1440" w:gutter="0" w:footer="0" w:header="0"/>
        </w:sectPr>
      </w:pPr>
    </w:p>
    <w:bookmarkStart w:id="36" w:name="page37"/>
    <w:bookmarkEnd w:id="36"/>
    <w:p>
      <w:pPr>
        <w:jc w:val="both"/>
        <w:ind w:right="1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understands that the Company and the Underwriter is relying upon this lock-up letter agreement in proceeding toward consummation of the Public Offering. The undersigned further understands that this lock-up letter agreement is irrevocable and shall be binding upon the undersigned’s heirs, legal representatives, successors and assigns.</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Underwriter. Notwithstanding anything to the contrary contained herein, this lock-up letter agreement will automatically terminate and the undersigned will be released from all of his, her or its obligations hereunder upon the earliest to occur, if any, of (i) the date that the Company, on the one hand, or the Underwriter on the other hand, advises the other party in writing before the execution of the Underwriting Agreement that it has determined not to proceed with the Public Offering, (ii) the date that the Company withdraws the registration statement related to the Public Offering before the execution of the Underwriting Agreement, (iii) the date that the Underwriting Agreement is executed but is terminated (other than the provisions thereof which survive termination) prior to payment for and delivery of the shares of Common Stock to be sold thereunder or (iv) February 1, 2021, in the event that the Underwriting Agreement has not been executed by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by written notice to the undersigned prior to February 1, 2021, extend such date for a period of up to an additional month.</w:t>
      </w:r>
    </w:p>
    <w:p>
      <w:pPr>
        <w:spacing w:after="0" w:line="18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This agreement and any claim, controversy or dispute arising under or related to this agreement shall be governed by and construed in accordance with the laws of the State of New York, without regard to the conflict of laws principles thereof.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10940"/>
          </w:cols>
          <w:pgMar w:left="440" w:top="274" w:right="5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74115" cy="386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Calise Y. Cheng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ccheng@cooley.com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have acted as counsel to Zoom Video Communications,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offering by the Company of up to 5,882,353 shares of the Company’s Class A common stock, par value $0.001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including up to 735,294 Shares that may be sold pursuant to the exercise of an option to purchase additional shares, pursuant to a Registration Statement on Form S-3 (Registration Statement No. 333-252035)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base prospectus included in the Registration Statement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and the prospectus supplement relating to the Shares filed with the Commission pursuant to Rule 424(b) under the Act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this opinion, we have examined and relied upon the Registration Statement, the Prospectus, the Company’s Amended and Restated Certificate of Incorporation and Amended and Restated Bylaws, each as currently in effect, and such other documents, records,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execution and delivery of documents by all persons other than the Company where execution and delivery are prerequisites to the effectiveness thereof. As to certain factual matters, we have relied upon a certificate of an officer of the Company and have not independently verified such matters.</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in accordance with the Registration Statement and the Prospectus, will be validly issued, fully paid and nonassessable.</w:t>
      </w:r>
    </w:p>
    <w:p>
      <w:pPr>
        <w:spacing w:after="0" w:line="103" w:lineRule="exact"/>
        <w:rPr>
          <w:sz w:val="20"/>
          <w:szCs w:val="20"/>
          <w:color w:val="auto"/>
        </w:rPr>
      </w:pPr>
    </w:p>
    <w:p>
      <w:pPr>
        <w:jc w:val="center"/>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3175 Hanover Street</w:t>
        <w:tab/>
        <w:t>Palo Alto, CA</w:t>
      </w:r>
      <w:r>
        <w:rPr>
          <w:sz w:val="20"/>
          <w:szCs w:val="20"/>
          <w:color w:val="auto"/>
        </w:rPr>
        <w:tab/>
      </w:r>
      <w:r>
        <w:rPr>
          <w:rFonts w:ascii="Arial" w:cs="Arial" w:eastAsia="Arial" w:hAnsi="Arial"/>
          <w:sz w:val="16"/>
          <w:szCs w:val="16"/>
          <w:color w:val="auto"/>
        </w:rPr>
        <w:t>94304-1130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020"/>
          </w:cols>
          <w:pgMar w:left="440" w:top="121"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6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Zoom Video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a Current Report on Form 8-K to be filed with the Commission for incorporation by reference in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jc w:val="right"/>
        <w:ind w:right="9000"/>
        <w:spacing w:after="0"/>
        <w:rPr>
          <w:sz w:val="20"/>
          <w:szCs w:val="20"/>
          <w:color w:val="auto"/>
        </w:rPr>
      </w:pPr>
      <w:r>
        <w:rPr>
          <w:rFonts w:ascii="Arial" w:cs="Arial" w:eastAsia="Arial" w:hAnsi="Arial"/>
          <w:sz w:val="16"/>
          <w:szCs w:val="16"/>
          <w:color w:val="auto"/>
        </w:rPr>
        <w:t>By: /s/ Calise 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29210</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9" w:lineRule="exact"/>
        <w:rPr>
          <w:sz w:val="20"/>
          <w:szCs w:val="20"/>
          <w:color w:val="auto"/>
        </w:rPr>
      </w:pPr>
    </w:p>
    <w:p>
      <w:pPr>
        <w:jc w:val="right"/>
        <w:ind w:right="9040"/>
        <w:spacing w:after="0"/>
        <w:rPr>
          <w:sz w:val="20"/>
          <w:szCs w:val="20"/>
          <w:color w:val="auto"/>
        </w:rPr>
      </w:pPr>
      <w:r>
        <w:rPr>
          <w:rFonts w:ascii="Arial" w:cs="Arial" w:eastAsia="Arial" w:hAnsi="Arial"/>
          <w:sz w:val="18"/>
          <w:szCs w:val="18"/>
          <w:color w:val="auto"/>
        </w:rPr>
        <w:t>Calise Y. Cheng</w:t>
      </w:r>
    </w:p>
    <w:p>
      <w:pPr>
        <w:spacing w:after="0" w:line="158" w:lineRule="exact"/>
        <w:rPr>
          <w:sz w:val="20"/>
          <w:szCs w:val="20"/>
          <w:color w:val="auto"/>
        </w:rPr>
      </w:pPr>
    </w:p>
    <w:p>
      <w:pPr>
        <w:jc w:val="center"/>
        <w:ind w:right="-279"/>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3175 Hanover Street</w:t>
        <w:tab/>
        <w:t>Palo Alto, CA</w:t>
      </w:r>
      <w:r>
        <w:rPr>
          <w:sz w:val="20"/>
          <w:szCs w:val="20"/>
          <w:color w:val="auto"/>
        </w:rPr>
        <w:tab/>
      </w:r>
      <w:r>
        <w:rPr>
          <w:rFonts w:ascii="Arial" w:cs="Arial" w:eastAsia="Arial" w:hAnsi="Arial"/>
          <w:sz w:val="16"/>
          <w:szCs w:val="16"/>
          <w:color w:val="auto"/>
        </w:rPr>
        <w:t>94304-1130</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740"/>
          </w:cols>
          <w:pgMar w:left="440" w:top="1097" w:right="7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ind w:right="1320"/>
        <w:spacing w:after="0" w:line="277" w:lineRule="auto"/>
        <w:rPr>
          <w:sz w:val="20"/>
          <w:szCs w:val="20"/>
          <w:color w:val="auto"/>
        </w:rPr>
      </w:pPr>
      <w:r>
        <w:rPr>
          <w:rFonts w:ascii="Arial" w:cs="Arial" w:eastAsia="Arial" w:hAnsi="Arial"/>
          <w:sz w:val="18"/>
          <w:szCs w:val="18"/>
          <w:i w:val="1"/>
          <w:iCs w:val="1"/>
          <w:color w:val="auto"/>
        </w:rPr>
        <w:t>Unless the content otherwise requires, the terms “Zoom,” “company,” “our,” “us,” and “we” in this Exhibit 99.1 refer to Zoom Video Communications, Inc. and where appropriate our consolidated subsidiaries.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Investing in our Class A common stock involves numerous risks, including the risks described in “Risk Factors” below. Below are some of these risks, any one of which could materially adversely affect our business, financial condition, results of operations, and prospects.</w:t>
      </w:r>
    </w:p>
    <w:p>
      <w:pPr>
        <w:spacing w:after="0" w:line="76" w:lineRule="exact"/>
        <w:rPr>
          <w:sz w:val="20"/>
          <w:szCs w:val="20"/>
          <w:color w:val="auto"/>
        </w:rPr>
      </w:pPr>
    </w:p>
    <w:p>
      <w:pPr>
        <w:ind w:left="960" w:right="320" w:hanging="532"/>
        <w:spacing w:after="0" w:line="342"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29" w:lineRule="exact"/>
        <w:rPr>
          <w:rFonts w:ascii="Arial" w:cs="Arial" w:eastAsia="Arial" w:hAnsi="Arial"/>
          <w:sz w:val="16"/>
          <w:szCs w:val="16"/>
          <w:color w:val="auto"/>
        </w:rPr>
      </w:pPr>
    </w:p>
    <w:p>
      <w:pPr>
        <w:jc w:val="both"/>
        <w:ind w:left="960" w:right="300" w:hanging="532"/>
        <w:spacing w:after="0" w:line="287"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Beginning in the fiscal quarter ended April 30, 2020, we faced unprecedented usage of our video-first communications platform largely due to the COVID-19 pandemic. We expect our user growth rate to slow or decline once the impact of the COVID-19 pandemic tapers, particularly as a vaccine becomes widely available, and users return to work or school or are otherwise no longer subject</w:t>
      </w:r>
    </w:p>
    <w:p>
      <w:pPr>
        <w:spacing w:after="0" w:line="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to shelter-in-place mandates;</w:t>
      </w:r>
    </w:p>
    <w:p>
      <w:pPr>
        <w:spacing w:after="0" w:line="116" w:lineRule="exact"/>
        <w:rPr>
          <w:rFonts w:ascii="Arial" w:cs="Arial" w:eastAsia="Arial" w:hAnsi="Arial"/>
          <w:sz w:val="16"/>
          <w:szCs w:val="16"/>
          <w:color w:val="auto"/>
        </w:rPr>
      </w:pPr>
    </w:p>
    <w:p>
      <w:pPr>
        <w:ind w:left="960" w:hanging="53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prospects and future results of operations;</w:t>
      </w:r>
    </w:p>
    <w:p>
      <w:pPr>
        <w:spacing w:after="0" w:line="130"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30"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 and we expect our revenue growth rate to generally decline in future periods;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130" w:lineRule="exact"/>
        <w:rPr>
          <w:rFonts w:ascii="Arial" w:cs="Arial" w:eastAsia="Arial" w:hAnsi="Arial"/>
          <w:sz w:val="18"/>
          <w:szCs w:val="18"/>
          <w:color w:val="auto"/>
        </w:rPr>
      </w:pPr>
    </w:p>
    <w:p>
      <w:pPr>
        <w:ind w:left="960" w:right="220" w:hanging="532"/>
        <w:spacing w:after="0" w:line="342"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we increase sales to large organizations, our sales cycles could lengthen, and we could experience greater deployment challenges;</w:t>
      </w:r>
    </w:p>
    <w:p>
      <w:pPr>
        <w:spacing w:after="0" w:line="153" w:lineRule="exact"/>
        <w:rPr>
          <w:rFonts w:ascii="Arial" w:cs="Arial" w:eastAsia="Arial" w:hAnsi="Arial"/>
          <w:sz w:val="16"/>
          <w:szCs w:val="16"/>
          <w:color w:val="auto"/>
        </w:rPr>
      </w:pPr>
    </w:p>
    <w:p>
      <w:pPr>
        <w:ind w:left="960" w:right="220" w:hanging="53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75"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expect to increase our expenses in the future, which could prevent us from maintaining profitability;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w:t>
      </w:r>
    </w:p>
    <w:p>
      <w:pPr>
        <w:spacing w:after="0" w:line="130" w:lineRule="exact"/>
        <w:rPr>
          <w:rFonts w:ascii="Arial" w:cs="Arial" w:eastAsia="Arial" w:hAnsi="Arial"/>
          <w:sz w:val="18"/>
          <w:szCs w:val="18"/>
          <w:color w:val="auto"/>
        </w:rPr>
      </w:pPr>
    </w:p>
    <w:p>
      <w:pPr>
        <w:ind w:left="960" w:right="20" w:hanging="532"/>
        <w:spacing w:after="0" w:line="25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ectPr>
          <w:pgSz w:w="11900" w:h="16838" w:orient="portrait"/>
          <w:cols w:equalWidth="0" w:num="1">
            <w:col w:w="11020"/>
          </w:cols>
          <w:pgMar w:left="440" w:top="121" w:right="439" w:bottom="1440" w:gutter="0" w:footer="0" w:header="0"/>
        </w:sectPr>
      </w:pPr>
    </w:p>
    <w:bookmarkStart w:id="40" w:name="page41"/>
    <w:bookmarkEnd w:id="40"/>
    <w:p>
      <w:pPr>
        <w:ind w:left="960" w:right="200" w:hanging="532"/>
        <w:spacing w:after="0" w:line="263"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89" w:lineRule="exact"/>
        <w:rPr>
          <w:rFonts w:ascii="Arial" w:cs="Arial" w:eastAsia="Arial" w:hAnsi="Arial"/>
          <w:sz w:val="18"/>
          <w:szCs w:val="18"/>
          <w:color w:val="auto"/>
        </w:rPr>
      </w:pPr>
    </w:p>
    <w:p>
      <w:pPr>
        <w:ind w:left="960" w:right="540" w:hanging="532"/>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significant and expanding operations outside the United States, which may subject us to increased business, regulatory and economic risks that could harm our business;</w:t>
      </w:r>
    </w:p>
    <w:p>
      <w:pPr>
        <w:spacing w:after="0" w:line="75"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89" w:lineRule="exact"/>
        <w:rPr>
          <w:rFonts w:ascii="Arial" w:cs="Arial" w:eastAsia="Arial" w:hAnsi="Arial"/>
          <w:sz w:val="18"/>
          <w:szCs w:val="18"/>
          <w:color w:val="auto"/>
        </w:rPr>
      </w:pPr>
    </w:p>
    <w:p>
      <w:pPr>
        <w:jc w:val="both"/>
        <w:ind w:left="960" w:right="60" w:hanging="532"/>
        <w:spacing w:after="0" w:line="263"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89"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 and</w:t>
      </w:r>
    </w:p>
    <w:p>
      <w:pPr>
        <w:spacing w:after="0" w:line="89"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expect to increase our expenses in the future, which could prevent us from maintaining profitability.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and uncertainties described below, as well as the other information contained in our most recent Annual Report on Form 10-K, our most recent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w:t>
      </w:r>
    </w:p>
    <w:p>
      <w:pPr>
        <w:sectPr>
          <w:pgSz w:w="11900" w:h="16838" w:orient="portrait"/>
          <w:cols w:equalWidth="0" w:num="1">
            <w:col w:w="11000"/>
          </w:cols>
          <w:pgMar w:left="440" w:top="274" w:right="459" w:bottom="1440" w:gutter="0" w:footer="0" w:header="0"/>
        </w:sectPr>
      </w:pPr>
    </w:p>
    <w:bookmarkStart w:id="41" w:name="page42"/>
    <w:bookmarkEnd w:id="41"/>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increased usage of our platform during the COVID-19 pandemic, our customer base has shifted from largely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18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recently subscribed to our free plan during</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19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Similar to the uncertainty of customers renewing their subscriptions or hosts upgrading to a paid Zoom Meeting plan,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prospects and future results of operations.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were incorporated in 2011. As a result of our limited operating history,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w:t>
      </w:r>
    </w:p>
    <w:p>
      <w:pPr>
        <w:spacing w:after="0" w:line="3"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w:t>
      </w:r>
    </w:p>
    <w:p>
      <w:pPr>
        <w:sectPr>
          <w:pgSz w:w="11900" w:h="16838" w:orient="portrait"/>
          <w:cols w:equalWidth="0" w:num="1">
            <w:col w:w="11000"/>
          </w:cols>
          <w:pgMar w:left="440" w:top="274" w:right="459" w:bottom="1440" w:gutter="0" w:footer="0" w:header="0"/>
        </w:sectPr>
      </w:pPr>
    </w:p>
    <w:bookmarkStart w:id="42" w:name="page43"/>
    <w:bookmarkEnd w:id="42"/>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Additionally, if our data centers are unable to keep up with our increasing needs for capacity, including increased usage stemming from</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COVID-19 pandemic, customers may experience delays or interruptions in service as we seek to obtain additional capacity, which could result in the loss of customers who use our video-first communications platform because of its reliability and performance. We plan to continue our practice of opening new data centers to meet increased demand, but we may be unable to bring additional data centers online in a timely manner, including as a result of current shortages for certain parts, such as servers. In addition, to meet short-term capacity needs, we may need to rely increasingly on public cloud providers, including Amazon Web Services and Oracle Cloud, which may result in higher variable costs and harm our business, financial condition, and operating results.</w:t>
      </w:r>
    </w:p>
    <w:p>
      <w:pPr>
        <w:spacing w:after="0" w:line="1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76" w:lineRule="exact"/>
        <w:rPr>
          <w:sz w:val="20"/>
          <w:szCs w:val="20"/>
          <w:color w:val="auto"/>
        </w:rPr>
      </w:pPr>
    </w:p>
    <w:p>
      <w:pPr>
        <w:ind w:left="960" w:hanging="53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legacy web-based meeting providers, including Cisco Webex and LogMeIn GoToMeeting;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bundled productivity solutions providers with video functionality, including Microsoft Teams and Google G Suite and Meet products;</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UCaaS and legacy PBX providers, including Avaya, RingCentral, and 8x8;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consumer-facing platforms that can support small- or medium-sized businesses, including Amazon, Apple and Facebook.</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allows customers to replace their existing PBX solution, which will result in increased competition against companies that offer similar services and new competitors that may enter that market in the future. Also, in connection with the travel restrictions</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and stay-in-place policies resulting from the COVID-19 pandemic, we have seen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ectPr>
          <w:pgSz w:w="11900" w:h="16838" w:orient="portrait"/>
          <w:cols w:equalWidth="0" w:num="1">
            <w:col w:w="11000"/>
          </w:cols>
          <w:pgMar w:left="440" w:top="274" w:right="459" w:bottom="1440" w:gutter="0" w:footer="0" w:header="0"/>
        </w:sectPr>
      </w:pPr>
    </w:p>
    <w:bookmarkStart w:id="43" w:name="page44"/>
    <w:bookmarkEnd w:id="4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new customers a free period of time at the beginning of the subscription term that can result in deferred billings or long-term accounts receivable and increase the risk of loss on uncollected accounts receivable.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experienced significant revenue growth in prior periods. You should not rely on the revenue growth of any prior quarterly or annual period as an indication of our future performance.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particularly as a vaccine becomes widely available, and users return to work or school or are otherwise no longer subject to shelter-in-place mandates,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video-first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208" w:lineRule="exact"/>
        <w:rPr>
          <w:sz w:val="20"/>
          <w:szCs w:val="20"/>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ability to attract new hosts and upgrade hosts that subscribe to our free Zoom Meeting plan to one of our paid Zoom Meeting plans;</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30"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ectPr>
          <w:pgSz w:w="11900" w:h="16838" w:orient="portrait"/>
          <w:cols w:equalWidth="0" w:num="1">
            <w:col w:w="11000"/>
          </w:cols>
          <w:pgMar w:left="440" w:top="274" w:right="459" w:bottom="1440" w:gutter="0" w:footer="0" w:header="0"/>
        </w:sectPr>
      </w:pPr>
    </w:p>
    <w:bookmarkStart w:id="44" w:name="page45"/>
    <w:bookmarkEnd w:id="44"/>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ability to increase sales to large organizations;</w:t>
      </w:r>
    </w:p>
    <w:p>
      <w:pPr>
        <w:spacing w:after="0" w:line="130"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length of our sales cycles, especially with respect to sales to large enterprises and highly-regulated industries, including financial services and U.S. federal and state and foreign governmental agencies;</w:t>
      </w:r>
    </w:p>
    <w:p>
      <w:pPr>
        <w:spacing w:after="0" w:line="75"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hire and retain experienced research and development personnel to design new products, features, and functionality that meet our privacy and security standards;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30" w:lineRule="exact"/>
        <w:rPr>
          <w:rFonts w:ascii="Arial" w:cs="Arial" w:eastAsia="Arial" w:hAnsi="Arial"/>
          <w:sz w:val="18"/>
          <w:szCs w:val="18"/>
          <w:color w:val="auto"/>
        </w:rPr>
      </w:pPr>
    </w:p>
    <w:p>
      <w:pPr>
        <w:ind w:left="960" w:right="980" w:hanging="53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alleged, or perceived privacy violations or issues or security vulnerabilities, incidents, or breaches;</w:t>
      </w:r>
    </w:p>
    <w:p>
      <w:pPr>
        <w:spacing w:after="0" w:line="75"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480"/>
        <w:spacing w:after="0" w:line="381" w:lineRule="auto"/>
        <w:rPr>
          <w:sz w:val="20"/>
          <w:szCs w:val="20"/>
          <w:color w:val="auto"/>
        </w:rPr>
      </w:pPr>
      <w:r>
        <w:rPr>
          <w:rFonts w:ascii="Arial" w:cs="Arial" w:eastAsia="Arial" w:hAnsi="Arial"/>
          <w:sz w:val="15"/>
          <w:szCs w:val="15"/>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ectPr>
          <w:pgSz w:w="11900" w:h="16838" w:orient="portrait"/>
          <w:cols w:equalWidth="0" w:num="1">
            <w:col w:w="11000"/>
          </w:cols>
          <w:pgMar w:left="440" w:top="274" w:right="459" w:bottom="1440" w:gutter="0" w:footer="0" w:header="0"/>
        </w:sectPr>
      </w:pPr>
    </w:p>
    <w:bookmarkStart w:id="45" w:name="page46"/>
    <w:bookmarkEnd w:id="45"/>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This order could be subject to petitions for reconsideration or court appeals. Democratic control of the Executive Branch, Congress, and the FCC following the 2020 elections increases the likelihood of legislative or FCC action to reverse the 2018 decision or adopt new network neutrality rules. In addition, a number of states are adopting or considering legislation or executive actions that would regulate the conduct of broadband providers. As a result, we cannot predict whether the FCC order or state initiatives will be modified, overturned, or vacated by legal action of the court, federal legislation, or the FCC. Under the new rules, broadband internet access providers may be able to</w:t>
      </w:r>
    </w:p>
    <w:p>
      <w:pPr>
        <w:spacing w:after="0" w:line="1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19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we increase sales to large organizations, our sales cycles could lengthen, and we could experience greater deployment challenges.</w:t>
      </w:r>
    </w:p>
    <w:p>
      <w:pPr>
        <w:spacing w:after="0" w:line="23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we continue to grow, 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ectPr>
          <w:pgSz w:w="11900" w:h="16838" w:orient="portrait"/>
          <w:cols w:equalWidth="0" w:num="1">
            <w:col w:w="10980"/>
          </w:cols>
          <w:pgMar w:left="440" w:top="274" w:right="479" w:bottom="1440" w:gutter="0" w:footer="0" w:header="0"/>
        </w:sectPr>
      </w:pPr>
    </w:p>
    <w:bookmarkStart w:id="46" w:name="page47"/>
    <w:bookmarkEnd w:id="46"/>
    <w:p>
      <w:pPr>
        <w:ind w:right="84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generate revenue from sales of subscriptions to our platform, and any decline in demand for our platform or for communications and collaboration technologies in general would harm our business.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1" w:lineRule="exact"/>
        <w:rPr>
          <w:sz w:val="20"/>
          <w:szCs w:val="20"/>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awareness of the communications and collaboration technologies category;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have experienced net losses in the past, and we expect to increase our expenses in the future, which could prevent us from maintaining profitability.</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Although we generated net income of $198.6 million and $411.7 million for the three and nine months ended October 31, 2020, respectively,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enterprise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w:t>
      </w:r>
    </w:p>
    <w:p>
      <w:pPr>
        <w:sectPr>
          <w:pgSz w:w="11900" w:h="16838" w:orient="portrait"/>
          <w:cols w:equalWidth="0" w:num="1">
            <w:col w:w="11000"/>
          </w:cols>
          <w:pgMar w:left="440" w:top="274" w:right="459" w:bottom="1440" w:gutter="0" w:footer="0" w:header="0"/>
        </w:sectPr>
      </w:pPr>
    </w:p>
    <w:bookmarkStart w:id="47" w:name="page48"/>
    <w:bookmarkEnd w:id="47"/>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Despite these significant investments, a majority of these new hosts using our platform on a free Basic account may never upgrade to a paid Zoom Meeting plan. If we are unable to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maintain profitability in future periods. If we fail to grow our revenue sufficiently to keep pace with our investments and other expenses, our business would be harmed.</w:t>
      </w:r>
    </w:p>
    <w:p>
      <w:pPr>
        <w:spacing w:after="0" w:line="19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7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15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If we do not comply with these requirements, we could lose access to the app store and users, and our business would be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2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w:t>
      </w:r>
    </w:p>
    <w:p>
      <w:pPr>
        <w:sectPr>
          <w:pgSz w:w="11900" w:h="16838" w:orient="portrait"/>
          <w:cols w:equalWidth="0" w:num="1">
            <w:col w:w="11020"/>
          </w:cols>
          <w:pgMar w:left="440" w:top="274" w:right="439" w:bottom="1440" w:gutter="0" w:footer="0" w:header="0"/>
        </w:sectPr>
      </w:pPr>
    </w:p>
    <w:bookmarkStart w:id="48" w:name="page49"/>
    <w:bookmarkEnd w:id="48"/>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development, and our goal is to focus our spending on measures that improve quality and ease of adoption, enhance privacy and security, and create organic user demand for our platform. For example, in October 2020 we introduced two new additions to our Zoom platform, OnZoom and Zoom Apps. There is no assurance that these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9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1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operations involve the storage and transmission of customer and user data or information, and security incidents have occurred in the past, and may occur in the future, resulting in unauthorized access to, loss or unauthorized disclosure of, or inadvertent disclosure of, this information, regulatory investigations or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we face security risks from malicious code (such as viruses and worms), phishing incidents, credential stuffing attacks, employee theft, misuse of information or systems, sophisticated nation-state and nation-state supported actors, and advanced persistent threat intrusions. Moreover, security incidents can result in interruptions, delays, or outages in our operations and services, including due to ransomware or denial-of-service attacks. Despite significant efforts to create security barriers to such threats, it is</w:t>
      </w:r>
    </w:p>
    <w:p>
      <w:pPr>
        <w:sectPr>
          <w:pgSz w:w="11900" w:h="16838" w:orient="portrait"/>
          <w:cols w:equalWidth="0" w:num="1">
            <w:col w:w="11020"/>
          </w:cols>
          <w:pgMar w:left="440" w:top="274" w:right="439" w:bottom="1440" w:gutter="0" w:footer="0" w:header="0"/>
        </w:sectPr>
      </w:pPr>
    </w:p>
    <w:bookmarkStart w:id="49" w:name="page50"/>
    <w:bookmarkEnd w:id="49"/>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impossible for us to entirely mitigate these risks. If our security measures are compromised as a result of third-party action, employee, customer, host or user error, malfeasance, stolen or fraudulently obtained log-in credentials, or otherwise,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video-first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We cannot be certain that we will be able to address any vulnerabilities in our software that we may become aware of in the future, or there may be delays in developing patches that can be effectively deployed to address vulnerabilities. We expect similar issues to arise in the future as our products and services are more widely adopted, and as we continue to expand the features and functionality of existing products and introduce new products. We expect to expend significant resources in an effort to protect against security incidents and to mitigate, detect, and remediate actual and potential vulnerabilities. Security incidents and vulnerabilities, and concerns regarding privacy, data protection, and information security may cause some of our customers and hosts to stop using our solutions and fail to upgrade or renew their subscriptions. This discontinuance in use or failure to upgrade or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enterprise customers. As a result, we have experienced negative</w:t>
      </w:r>
    </w:p>
    <w:p>
      <w:pPr>
        <w:sectPr>
          <w:pgSz w:w="11900" w:h="16838" w:orient="portrait"/>
          <w:cols w:equalWidth="0" w:num="1">
            <w:col w:w="11020"/>
          </w:cols>
          <w:pgMar w:left="440" w:top="274" w:right="439" w:bottom="1440" w:gutter="0" w:footer="0" w:header="0"/>
        </w:sectPr>
      </w:pPr>
    </w:p>
    <w:bookmarkStart w:id="50" w:name="page51"/>
    <w:bookmarkEnd w:id="50"/>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Since our founding in 2011, we have experienced rapid growth. For example, our headcount has grown from 2,409 full-time employees as of October 31, 2019, to 3,871 full-time employees as of October 31, 2020,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recent months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18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ectPr>
          <w:pgSz w:w="11900" w:h="16838" w:orient="portrait"/>
          <w:cols w:equalWidth="0" w:num="1">
            <w:col w:w="10980"/>
          </w:cols>
          <w:pgMar w:left="440" w:top="274" w:right="47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business may be significantly affected by a change in the economy, including any resulting effect on consumer or business spending.</w:t>
      </w:r>
    </w:p>
    <w:p>
      <w:pPr>
        <w:spacing w:after="0" w:line="24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business may be affected by changes in the economy generally, including as a result of the COVID-19 pandemic and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Given current economic conditions, we could experience a reduction in demand and loss of customers, especially if the effects of the current economic environment have a prolonged impact on various industries that our video-first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there is no assurance that we will experience an increase in paid hosts once the pandemic tapers, particularly in light of the economic downturn. Similarly, given the shift in our customer base from largely businesses and enterprises to a mix of businesses, enterprises, and consumers due to the COVID-19 pandemic, we expect that we will see higher rates of non-renewals than we have experienced historically.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77" w:lineRule="exact"/>
        <w:rPr>
          <w:sz w:val="20"/>
          <w:szCs w:val="20"/>
          <w:color w:val="auto"/>
        </w:rPr>
      </w:pPr>
    </w:p>
    <w:p>
      <w:pPr>
        <w:ind w:right="920"/>
        <w:spacing w:after="0" w:line="263"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89" w:lineRule="exact"/>
        <w:rPr>
          <w:sz w:val="20"/>
          <w:szCs w:val="20"/>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EMEA and APAC. All of our executive officers are at-will employees, and we do not maintain any key person life insurance policies. Any changes in our senior management team in particular, even in the ordinary course of business, may be disruptive to our business. While we seek to prepare for such transitions, including by establishing strong processes and procedures and</w:t>
      </w:r>
    </w:p>
    <w:p>
      <w:pPr>
        <w:sectPr>
          <w:pgSz w:w="11900" w:h="16838" w:orient="portrait"/>
          <w:cols w:equalWidth="0" w:num="1">
            <w:col w:w="11000"/>
          </w:cols>
          <w:pgMar w:left="440" w:top="274" w:right="459" w:bottom="1440" w:gutter="0" w:footer="0" w:header="0"/>
        </w:sectPr>
      </w:pPr>
    </w:p>
    <w:bookmarkStart w:id="52" w:name="page53"/>
    <w:bookmarkEnd w:id="52"/>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succession planning,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completed our initial public offering in April 2019 and potential candidates may not perceive our compensation package, including our equity awards, as favorably as employees hired prior to our initial public offering.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17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In addition, following our initial public offering, many of our employees are now able to receive significant proceeds from sales of our equity in the public markets, which may reduce their motivation to continue to work for us. Moreover, this liquidity could create disparities in wealth among our employees, which may harm our culture and relations among employees and our business.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platform addresses the communications needs of users worldwide, and we see international expansion as a major opportunity. Our revenue from APAC and EMEA collectively represented 31% and 19% of our total revenue for the three months ended October 31, 2020 and 2019, respectively, and 30% and 19% of our revenue for the nine months ended October 31, 2020 and 2019,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w:t>
      </w:r>
    </w:p>
    <w:p>
      <w:pPr>
        <w:sectPr>
          <w:pgSz w:w="11900" w:h="16838" w:orient="portrait"/>
          <w:cols w:equalWidth="0" w:num="1">
            <w:col w:w="11000"/>
          </w:cols>
          <w:pgMar w:left="440" w:top="274" w:right="459" w:bottom="1440" w:gutter="0" w:footer="0" w:header="0"/>
        </w:sectPr>
      </w:pPr>
    </w:p>
    <w:bookmarkStart w:id="53" w:name="page54"/>
    <w:bookmarkEnd w:id="5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Operating internationally subjects us to new risks and may increase risks that we currently face, including risks associated with:</w:t>
      </w:r>
    </w:p>
    <w:p>
      <w:pPr>
        <w:spacing w:after="0" w:line="131" w:lineRule="exact"/>
        <w:rPr>
          <w:sz w:val="20"/>
          <w:szCs w:val="20"/>
          <w:color w:val="auto"/>
        </w:rPr>
      </w:pPr>
    </w:p>
    <w:p>
      <w:pPr>
        <w:ind w:left="960" w:right="400" w:hanging="532"/>
        <w:spacing w:after="0" w:line="263"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89" w:lineRule="exact"/>
        <w:rPr>
          <w:rFonts w:ascii="Arial" w:cs="Arial" w:eastAsia="Arial" w:hAnsi="Arial"/>
          <w:sz w:val="18"/>
          <w:szCs w:val="18"/>
          <w:color w:val="auto"/>
        </w:rPr>
      </w:pPr>
    </w:p>
    <w:p>
      <w:pPr>
        <w:jc w:val="both"/>
        <w:ind w:left="960" w:hanging="532"/>
        <w:spacing w:after="0" w:line="286" w:lineRule="auto"/>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70" w:lineRule="exact"/>
        <w:rPr>
          <w:rFonts w:ascii="Arial" w:cs="Arial" w:eastAsia="Arial" w:hAnsi="Arial"/>
          <w:sz w:val="17"/>
          <w:szCs w:val="17"/>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in foreign jurisdictions where the government may impede or interrupt our ability to provide our services;</w:t>
      </w:r>
    </w:p>
    <w:p>
      <w:pPr>
        <w:spacing w:after="0" w:line="130"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75"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75" w:lineRule="exact"/>
        <w:rPr>
          <w:rFonts w:ascii="Arial" w:cs="Arial" w:eastAsia="Arial" w:hAnsi="Arial"/>
          <w:sz w:val="18"/>
          <w:szCs w:val="18"/>
          <w:color w:val="auto"/>
        </w:rPr>
      </w:pPr>
    </w:p>
    <w:p>
      <w:pPr>
        <w:jc w:val="both"/>
        <w:ind w:left="960" w:right="580" w:hanging="532"/>
        <w:spacing w:after="0" w:line="263"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30" w:lineRule="exact"/>
        <w:rPr>
          <w:rFonts w:ascii="Arial" w:cs="Arial" w:eastAsia="Arial" w:hAnsi="Arial"/>
          <w:sz w:val="18"/>
          <w:szCs w:val="18"/>
          <w:color w:val="auto"/>
        </w:rPr>
      </w:pPr>
    </w:p>
    <w:p>
      <w:pPr>
        <w:ind w:left="960" w:right="380" w:hanging="532"/>
        <w:spacing w:after="0" w:line="308" w:lineRule="auto"/>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1" w:lineRule="exact"/>
        <w:rPr>
          <w:rFonts w:ascii="Arial" w:cs="Arial" w:eastAsia="Arial" w:hAnsi="Arial"/>
          <w:sz w:val="17"/>
          <w:szCs w:val="17"/>
          <w:color w:val="auto"/>
        </w:rPr>
      </w:pPr>
    </w:p>
    <w:p>
      <w:pPr>
        <w:ind w:left="960" w:right="50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75"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political and economic instability, including as a result of the United Kingdom’s (“U.K.”) withdrawal from the European Union (“EU”), and other political tensions between countries in which we do business;</w:t>
      </w:r>
    </w:p>
    <w:p>
      <w:pPr>
        <w:spacing w:after="0" w:line="75"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 a risk that may increase as a result of the impact of the COVID-19 pandemic on our customers’ ability to pay for our service on a timely basis;</w:t>
      </w:r>
    </w:p>
    <w:p>
      <w:pPr>
        <w:sectPr>
          <w:pgSz w:w="11900" w:h="16838" w:orient="portrait"/>
          <w:cols w:equalWidth="0" w:num="1">
            <w:col w:w="11000"/>
          </w:cols>
          <w:pgMar w:left="440" w:top="274" w:right="459" w:bottom="1440" w:gutter="0" w:footer="0" w:header="0"/>
        </w:sectPr>
      </w:pPr>
    </w:p>
    <w:bookmarkStart w:id="54" w:name="page55"/>
    <w:bookmarkEnd w:id="54"/>
    <w:p>
      <w:pPr>
        <w:ind w:left="960" w:right="120" w:hanging="532"/>
        <w:spacing w:after="0" w:line="308" w:lineRule="auto"/>
        <w:tabs>
          <w:tab w:leader="none" w:pos="960" w:val="left"/>
        </w:tabs>
        <w:numPr>
          <w:ilvl w:val="0"/>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In May 2020, we announced the opening of two new research and development centers in Phoenix, Arizona and Pittsburgh, Pennsylvania. As a result of this expansion, we could experience, among other things, higher operating expenses, which would adversely impact our operating margins and harm our business.</w:t>
      </w:r>
    </w:p>
    <w:p>
      <w:pPr>
        <w:spacing w:after="0" w:line="18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ectPr>
          <w:pgSz w:w="11900" w:h="16838" w:orient="portrait"/>
          <w:cols w:equalWidth="0" w:num="1">
            <w:col w:w="11000"/>
          </w:cols>
          <w:pgMar w:left="440" w:top="274" w:right="459" w:bottom="1440" w:gutter="0" w:footer="0" w:header="0"/>
        </w:sectPr>
      </w:pPr>
    </w:p>
    <w:bookmarkStart w:id="55" w:name="page56"/>
    <w:bookmarkEnd w:id="55"/>
    <w:p>
      <w:pPr>
        <w:ind w:right="10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failure to offer high-quality support for our customers and hosts may harm our relationships with our customers and hosts and, consequently, our business.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nine months ended October 31, 2020 and 2019, 19.3% and 9.1% of our revenue, respectively, and 12.0% and 15.9%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to government entities are subject to a number of additional challenges and risks.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92" w:lineRule="exact"/>
        <w:rPr>
          <w:sz w:val="20"/>
          <w:szCs w:val="20"/>
          <w:color w:val="auto"/>
        </w:rPr>
      </w:pPr>
    </w:p>
    <w:p>
      <w:pPr>
        <w:ind w:left="960" w:right="180" w:hanging="532"/>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selling to governmental entities can be more competitive, expensive, and time-consuming than selling to private entities, often requiring significant up-front time and expense without any assurance that these efforts will generate a sale;</w:t>
      </w:r>
    </w:p>
    <w:p>
      <w:pPr>
        <w:sectPr>
          <w:pgSz w:w="11900" w:h="16838" w:orient="portrait"/>
          <w:cols w:equalWidth="0" w:num="1">
            <w:col w:w="10940"/>
          </w:cols>
          <w:pgMar w:left="440" w:top="274" w:right="519" w:bottom="1440" w:gutter="0" w:footer="0" w:header="0"/>
        </w:sectPr>
      </w:pPr>
    </w:p>
    <w:bookmarkStart w:id="56" w:name="page57"/>
    <w:bookmarkEnd w:id="56"/>
    <w:p>
      <w:pPr>
        <w:ind w:left="960" w:right="140" w:hanging="532"/>
        <w:spacing w:after="0" w:line="263"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government certification requirements, including information security requirements, may change, or we may be unable to achieve or sustain one or more government certifications, including FedRAMP, and in doing so restrict our ability to sell into the government sector until we have attained such certificates;</w:t>
      </w:r>
    </w:p>
    <w:p>
      <w:pPr>
        <w:spacing w:after="0" w:line="89" w:lineRule="exact"/>
        <w:rPr>
          <w:rFonts w:ascii="Arial" w:cs="Arial" w:eastAsia="Arial" w:hAnsi="Arial"/>
          <w:sz w:val="18"/>
          <w:szCs w:val="18"/>
          <w:color w:val="auto"/>
        </w:rPr>
      </w:pPr>
    </w:p>
    <w:p>
      <w:pPr>
        <w:ind w:left="960" w:right="280" w:hanging="532"/>
        <w:spacing w:after="0" w:line="308" w:lineRule="auto"/>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51" w:lineRule="exact"/>
        <w:rPr>
          <w:rFonts w:ascii="Arial" w:cs="Arial" w:eastAsia="Arial" w:hAnsi="Arial"/>
          <w:sz w:val="17"/>
          <w:szCs w:val="17"/>
          <w:color w:val="auto"/>
        </w:rPr>
      </w:pPr>
    </w:p>
    <w:p>
      <w:pPr>
        <w:ind w:left="960" w:right="140" w:hanging="53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that we become more reliant on contracts with government entities in the future, our exposure to such risks and challenges could increase, which in turn could adversely impact our business.</w:t>
      </w:r>
    </w:p>
    <w:p>
      <w:pPr>
        <w:spacing w:after="0" w:line="17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6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2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w:t>
      </w:r>
    </w:p>
    <w:p>
      <w:pPr>
        <w:sectPr>
          <w:pgSz w:w="11900" w:h="16838" w:orient="portrait"/>
          <w:cols w:equalWidth="0" w:num="1">
            <w:col w:w="10960"/>
          </w:cols>
          <w:pgMar w:left="440" w:top="274" w:right="499" w:bottom="1440" w:gutter="0" w:footer="0" w:header="0"/>
        </w:sectPr>
      </w:pPr>
    </w:p>
    <w:bookmarkStart w:id="57" w:name="page58"/>
    <w:bookmarkEnd w:id="57"/>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and liabilities; the applicability of withholding taxes and effects from acquisitions.</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provision for taxes on our condensed consolidated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revenues derived from digital services. Future developments related to such proposals, in particular any unilateral actions outside of the OECD’s Inclusive Framework such as the imposition of DST rules, could have an adverse impact on our effective tax rate and/or harm our business by increasing our future tax obligations.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of January 31, 2020, we had $148.0 million of U.S. federal and $88.2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as modified by the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ectPr>
          <w:pgSz w:w="11900" w:h="16838" w:orient="portrait"/>
          <w:cols w:equalWidth="0" w:num="1">
            <w:col w:w="11000"/>
          </w:cols>
          <w:pgMar w:left="440" w:top="274" w:right="459" w:bottom="1440" w:gutter="0" w:footer="0" w:header="0"/>
        </w:sectPr>
      </w:pPr>
    </w:p>
    <w:bookmarkStart w:id="58" w:name="page59"/>
    <w:bookmarkEnd w:id="58"/>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for state income tax purposes, there may be periods during which the use of net operating losses is suspended or otherwise limited, including a recent California franchise tax law change limiting the usability of California state net operating losses to offset California taxable income in taxable years beginning on or after January 1, 2020 and before January 1, 2023, which could accelerate or permanently increase state taxes owed.</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recorded a valuation allowance against all of our DTAs for the U.S. and U.K. as of both October 31, 2020 and January 31, 2020. We intend to continue maintaining a full valuation allowance on our DTAs until there is sufficient evidence to support the reversal of all or some portion of these allowances. However, given our current earnings and anticipated future earnings, we believe that there is a reasonable possibility that in the foreseeable future, sufficient positive evidence may become available to reach a conclusion that a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1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made and may continue in the future to make acquisitions of other companies, products, and technologies. For example, we announced our acquisition of Keybase Inc in May 2020.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We strive to comply with applicable laws, certifications, documentation, publications, regulations, standards, policies and other obligations relating to privacy, data protection, and information security to the extent possible. Although we endeavor to comply with applicable laws and our policies, publications, certifications, documentation, and other obligations, we may at times fail to do so or may be perceived to have failed to do so. Moreover, despite our efforts, we may not be successful in achieving compliance if our employees, vendors or business partners do not comply with our policies, certifications, and documentation. Such actual or perceived failures in certain cases have subjected, and can subject, us to potential international, local, state and federal legal or regulatory action, including in the event that our policies, certifications, and documentation are</w:t>
      </w:r>
    </w:p>
    <w:p>
      <w:pPr>
        <w:sectPr>
          <w:pgSz w:w="11900" w:h="16838" w:orient="portrait"/>
          <w:cols w:equalWidth="0" w:num="1">
            <w:col w:w="11000"/>
          </w:cols>
          <w:pgMar w:left="440" w:top="274" w:right="459" w:bottom="1440" w:gutter="0" w:footer="0" w:header="0"/>
        </w:sectPr>
      </w:pPr>
    </w:p>
    <w:bookmarkStart w:id="59" w:name="page60"/>
    <w:bookmarkEnd w:id="5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found or alleged to be inaccurate, incomplete, deceptive, unfair, or misrepresentative of our actual practices. The regulatory framework for privacy and data protection worldwide is, and is likely to remain, uncertain for the foreseeable future, which we expect will increase our compliance costs and exposure to liability, and it is possible that these or other actual or alleged obligations may be interpreted and applied in a manner that is inconsistent from one jurisdiction to another and may conflict with other rules or our practices. Increased usage of our services, novel uses of our services, and additional awareness of Zoom and our brand stemming from the COVID-19 pandemic could make it more difficult for us to comply with our contractual obligations, our policies, our publications, our certifications, our documentation, standards, regulations, and applicable laws related to privacy, data protection, and information security, and has and could result in greater public scrutiny of, press related to, or a negative perception of our privacy, data protection, and information security practices. Any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example, in June 2020 we received a grand jury subpoena from the Department of Justice’s U.S. Attorney’s Office for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We have since received additional subpoenas from EDNY seeking related information.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The GDPR imposes more stringent data protection requirements and requires us and our customers to give more detailed disclosures about how we collect, use and share personal information; contractually commit to data protection measures in our contracts with clients;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GDPR provides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Assisting our customers, partners, and vendors in complying with the GDPR, or complying with the GDPR ourselves, may cause us to incur substantial operational costs or require us to change our business practices.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 the U.K.’s decision to leave the EU, often referred to as Brexit, has created uncertainty in data protection issues involving the U.K. For example, pursuant to a post-Brexit trade deal between the U.K. and the EU, transfers of personal information from the European Economic Area to the U.K. are not considered restricted transfers under the GDPR for a period of up to six months from January 1, 2021. However, unless the EU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Additionally, although the U.K. enacted a Data Protection Act in May 2018 that is designed to be consistent with the GDPR, uncertainty remains regarding how data transfers to and from the U.K. will</w:t>
      </w:r>
    </w:p>
    <w:p>
      <w:pPr>
        <w:sectPr>
          <w:pgSz w:w="11900" w:h="16838" w:orient="portrait"/>
          <w:cols w:equalWidth="0" w:num="1">
            <w:col w:w="11020"/>
          </w:cols>
          <w:pgMar w:left="440" w:top="274" w:right="439" w:bottom="1440" w:gutter="0" w:footer="0" w:header="0"/>
        </w:sectPr>
      </w:pPr>
    </w:p>
    <w:bookmarkStart w:id="60" w:name="page61"/>
    <w:bookmarkEnd w:id="60"/>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regulated notwithstanding Brexit.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the U.K. and EU reach a definitive resolution with regards to outstanding trade and legal matters. Given these possibilities and others we may not anticipate, as well as the lack of comparable precedent, the full extent to which our business, results of operations, and financial condition could be adversely affected by Brexit is uncertain. .</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European data protection laws, including the GDPR, generally restrict the transfer of personal information from Europe, including the European Economic Area, U.K. and Switzerland, to the United States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in July 2020, the Court of Justice of the European Union issued a decision invalidating the EU-U.S. Privacy Shield framework.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Similarly, on September 8, 2020, the Swiss Federal Data Protection and Information Commissioner announced that the Swiss-U.S. Privacy Shield Framework is inadequate for personal information transfers from Switzerland to the United States, and also raised questions about the viability of the Standard Contractual Clauses. At present, there are few, if any, viable alternatives to the EU-U.S. Privacy Shield, Swiss-U.S. Privacy Shield, and the Standard Contractual Clauses, all of which are mechanisms on which we have relied for personal information transfers from Europe to the United States and other countries. Authorities in the U.K. may similarly invalidate use of the EU-U.S. Privacy Shield and raise questions on the viability of the Standard Contractual Clauses, as mechanisms for lawful personal information transfers to the United States and other countries. In November 2020, EU regulators proposed a new set of Standard Contractual Clauses (“SCCs”). The new SCCs impose additional obligations and requirements with respect to the transfer of EU personal data to other jurisdictions, which may increase the legal risks and liabilities under the GDPR and local EU laws associated with cross-border data transfers, and result in material increased compliance and operational costs. If we are unable to implement a valid solution for personal information transfers from Europe,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United States or other countries may decrease demand for our products and services as our customers that are subject to the GDPR may seek alternatives that do not involve personal information transfers out of Europe. Our inability to import personal information to the United States and other countries may decrease the functionality or effectiveness of our products and services and adversely impact our marketing efforts, plans and activities. We expect EU regulators to aggressively enforce EU laws prohibiting data transfers to the U.S. and other countries without a legally sound transfer mechanism, and it possible that EU regulators could prevent Zoom from transferring any personal data out of the EU to certain countries like the U.S.</w:t>
      </w:r>
    </w:p>
    <w:p>
      <w:pPr>
        <w:spacing w:after="0" w:line="3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Additionally, other countries outside of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w:t>
      </w:r>
    </w:p>
    <w:p>
      <w:pPr>
        <w:spacing w:after="0" w:line="18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States have also begun to introduce more comprehensive privacy legislation. For example, the California Consumer Privacy Act of 2018 (“CCPA”), which went into effect on January 1, 2020, affords consumers expanded privacy protections. The CCPA gives California residents, among other things,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will be expanded substantially on January 1, 2023 when the California Privacy Rights Act of 2020 (the “CPRA”), which was approved by California voters in November 2020, becomes fully operative. The CPRA will, among other things, give consumers the ability</w:t>
      </w:r>
    </w:p>
    <w:p>
      <w:pPr>
        <w:sectPr>
          <w:pgSz w:w="11900" w:h="16838" w:orient="portrait"/>
          <w:cols w:equalWidth="0" w:num="1">
            <w:col w:w="10980"/>
          </w:cols>
          <w:pgMar w:left="440" w:top="274" w:right="479" w:bottom="1440" w:gutter="0" w:footer="0" w:header="0"/>
        </w:sectPr>
      </w:pPr>
    </w:p>
    <w:bookmarkStart w:id="61" w:name="page62"/>
    <w:bookmarkEnd w:id="6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limit use of information deemed to be sensitive, increase the maximum penalties for violations concerning consumers under age 16, establish the California Privacy Protection Agency to implement and enforce the new law, and impose administrative fines. Aspects of the CCPA 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spacing w:after="0" w:line="171" w:lineRule="exact"/>
        <w:rPr>
          <w:sz w:val="20"/>
          <w:szCs w:val="20"/>
          <w:color w:val="auto"/>
        </w:rPr>
      </w:pPr>
    </w:p>
    <w:p>
      <w:pPr>
        <w:jc w:val="both"/>
        <w:ind w:right="220"/>
        <w:spacing w:after="0" w:line="296" w:lineRule="auto"/>
        <w:rPr>
          <w:sz w:val="20"/>
          <w:szCs w:val="20"/>
          <w:color w:val="auto"/>
        </w:rPr>
      </w:pPr>
      <w:r>
        <w:rPr>
          <w:rFonts w:ascii="Arial" w:cs="Arial" w:eastAsia="Arial" w:hAnsi="Arial"/>
          <w:sz w:val="16"/>
          <w:szCs w:val="16"/>
          <w:color w:val="auto"/>
        </w:rPr>
        <w:t>The CCPA could mark the beginning of a trend toward more stringent privacy legislation in the United States, as other states may follow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w:t>
      </w:r>
    </w:p>
    <w:p>
      <w:pPr>
        <w:spacing w:after="0" w:line="16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The CCPA requires companies to obtain the consent of children in California under 16 (or parental consent for children under 13) before selling their personal information. COPPA is subject to interpretation by courts and other governmental authorities, including the FTC, and the FTC is authorized to promulgate, and has promulgated, revisions to regulations implementing provisions of COPPA. Although we strive to ensure that our platform and applications are compliant with applicable provisions of COPPA, HIPAA, GDPR, and CCPA,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HIPAA, GDPR, and CCPA, or interpretations thereof.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1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laws and regulations, such as the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and may incur significant costs and expenses in an effort to do so, any of which could materially adversely affect our business and operating results. Additional uses of our services arising out of increased demand associated with the COVID-19 pandemic may require us to address additional privacy, data protection, and information security laws, regulations, standards, policies, and contractual obligations. Any failure or perceived failure by us to comply with such laws, regulations, standards, policies, and contractual obligations, or our privacy policies, publications, certifications, or documentation have led and could lead to governmental investigations or enforcement actions (including investigations or actions by state attorneys general, federal regulators, and international regulators), litigation (including class action litigation), claims, or public statements against us by consumer advocacy groups or others, and could result in significant liability, fines or penalties, or cause our users to lose trust in us, which could have an adverse effect on our reputation and business.</w:t>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II, Item 1 “Legal Proceedings” of our Quarterly Report on Form 10-Q for the quarter ended October 31, 2020 for additional information.</w:t>
      </w:r>
    </w:p>
    <w:p>
      <w:pPr>
        <w:sectPr>
          <w:pgSz w:w="11900" w:h="16838" w:orient="portrait"/>
          <w:cols w:equalWidth="0" w:num="1">
            <w:col w:w="11000"/>
          </w:cols>
          <w:pgMar w:left="440" w:top="274" w:right="459" w:bottom="1440" w:gutter="0" w:footer="0" w:header="0"/>
        </w:sectPr>
      </w:pPr>
    </w:p>
    <w:bookmarkStart w:id="62" w:name="page63"/>
    <w:bookmarkEnd w:id="62"/>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also have been the subject of an investigation by the FTC relating to our privacy and security representations and practices. We have reached a proposed settlement agreement with the FTC staff, which remains subject to a final vote by the FTC. See Part II, Item 1 “Legal Proceedings” of our Quarterly Report on Form-10-Q for the quarter ended October 31, 2020 for additional information. We could fail or be perceived to fail to comply with the terms of the proposed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16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current U.S. Administration has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the recently imposed and proposed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w:t>
      </w:r>
    </w:p>
    <w:p>
      <w:pPr>
        <w:sectPr>
          <w:pgSz w:w="11900" w:h="16838" w:orient="portrait"/>
          <w:cols w:equalWidth="0" w:num="1">
            <w:col w:w="11000"/>
          </w:cols>
          <w:pgMar w:left="440" w:top="274" w:right="459" w:bottom="1440" w:gutter="0" w:footer="0" w:header="0"/>
        </w:sectPr>
      </w:pPr>
    </w:p>
    <w:bookmarkStart w:id="63" w:name="page64"/>
    <w:bookmarkEnd w:id="63"/>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Further, in May 2019,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6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application of indirect taxes (such as sales and use tax, VAT, GST, business tax, and gross receipts tax) to businesses that transact online, such as ours, is a complex and evolving area. Following the recent U.S. Supreme Court decision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$53.8 million and $34.0 million as of October 31, 2020, and January 31, 2020, respectively, for loss contingencies resulting from these potential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ectPr>
          <w:pgSz w:w="11900" w:h="16838" w:orient="portrait"/>
          <w:cols w:equalWidth="0" w:num="1">
            <w:col w:w="11000"/>
          </w:cols>
          <w:pgMar w:left="440" w:top="274" w:right="459" w:bottom="1440" w:gutter="0" w:footer="0" w:header="0"/>
        </w:sectPr>
      </w:pPr>
    </w:p>
    <w:bookmarkStart w:id="64" w:name="page65"/>
    <w:bookmarkEnd w:id="64"/>
    <w:p>
      <w:pPr>
        <w:ind w:right="62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are subject to governmental export and import controls that could impair our ability to compete in international markets due to licensing requirements and subject us to liability if we are not in compliance with applicable laws.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6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Although we have taken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submitted initial and final voluntary self-disclosures concerning potential violations of U.S. sanctions and export control laws and regulations to OFAC and the U.S. Department of Commerce’s Bureau of Industry and Security (“BIS”).</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w:t>
      </w:r>
    </w:p>
    <w:p>
      <w:pPr>
        <w:sectPr>
          <w:pgSz w:w="11900" w:h="16838" w:orient="portrait"/>
          <w:cols w:equalWidth="0" w:num="1">
            <w:col w:w="11000"/>
          </w:cols>
          <w:pgMar w:left="440" w:top="274" w:right="459" w:bottom="1440" w:gutter="0" w:footer="0" w:header="0"/>
        </w:sectPr>
      </w:pPr>
    </w:p>
    <w:bookmarkStart w:id="65" w:name="page66"/>
    <w:bookmarkEnd w:id="65"/>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8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6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of 1977, amended, and the U.K. Bribery Act 2010, as well as other similar anti-bribery and anti-kickback laws and regulations. These laws and regulations generally prohibit companies and their employees and intermediaries from authorizing, offering, or providing improper payments or benefits to government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1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Changes in FCC regulation of the internet and internet-based services also could impose new regulatory obligations on our other services. On October 27, 2020, the FCC adopted an order concluding that three issues remanded by the U.S. Court of Appeals following the appeal of its 2018 decision to eliminate its network neutrality rules did not provide a basis to alter its conclusions in that order. This new order could be subject to petitions for reconsideration or court appeals. Democratic control of the Executive Branch, Congress, and the FCC following the 2020 elections increases the likelihood of legislative or FCC action to reverse the 2018 decision or adopt new network neutrality rules.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1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FCC is considering a petition, filed by the Trump Administration, to adopt rules interpreting Section 230 of the federal Communications Act, which limits the liability of internet platforms for third-party content that is transmitted via those platforms and for good-faith moderation of offensive content. No date has been set for a vote on that proposal</w:t>
      </w:r>
    </w:p>
    <w:p>
      <w:pPr>
        <w:sectPr>
          <w:pgSz w:w="11900" w:h="16838" w:orient="portrait"/>
          <w:cols w:equalWidth="0" w:num="1">
            <w:col w:w="11000"/>
          </w:cols>
          <w:pgMar w:left="440" w:top="274" w:right="459" w:bottom="1440" w:gutter="0" w:footer="0" w:header="0"/>
        </w:sectPr>
      </w:pPr>
    </w:p>
    <w:bookmarkStart w:id="66" w:name="page67"/>
    <w:bookmarkEnd w:id="6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the FCC has not released any document describing the rules that would be proposed. The Democratic members of the FCC have indicated that they are opposed to the petition and after the Presidential inauguration will control the agenda of the FCC. If the FCC adopts rules, the scope of the protection offered by Section 230 could be narrowed considerably. This would increase the risks faced by internet-based businesses, like Zoom, that rely on third-party content. There is no schedule for action by the FCC on the petition.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ectPr>
          <w:pgSz w:w="11900" w:h="16838" w:orient="portrait"/>
          <w:cols w:equalWidth="0" w:num="1">
            <w:col w:w="11000"/>
          </w:cols>
          <w:pgMar w:left="440" w:top="274" w:right="45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Our failure to protect our intellectual property rights and proprietary information could diminish our brand and other intangible assets.</w:t>
      </w:r>
    </w:p>
    <w:p>
      <w:pPr>
        <w:spacing w:after="0" w:line="23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39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w:t>
      </w:r>
    </w:p>
    <w:p>
      <w:pPr>
        <w:sectPr>
          <w:pgSz w:w="11900" w:h="16838" w:orient="portrait"/>
          <w:cols w:equalWidth="0" w:num="1">
            <w:col w:w="11020"/>
          </w:cols>
          <w:pgMar w:left="440" w:top="274" w:right="439" w:bottom="1440" w:gutter="0" w:footer="0" w:header="0"/>
        </w:sectPr>
      </w:pPr>
    </w:p>
    <w:bookmarkStart w:id="68" w:name="page69"/>
    <w:bookmarkEnd w:id="68"/>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video-first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72" w:lineRule="exact"/>
        <w:rPr>
          <w:sz w:val="20"/>
          <w:szCs w:val="20"/>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960" w:right="580" w:hanging="53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ectPr>
          <w:pgSz w:w="11900" w:h="16838" w:orient="portrait"/>
          <w:cols w:equalWidth="0" w:num="1">
            <w:col w:w="10980"/>
          </w:cols>
          <w:pgMar w:left="440" w:top="274" w:right="479" w:bottom="1440" w:gutter="0" w:footer="0" w:header="0"/>
        </w:sectPr>
      </w:pPr>
    </w:p>
    <w:bookmarkStart w:id="69" w:name="page70"/>
    <w:bookmarkEnd w:id="69"/>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addition, in the past, following periods of volatility in the overall market and in the market price of a particular company’s securities, securities class action litigation has often been instituted against these companies. For example, in April and June 2020,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We may be the target of additional litigation of this type in the future. Securities litigation against us could result in substantial costs and divert our management’s time and attention from other business concerns, which could harm our business. We may be the target of additional litigation of this type in the future as well. Securities litigation against us could result in substantial costs and a diversion of our management’s attention and resources.</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As of October 31, 2020, the holders of our outstanding Class B common stock held 81.6% of the voting power of our outstanding capital stock, with our directors, executive officers and 5% stockholders and their respective affiliates holding 73.7% of such voting power in the aggregate. As of October 31, 2020, our founder, President and Chief Executive Officer, Eric S. Yuan, together with his affiliates, held approximately 15.1% of our outstanding capital stock but controlled approximately 40.2%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dual-or multi-class capital structures to be included in their indices. Affected indices</w:t>
      </w:r>
    </w:p>
    <w:p>
      <w:pPr>
        <w:sectPr>
          <w:pgSz w:w="11900" w:h="16838" w:orient="portrait"/>
          <w:cols w:equalWidth="0" w:num="1">
            <w:col w:w="10980"/>
          </w:cols>
          <w:pgMar w:left="440" w:top="274" w:right="479" w:bottom="1440" w:gutter="0" w:footer="0" w:header="0"/>
        </w:sectPr>
      </w:pPr>
    </w:p>
    <w:bookmarkStart w:id="70" w:name="page71"/>
    <w:bookmarkEnd w:id="70"/>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RSU awards are available for immediate resale in the United States in the open market.</w:t>
      </w:r>
    </w:p>
    <w:p>
      <w:pPr>
        <w:spacing w:after="0" w:line="15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84"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31" w:lineRule="exact"/>
        <w:rPr>
          <w:sz w:val="20"/>
          <w:szCs w:val="20"/>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our board of directors could use to implement a stockholder rights plan;</w:t>
      </w:r>
    </w:p>
    <w:p>
      <w:pPr>
        <w:sectPr>
          <w:pgSz w:w="11900" w:h="16838" w:orient="portrait"/>
          <w:cols w:equalWidth="0" w:num="1">
            <w:col w:w="10980"/>
          </w:cols>
          <w:pgMar w:left="440" w:top="274" w:right="479" w:bottom="1440" w:gutter="0" w:footer="0" w:header="0"/>
        </w:sectPr>
      </w:pPr>
    </w:p>
    <w:bookmarkStart w:id="71" w:name="page72"/>
    <w:bookmarkEnd w:id="71"/>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eliminating the ability of stockholders to call special meetings of stockholders;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dual-class common stock structure as described above.</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7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ectPr>
          <w:pgSz w:w="11900" w:h="16838" w:orient="portrait"/>
          <w:cols w:equalWidth="0" w:num="1">
            <w:col w:w="10980"/>
          </w:cols>
          <w:pgMar w:left="440" w:top="274" w:right="4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General Risk Factors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19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 attributable to free Basic accounts, which do not generate any revenue.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24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w:t>
      </w:r>
    </w:p>
    <w:p>
      <w:pPr>
        <w:sectPr>
          <w:pgSz w:w="11900" w:h="16838" w:orient="portrait"/>
          <w:cols w:equalWidth="0" w:num="1">
            <w:col w:w="11020"/>
          </w:cols>
          <w:pgMar w:left="440" w:top="270" w:right="439" w:bottom="1440" w:gutter="0" w:footer="0" w:header="0"/>
        </w:sectPr>
      </w:pPr>
    </w:p>
    <w:bookmarkStart w:id="73" w:name="page74"/>
    <w:bookmarkEnd w:id="7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8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condensed consolidated financial statements or comply with applicable regulations could be impaired.</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will be required to provide an annual management report on the effectiveness of our internal control over financial reporting commencing with our next Annual Report on Form 10-K.</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We will be required to provide our public accounting firm’s attestation to the effectiveness of our internal control over financial reporting with our next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ectPr>
          <w:pgSz w:w="11900" w:h="16838" w:orient="portrait"/>
          <w:cols w:equalWidth="0" w:num="1">
            <w:col w:w="10980"/>
          </w:cols>
          <w:pgMar w:left="440" w:top="274" w:right="479" w:bottom="1440" w:gutter="0" w:footer="0" w:header="0"/>
        </w:sectPr>
      </w:pPr>
    </w:p>
    <w:bookmarkStart w:id="74" w:name="page75"/>
    <w:bookmarkEnd w:id="74"/>
    <w:p>
      <w:pPr>
        <w:ind w:right="50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Class A common stock market price and trading volume could decline if securities or industry analysts do not publish research or publish inaccurate or unfavorable research about our business.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our IPO; (b) in which we have total annual gross revenue of more than $1.07 billion; or (c) in which we are deemed to be a large accelerated filer, which means the market value of our common stock held by non-affiliates exceeds $700 million as of the prior July 31 and (ii)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 We currently anticipate that we will lose our “emerging growth company” status as of the end of the fiscal year ending January 31, 2021.</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decimal"/>
      <w:start w:val="1"/>
    </w:lvl>
    <w:lvl w:ilvl="1">
      <w:lvlJc w:val="left"/>
      <w:lvlText w:val="(%2)"/>
      <w:numFmt w:val="lowerLetter"/>
      <w:start w:val="1"/>
    </w:lvl>
  </w:abstractNum>
  <w:abstractNum w:abstractNumId="2">
    <w:nsid w:val="4516DDE9"/>
    <w:multiLevelType w:val="hybridMultilevel"/>
    <w:lvl w:ilvl="0">
      <w:lvlJc w:val="left"/>
      <w:lvlText w:val="(%1)"/>
      <w:numFmt w:val="lowerLetter"/>
      <w:start w:val="3"/>
    </w:lvl>
  </w:abstractNum>
  <w:abstractNum w:abstractNumId="3">
    <w:nsid w:val="3006C83E"/>
    <w:multiLevelType w:val="hybridMultilevel"/>
    <w:lvl w:ilvl="0">
      <w:lvlJc w:val="left"/>
      <w:lvlText w:val="(%1)"/>
      <w:numFmt w:val="lowerLetter"/>
      <w:start w:val="6"/>
    </w:lvl>
  </w:abstractNum>
  <w:abstractNum w:abstractNumId="4">
    <w:nsid w:val="614FD4A1"/>
    <w:multiLevelType w:val="hybridMultilevel"/>
    <w:lvl w:ilvl="0">
      <w:lvlJc w:val="left"/>
      <w:lvlText w:val="(%1)"/>
      <w:numFmt w:val="lowerLetter"/>
      <w:start w:val="12"/>
    </w:lvl>
  </w:abstractNum>
  <w:abstractNum w:abstractNumId="5">
    <w:nsid w:val="419AC241"/>
    <w:multiLevelType w:val="hybridMultilevel"/>
    <w:lvl w:ilvl="0">
      <w:lvlJc w:val="left"/>
      <w:lvlText w:val="%1"/>
      <w:numFmt w:val="lowerLetter"/>
      <w:start w:val="1"/>
    </w:lvl>
    <w:lvl w:ilvl="1">
      <w:lvlJc w:val="left"/>
      <w:lvlText w:val="(%2)"/>
      <w:numFmt w:val="lowerLetter"/>
      <w:start w:val="17"/>
    </w:lvl>
  </w:abstractNum>
  <w:abstractNum w:abstractNumId="6">
    <w:nsid w:val="5577F8E1"/>
    <w:multiLevelType w:val="hybridMultilevel"/>
    <w:lvl w:ilvl="0">
      <w:lvlJc w:val="left"/>
      <w:lvlText w:val="(%1)"/>
      <w:numFmt w:val="lowerLetter"/>
      <w:start w:val="61"/>
    </w:lvl>
    <w:lvl w:ilvl="1">
      <w:lvlJc w:val="left"/>
      <w:lvlText w:val="(%2)"/>
      <w:numFmt w:val="lowerLetter"/>
      <w:start w:val="19"/>
    </w:lvl>
  </w:abstractNum>
  <w:abstractNum w:abstractNumId="7">
    <w:nsid w:val="440BADFC"/>
    <w:multiLevelType w:val="hybridMultilevel"/>
    <w:lvl w:ilvl="0">
      <w:lvlJc w:val="left"/>
      <w:lvlText w:val="(%1)"/>
      <w:numFmt w:val="lowerLetter"/>
      <w:start w:val="20"/>
    </w:lvl>
    <w:lvl w:ilvl="1">
      <w:lvlJc w:val="left"/>
      <w:lvlText w:val="(%2)"/>
      <w:numFmt w:val="upperLetter"/>
      <w:start w:val="1"/>
    </w:lvl>
  </w:abstractNum>
  <w:abstractNum w:abstractNumId="8">
    <w:nsid w:val="5072367"/>
    <w:multiLevelType w:val="hybridMultilevel"/>
    <w:lvl w:ilvl="0">
      <w:lvlJc w:val="left"/>
      <w:lvlText w:val="(%1)"/>
      <w:numFmt w:val="lowerRoman"/>
      <w:start w:val="2"/>
    </w:lvl>
    <w:lvl w:ilvl="1">
      <w:lvlJc w:val="left"/>
      <w:lvlText w:val="(%2)"/>
      <w:numFmt w:val="upperLetter"/>
      <w:start w:val="1"/>
    </w:lvl>
  </w:abstractNum>
  <w:abstractNum w:abstractNumId="9">
    <w:nsid w:val="3804823E"/>
    <w:multiLevelType w:val="hybridMultilevel"/>
    <w:lvl w:ilvl="0">
      <w:lvlJc w:val="left"/>
      <w:lvlText w:val="(%1)"/>
      <w:numFmt w:val="lowerLetter"/>
      <w:start w:val="21"/>
    </w:lvl>
  </w:abstractNum>
  <w:abstractNum w:abstractNumId="10">
    <w:nsid w:val="77465F01"/>
    <w:multiLevelType w:val="hybridMultilevel"/>
    <w:lvl w:ilvl="0">
      <w:lvlJc w:val="left"/>
      <w:lvlText w:val="(%1)"/>
      <w:numFmt w:val="lowerLetter"/>
      <w:start w:val="22"/>
    </w:lvl>
  </w:abstractNum>
  <w:abstractNum w:abstractNumId="11">
    <w:nsid w:val="7724C67E"/>
    <w:multiLevelType w:val="hybridMultilevel"/>
    <w:lvl w:ilvl="0">
      <w:lvlJc w:val="left"/>
      <w:lvlText w:val="(%1)"/>
      <w:numFmt w:val="lowerLetter"/>
      <w:start w:val="24"/>
    </w:lvl>
  </w:abstractNum>
  <w:abstractNum w:abstractNumId="12">
    <w:nsid w:val="5C482A97"/>
    <w:multiLevelType w:val="hybridMultilevel"/>
    <w:lvl w:ilvl="0">
      <w:lvlJc w:val="left"/>
      <w:lvlText w:val="(%1)"/>
      <w:numFmt w:val="lowerLetter"/>
      <w:start w:val="27"/>
    </w:lvl>
  </w:abstractNum>
  <w:abstractNum w:abstractNumId="13">
    <w:nsid w:val="2463B9EA"/>
    <w:multiLevelType w:val="hybridMultilevel"/>
    <w:lvl w:ilvl="0">
      <w:lvlJc w:val="left"/>
      <w:lvlText w:val="(%1)"/>
      <w:numFmt w:val="lowerLetter"/>
      <w:start w:val="28"/>
    </w:lvl>
  </w:abstractNum>
  <w:abstractNum w:abstractNumId="14">
    <w:nsid w:val="5E884ADC"/>
    <w:multiLevelType w:val="hybridMultilevel"/>
    <w:lvl w:ilvl="0">
      <w:lvlJc w:val="left"/>
      <w:lvlText w:val="(%1)"/>
      <w:numFmt w:val="lowerLetter"/>
      <w:start w:val="35"/>
    </w:lvl>
  </w:abstractNum>
  <w:abstractNum w:abstractNumId="15">
    <w:nsid w:val="51EAD36B"/>
    <w:multiLevelType w:val="hybridMultilevel"/>
    <w:lvl w:ilvl="0">
      <w:lvlJc w:val="left"/>
      <w:lvlText w:val="%1."/>
      <w:numFmt w:val="decimal"/>
      <w:start w:val="2"/>
    </w:lvl>
  </w:abstractNum>
  <w:abstractNum w:abstractNumId="16">
    <w:nsid w:val="2D517796"/>
    <w:multiLevelType w:val="hybridMultilevel"/>
    <w:lvl w:ilvl="0">
      <w:lvlJc w:val="left"/>
      <w:lvlText w:val="%1."/>
      <w:numFmt w:val="decimal"/>
      <w:start w:val="3"/>
    </w:lvl>
  </w:abstractNum>
  <w:abstractNum w:abstractNumId="17">
    <w:nsid w:val="580BD78F"/>
    <w:multiLevelType w:val="hybridMultilevel"/>
    <w:lvl w:ilvl="0">
      <w:lvlJc w:val="left"/>
      <w:lvlText w:val="%1."/>
      <w:numFmt w:val="decimal"/>
      <w:start w:val="5"/>
    </w:lvl>
  </w:abstractNum>
  <w:abstractNum w:abstractNumId="18">
    <w:nsid w:val="153EA438"/>
    <w:multiLevelType w:val="hybridMultilevel"/>
    <w:lvl w:ilvl="0">
      <w:lvlJc w:val="left"/>
      <w:lvlText w:val="(%1)"/>
      <w:numFmt w:val="lowerLetter"/>
      <w:start w:val="1"/>
    </w:lvl>
    <w:lvl w:ilvl="1">
      <w:lvlJc w:val="left"/>
      <w:lvlText w:val="(%2)"/>
      <w:numFmt w:val="lowerRoman"/>
      <w:start w:val="1"/>
    </w:lvl>
  </w:abstractNum>
  <w:abstractNum w:abstractNumId="19">
    <w:nsid w:val="3855585C"/>
    <w:multiLevelType w:val="hybridMultilevel"/>
    <w:lvl w:ilvl="0">
      <w:lvlJc w:val="left"/>
      <w:lvlText w:val="(%1)"/>
      <w:numFmt w:val="lowerLetter"/>
      <w:start w:val="2"/>
    </w:lvl>
  </w:abstractNum>
  <w:abstractNum w:abstractNumId="20">
    <w:nsid w:val="70A64E2A"/>
    <w:multiLevelType w:val="hybridMultilevel"/>
    <w:lvl w:ilvl="0">
      <w:lvlJc w:val="left"/>
      <w:lvlText w:val="(%1)"/>
      <w:numFmt w:val="lowerLetter"/>
      <w:start w:val="3"/>
    </w:lvl>
  </w:abstractNum>
  <w:abstractNum w:abstractNumId="21">
    <w:nsid w:val="6A2342EC"/>
    <w:multiLevelType w:val="hybridMultilevel"/>
    <w:lvl w:ilvl="0">
      <w:lvlJc w:val="left"/>
      <w:lvlText w:val="(%1)"/>
      <w:numFmt w:val="lowerLetter"/>
      <w:start w:val="5"/>
    </w:lvl>
  </w:abstractNum>
  <w:abstractNum w:abstractNumId="22">
    <w:nsid w:val="2A487CB0"/>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3">
    <w:nsid w:val="1D4ED4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4">
    <w:nsid w:val="725A06FB"/>
    <w:multiLevelType w:val="hybridMultilevel"/>
    <w:lvl w:ilvl="0">
      <w:lvlJc w:val="left"/>
      <w:lvlText w:val="(%1)"/>
      <w:numFmt w:val="lowerLetter"/>
      <w:start w:val="2"/>
    </w:lvl>
  </w:abstractNum>
  <w:abstractNum w:abstractNumId="25">
    <w:nsid w:val="2CD89A32"/>
    <w:multiLevelType w:val="hybridMultilevel"/>
    <w:lvl w:ilvl="0">
      <w:lvlJc w:val="left"/>
      <w:lvlText w:val="(%1)"/>
      <w:numFmt w:val="lowerLetter"/>
      <w:start w:val="7"/>
    </w:lvl>
  </w:abstractNum>
  <w:abstractNum w:abstractNumId="26">
    <w:nsid w:val="57E4CCAF"/>
    <w:multiLevelType w:val="hybridMultilevel"/>
    <w:lvl w:ilvl="0">
      <w:lvlJc w:val="left"/>
      <w:lvlText w:val="%1."/>
      <w:numFmt w:val="decimal"/>
      <w:start w:val="7"/>
    </w:lvl>
  </w:abstractNum>
  <w:abstractNum w:abstractNumId="27">
    <w:nsid w:val="7A6D8D3C"/>
    <w:multiLevelType w:val="hybridMultilevel"/>
    <w:lvl w:ilvl="0">
      <w:lvlJc w:val="left"/>
      <w:lvlText w:val="%1."/>
      <w:numFmt w:val="decimal"/>
      <w:start w:val="9"/>
    </w:lvl>
    <w:lvl w:ilvl="1">
      <w:lvlJc w:val="left"/>
      <w:lvlText w:val="(%2)"/>
      <w:numFmt w:val="lowerLetter"/>
      <w:start w:val="2"/>
    </w:lvl>
  </w:abstractNum>
  <w:abstractNum w:abstractNumId="28">
    <w:nsid w:val="4B588F54"/>
    <w:multiLevelType w:val="hybridMultilevel"/>
    <w:lvl w:ilvl="0">
      <w:lvlJc w:val="left"/>
      <w:lvlText w:val="(%1)"/>
      <w:numFmt w:val="lowerLetter"/>
      <w:start w:val="4"/>
    </w:lvl>
  </w:abstractNum>
  <w:abstractNum w:abstractNumId="29">
    <w:nsid w:val="542289EC"/>
    <w:multiLevelType w:val="hybridMultilevel"/>
    <w:lvl w:ilvl="0">
      <w:lvlJc w:val="left"/>
      <w:lvlText w:val="(%1)"/>
      <w:numFmt w:val="lowerLetter"/>
      <w:start w:val="5"/>
    </w:lvl>
  </w:abstractNum>
  <w:abstractNum w:abstractNumId="30">
    <w:nsid w:val="6DE91B18"/>
    <w:multiLevelType w:val="hybridMultilevel"/>
    <w:lvl w:ilvl="0">
      <w:lvlJc w:val="left"/>
      <w:lvlText w:val="%1"/>
      <w:numFmt w:val="lowerLetter"/>
      <w:start w:val="1"/>
    </w:lvl>
    <w:lvl w:ilvl="1">
      <w:lvlJc w:val="left"/>
      <w:lvlText w:val="(%2)"/>
      <w:numFmt w:val="lowerLetter"/>
      <w:start w:val="6"/>
    </w:lvl>
  </w:abstractNum>
  <w:abstractNum w:abstractNumId="31">
    <w:nsid w:val="38437FDB"/>
    <w:multiLevelType w:val="hybridMultilevel"/>
    <w:lvl w:ilvl="0">
      <w:lvlJc w:val="left"/>
      <w:lvlText w:val="(%1)"/>
      <w:numFmt w:val="lowerLetter"/>
      <w:start w:val="35"/>
    </w:lvl>
    <w:lvl w:ilvl="1">
      <w:lvlJc w:val="left"/>
      <w:lvlText w:val="%2"/>
      <w:numFmt w:val="lowerLetter"/>
      <w:start w:val="1"/>
    </w:lvl>
  </w:abstractNum>
  <w:abstractNum w:abstractNumId="32">
    <w:nsid w:val="7644A45C"/>
    <w:multiLevelType w:val="hybridMultilevel"/>
    <w:lvl w:ilvl="0">
      <w:lvlJc w:val="left"/>
      <w:lvlText w:val="%1."/>
      <w:numFmt w:val="decimal"/>
      <w:start w:val="10"/>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1."/>
      <w:numFmt w:val="decimal"/>
      <w:start w:val="11"/>
    </w:lvl>
  </w:abstractNum>
  <w:abstractNum w:abstractNumId="35">
    <w:nsid w:val="579478FE"/>
    <w:multiLevelType w:val="hybridMultilevel"/>
    <w:lvl w:ilvl="0">
      <w:lvlJc w:val="left"/>
      <w:lvlText w:val="%1."/>
      <w:numFmt w:val="decimal"/>
      <w:start w:val="12"/>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decimal"/>
      <w:start w:val="14"/>
    </w:lvl>
  </w:abstractNum>
  <w:abstractNum w:abstractNumId="38">
    <w:nsid w:val="1BA026FA"/>
    <w:multiLevelType w:val="hybridMultilevel"/>
    <w:lvl w:ilvl="0">
      <w:lvlJc w:val="left"/>
      <w:lvlText w:val="%1"/>
      <w:numFmt w:val="decimal"/>
      <w:start w:val="1"/>
    </w:lvl>
    <w:lvl w:ilvl="1">
      <w:lvlJc w:val="left"/>
      <w:lvlText w:val="%2."/>
      <w:numFmt w:val="decimal"/>
      <w:start w:val="16"/>
    </w:lvl>
  </w:abstractNum>
  <w:abstractNum w:abstractNumId="39">
    <w:nsid w:val="79A1DEAA"/>
    <w:multiLevelType w:val="hybridMultilevel"/>
    <w:lvl w:ilvl="0">
      <w:lvlJc w:val="left"/>
      <w:lvlText w:val="(%1)"/>
      <w:numFmt w:val="decimal"/>
      <w:start w:val="212"/>
    </w:lvl>
    <w:lvl w:ilvl="1">
      <w:lvlJc w:val="left"/>
      <w:lvlText w:val="%2"/>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2"/>
    </w:lvl>
  </w:abstractNum>
  <w:abstractNum w:abstractNumId="43">
    <w:nsid w:val="520EEDD1"/>
    <w:multiLevelType w:val="hybridMultilevel"/>
    <w:lvl w:ilvl="0">
      <w:lvlJc w:val="left"/>
      <w:lvlText w:val="%1"/>
      <w:numFmt w:val="lowerLetter"/>
      <w:start w:val="1"/>
    </w:lvl>
    <w:lvl w:ilvl="1">
      <w:lvlJc w:val="left"/>
      <w:lvlText w:val="(%2)"/>
      <w:numFmt w:val="upperLetter"/>
      <w:start w:val="1"/>
    </w:lvl>
  </w:abstractNum>
  <w:abstractNum w:abstractNumId="44">
    <w:nsid w:val="374A3FE6"/>
    <w:multiLevelType w:val="hybridMultilevel"/>
    <w:lvl w:ilvl="0">
      <w:lvlJc w:val="left"/>
      <w:lvlText w:val="%1"/>
      <w:numFmt w:val="lowerLetter"/>
      <w:start w:val="1"/>
    </w:lvl>
    <w:lvl w:ilvl="1">
      <w:lvlJc w:val="left"/>
      <w:lvlText w:val="(%2)"/>
      <w:numFmt w:val="upperLetter"/>
      <w:start w:val="3"/>
    </w:lvl>
  </w:abstractNum>
  <w:abstractNum w:abstractNumId="45">
    <w:nsid w:val="4F4EF005"/>
    <w:multiLevelType w:val="hybridMultilevel"/>
    <w:lvl w:ilvl="0">
      <w:lvlJc w:val="left"/>
      <w:lvlText w:val="(%1)"/>
      <w:numFmt w:val="lowerLetter"/>
      <w:start w:val="9"/>
    </w:lvl>
    <w:lvl w:ilvl="1">
      <w:lvlJc w:val="left"/>
      <w:lvlText w:val="%2"/>
      <w:numFmt w:val="upperLetter"/>
      <w:start w:val="1"/>
    </w:lvl>
  </w:abstractNum>
  <w:abstractNum w:abstractNumId="46">
    <w:nsid w:val="23F9C13C"/>
    <w:multiLevelType w:val="hybridMultilevel"/>
    <w:lvl w:ilvl="0">
      <w:lvlJc w:val="left"/>
      <w:lvlText w:val="(%1)"/>
      <w:numFmt w:val="lowerLetter"/>
      <w:start w:val="11"/>
    </w:lvl>
  </w:abstractNum>
  <w:abstractNum w:abstractNumId="47">
    <w:nsid w:val="649BB77C"/>
    <w:multiLevelType w:val="hybridMultilevel"/>
    <w:lvl w:ilvl="0">
      <w:lvlJc w:val="left"/>
      <w:lvlText w:val="(%1)"/>
      <w:numFmt w:val="lowerLetter"/>
      <w:start w:val="23"/>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2021-01-13T15:19:19Z</dcterms:created>
  <dcterms:modified xsi:type="dcterms:W3CDTF">2021-01-13T15:19:19Z</dcterms:modified>
</cp:coreProperties>
</file>