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21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-621665</wp:posOffset>
            </wp:positionV>
            <wp:extent cx="57785" cy="635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7047230" cy="6287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628713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40" w:space="340"/>
            <w:col w:w="8500"/>
          </w:cols>
          <w:pgMar w:left="460" w:top="217" w:right="359" w:bottom="681"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Bawa Aparna</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300"/>
        <w:spacing w:after="0" w:line="376"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4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2760" w:type="dxa"/>
            <w:vAlign w:val="bottom"/>
            <w:tcBorders>
              <w:bottom w:val="single" w:sz="8" w:color="808080"/>
            </w:tcBorders>
          </w:tcPr>
          <w:p>
            <w:pPr>
              <w:spacing w:after="0"/>
              <w:rPr>
                <w:sz w:val="16"/>
                <w:szCs w:val="16"/>
                <w:color w:val="auto"/>
              </w:rPr>
            </w:pPr>
          </w:p>
        </w:tc>
        <w:tc>
          <w:tcPr>
            <w:tcW w:w="880" w:type="dxa"/>
            <w:vAlign w:val="bottom"/>
            <w:tcBorders>
              <w:bottom w:val="single" w:sz="8" w:color="808080"/>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60" w:type="dxa"/>
            <w:vAlign w:val="bottom"/>
            <w:vMerge w:val="restart"/>
          </w:tcPr>
          <w:p>
            <w:pPr>
              <w:ind w:left="100"/>
              <w:spacing w:after="0" w:line="12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16"/>
        </w:trPr>
        <w:tc>
          <w:tcPr>
            <w:tcW w:w="29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04/06/2023</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7"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60" w:space="80"/>
            <w:col w:w="7240"/>
          </w:cols>
          <w:pgMar w:left="460" w:top="217" w:right="359" w:bottom="68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8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8"/>
              </w:rPr>
              <w:t>10,388</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60" w:type="dxa"/>
            <w:vAlign w:val="bottom"/>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04/06/2023</w:t>
            </w:r>
          </w:p>
        </w:tc>
        <w:tc>
          <w:tcPr>
            <w:tcW w:w="1080" w:type="dxa"/>
            <w:vAlign w:val="bottom"/>
          </w:tcPr>
          <w:p>
            <w:pPr>
              <w:spacing w:after="0"/>
              <w:rPr>
                <w:sz w:val="12"/>
                <w:szCs w:val="12"/>
                <w:color w:val="auto"/>
              </w:rPr>
            </w:pPr>
          </w:p>
        </w:tc>
        <w:tc>
          <w:tcPr>
            <w:tcW w:w="80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10,388</w:t>
            </w: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ind w:right="18"/>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10,388</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8"/>
              </w:rPr>
              <w:t>34,306</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60" w:type="dxa"/>
            <w:vAlign w:val="bottom"/>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04/06/2023</w:t>
            </w:r>
          </w:p>
        </w:tc>
        <w:tc>
          <w:tcPr>
            <w:tcW w:w="1080" w:type="dxa"/>
            <w:vAlign w:val="bottom"/>
          </w:tcPr>
          <w:p>
            <w:pPr>
              <w:spacing w:after="0"/>
              <w:rPr>
                <w:sz w:val="12"/>
                <w:szCs w:val="12"/>
                <w:color w:val="auto"/>
              </w:rPr>
            </w:pPr>
          </w:p>
        </w:tc>
        <w:tc>
          <w:tcPr>
            <w:tcW w:w="80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34,306</w:t>
            </w: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ind w:right="18"/>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34,306</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9"/>
              </w:rPr>
              <w:t>6,315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ind w:right="18"/>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6,315</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8"/>
              </w:rPr>
              <w:t>22,346</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ind w:right="18"/>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22,346</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7"/>
              </w:rPr>
              <w:t>167,481</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ind w:right="18"/>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167,481</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8"/>
              </w:rPr>
              <w:t>10,263</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ind w:right="18"/>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10,263</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100% of which will vest on the first anniversary date of the grant.</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which will vest in equal quarterly installments over one year.</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which will vest in equal quarterly installments over two years.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2" w:lineRule="exact"/>
        <w:rPr>
          <w:rFonts w:ascii="Times New Roman" w:cs="Times New Roman" w:eastAsia="Times New Roman" w:hAnsi="Times New Roman"/>
          <w:sz w:val="13"/>
          <w:szCs w:val="13"/>
          <w:color w:val="008000"/>
        </w:rPr>
      </w:pPr>
    </w:p>
    <w:p>
      <w:pPr>
        <w:ind w:left="40" w:right="180" w:firstLine="1"/>
        <w:spacing w:after="0" w:line="23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23, 2020, the Compensation Committee approved an award of restricted stock units to be granted to the Reporting Person, effective September 4, 2020 (the "RSU"). The number of shares of the Issuer's Class A Common Stock issuable under the RSU was determined by dividing $7,000,000 by the average closing price of the Issuer's Class A Common Stock over the sixty (60) day trading period ending seven days prior to the September 4, 2020 grant date and rounding up to the nearest whole share. The RSU vests as to 1/4th of the shares subject to the RSU on the one-year anniversary of the grant date, with1/12 of the remaining shares vesting in equal quarterly installments over the next three years subject to the Reporting Person's continuous service as of such vesting dates. The RSU is subject to accelerated vesting in the event of termination of employment by the Reporting Person under certain circumstances in connection with a change in control of the Issuer.</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Aparna Bawa</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5"/>
              </w:rPr>
              <w:t>04/10/2023</w:t>
            </w:r>
          </w:p>
        </w:tc>
      </w:tr>
      <w:tr>
        <w:trPr>
          <w:trHeight w:val="20"/>
        </w:trPr>
        <w:tc>
          <w:tcPr>
            <w:tcW w:w="11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68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2023-04-10T19:32:21Z</dcterms:created>
  <dcterms:modified xsi:type="dcterms:W3CDTF">2023-04-10T19:32:21Z</dcterms:modified>
</cp:coreProperties>
</file>