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140970" cy="190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90500"/>
                    </a:xfrm>
                    <a:prstGeom prst="rect">
                      <a:avLst/>
                    </a:prstGeom>
                    <a:noFill/>
                  </pic:spPr>
                </pic:pic>
              </a:graphicData>
            </a:graphic>
          </wp:anchor>
        </w:drawing>
      </w:r>
    </w:p>
    <w:p>
      <w:pPr>
        <w:jc w:val="both"/>
        <w:ind w:left="340" w:right="360" w:hanging="258"/>
        <w:spacing w:after="0" w:line="181"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4658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65899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60" w:space="480"/>
            <w:col w:w="8780"/>
          </w:cols>
          <w:pgMar w:left="240" w:top="222" w:right="139" w:bottom="144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QUALCOMM INC/DE</w:t>
              </w:r>
            </w:hyperlink>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0" w:type="dxa"/>
            <w:vAlign w:val="bottom"/>
            <w:tcBorders>
              <w:top w:val="single" w:sz="8" w:color="0000EE"/>
              <w:bottom w:val="single" w:sz="8" w:color="9A9A9A"/>
            </w:tcBorders>
          </w:tcPr>
          <w:p>
            <w:pPr>
              <w:spacing w:after="0"/>
              <w:rPr>
                <w:sz w:val="19"/>
                <w:szCs w:val="19"/>
                <w:color w:val="auto"/>
              </w:rPr>
            </w:pPr>
          </w:p>
        </w:tc>
        <w:tc>
          <w:tcPr>
            <w:tcW w:w="1180" w:type="dxa"/>
            <w:vAlign w:val="bottom"/>
            <w:tcBorders>
              <w:top w:val="single" w:sz="8" w:color="0000EE"/>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tcBorders>
              <w:top w:val="single" w:sz="8" w:color="EEEEEE"/>
            </w:tcBorders>
            <w:gridSpan w:val="2"/>
            <w:vMerge w:val="restart"/>
          </w:tcPr>
          <w:p>
            <w:pPr>
              <w:ind w:left="480"/>
              <w:spacing w:after="0"/>
              <w:rPr>
                <w:sz w:val="20"/>
                <w:szCs w:val="20"/>
                <w:color w:val="auto"/>
              </w:rPr>
            </w:pPr>
            <w:r>
              <w:rPr>
                <w:rFonts w:ascii="Arial" w:cs="Arial" w:eastAsia="Arial" w:hAnsi="Arial"/>
                <w:sz w:val="13"/>
                <w:szCs w:val="13"/>
                <w:color w:val="auto"/>
              </w:rPr>
              <w:t>(First)</w:t>
            </w:r>
          </w:p>
        </w:tc>
        <w:tc>
          <w:tcPr>
            <w:tcW w:w="128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310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10/15/2019</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5775 MOREHOUSE DRIVE</w:t>
            </w:r>
          </w:p>
        </w:tc>
        <w:tc>
          <w:tcPr>
            <w:tcW w:w="1280" w:type="dxa"/>
            <w:vAlign w:val="bottom"/>
          </w:tcPr>
          <w:p>
            <w:pPr>
              <w:spacing w:after="0"/>
              <w:rPr>
                <w:sz w:val="11"/>
                <w:szCs w:val="11"/>
                <w:color w:val="auto"/>
              </w:rPr>
            </w:pPr>
          </w:p>
        </w:tc>
        <w:tc>
          <w:tcPr>
            <w:tcW w:w="310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 w:right="740" w:firstLine="2"/>
        <w:spacing w:after="0" w:line="239"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0"/>
          <w:szCs w:val="20"/>
          <w:color w:val="auto"/>
        </w:rPr>
      </w:pPr>
    </w:p>
    <w:p>
      <w:pPr>
        <w:ind w:left="538"/>
        <w:spacing w:after="0"/>
        <w:tabs>
          <w:tab w:leader="none" w:pos="1837" w:val="left"/>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07" w:lineRule="exact"/>
        <w:rPr>
          <w:sz w:val="20"/>
          <w:szCs w:val="20"/>
          <w:color w:val="auto"/>
        </w:rPr>
      </w:pPr>
    </w:p>
    <w:p>
      <w:pPr>
        <w:sectPr>
          <w:pgSz w:w="11900" w:h="16838" w:orient="portrait"/>
          <w:cols w:equalWidth="0" w:num="2">
            <w:col w:w="7980" w:space="62"/>
            <w:col w:w="3478"/>
          </w:cols>
          <w:pgMar w:left="240" w:top="222" w:right="139" w:bottom="144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1000" w:type="dxa"/>
            <w:vAlign w:val="bottom"/>
          </w:tcPr>
          <w:p>
            <w:pPr>
              <w:ind w:left="180"/>
              <w:spacing w:after="0"/>
              <w:rPr>
                <w:sz w:val="20"/>
                <w:szCs w:val="20"/>
                <w:color w:val="auto"/>
              </w:rPr>
            </w:pPr>
            <w:r>
              <w:rPr>
                <w:rFonts w:ascii="Arial" w:cs="Arial" w:eastAsia="Arial" w:hAnsi="Arial"/>
                <w:sz w:val="17"/>
                <w:szCs w:val="17"/>
                <w:color w:val="0000FF"/>
              </w:rPr>
              <w:t>CA</w:t>
            </w:r>
          </w:p>
        </w:tc>
        <w:tc>
          <w:tcPr>
            <w:tcW w:w="1680" w:type="dxa"/>
            <w:vAlign w:val="bottom"/>
          </w:tcPr>
          <w:p>
            <w:pPr>
              <w:ind w:left="460"/>
              <w:spacing w:after="0"/>
              <w:rPr>
                <w:sz w:val="20"/>
                <w:szCs w:val="20"/>
                <w:color w:val="auto"/>
              </w:rPr>
            </w:pPr>
            <w:r>
              <w:rPr>
                <w:rFonts w:ascii="Arial" w:cs="Arial" w:eastAsia="Arial" w:hAnsi="Arial"/>
                <w:sz w:val="17"/>
                <w:szCs w:val="17"/>
                <w:color w:val="0000FF"/>
              </w:rPr>
              <w:t>92121</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419" w:lineRule="exact"/>
        <w:rPr>
          <w:sz w:val="20"/>
          <w:szCs w:val="20"/>
          <w:color w:val="auto"/>
        </w:rPr>
      </w:pPr>
    </w:p>
    <w:p>
      <w:pPr>
        <w:sectPr>
          <w:pgSz w:w="11900" w:h="16838" w:orient="portrait"/>
          <w:cols w:equalWidth="0" w:num="2">
            <w:col w:w="3900" w:space="160"/>
            <w:col w:w="7460"/>
          </w:cols>
          <w:pgMar w:left="240" w:top="222"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8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2"/>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04/15/2019</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8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1,340,000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280"/>
              <w:spacing w:after="0"/>
              <w:rPr>
                <w:sz w:val="20"/>
                <w:szCs w:val="20"/>
                <w:color w:val="auto"/>
              </w:rPr>
            </w:pPr>
            <w:r>
              <w:rPr>
                <w:rFonts w:ascii="Arial" w:cs="Arial" w:eastAsia="Arial" w:hAnsi="Arial"/>
                <w:sz w:val="17"/>
                <w:szCs w:val="17"/>
                <w:color w:val="0000FF"/>
              </w:rPr>
              <w:t>1,340,000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04/15/2019</w:t>
            </w:r>
          </w:p>
        </w:tc>
        <w:tc>
          <w:tcPr>
            <w:tcW w:w="10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Pr>
          <w:p>
            <w:pPr>
              <w:jc w:val="right"/>
              <w:spacing w:after="0"/>
              <w:rPr>
                <w:sz w:val="20"/>
                <w:szCs w:val="20"/>
                <w:color w:val="auto"/>
              </w:rPr>
            </w:pPr>
            <w:r>
              <w:rPr>
                <w:rFonts w:ascii="Arial" w:cs="Arial" w:eastAsia="Arial" w:hAnsi="Arial"/>
                <w:sz w:val="17"/>
                <w:szCs w:val="17"/>
                <w:color w:val="0000FF"/>
              </w:rPr>
              <w:t>340,000</w:t>
            </w:r>
          </w:p>
        </w:tc>
        <w:tc>
          <w:tcPr>
            <w:tcW w:w="80" w:type="dxa"/>
            <w:vAlign w:val="bottom"/>
          </w:tcPr>
          <w:p>
            <w:pPr>
              <w:spacing w:after="0"/>
              <w:rPr>
                <w:sz w:val="22"/>
                <w:szCs w:val="22"/>
                <w:color w:val="auto"/>
              </w:rPr>
            </w:pPr>
          </w:p>
        </w:tc>
        <w:tc>
          <w:tcPr>
            <w:tcW w:w="500" w:type="dxa"/>
            <w:vAlign w:val="bottom"/>
          </w:tcPr>
          <w:p>
            <w:pPr>
              <w:ind w:left="280"/>
              <w:spacing w:after="0"/>
              <w:rPr>
                <w:sz w:val="20"/>
                <w:szCs w:val="20"/>
                <w:color w:val="auto"/>
              </w:rPr>
            </w:pPr>
            <w:r>
              <w:rPr>
                <w:rFonts w:ascii="Arial" w:cs="Arial" w:eastAsia="Arial" w:hAnsi="Arial"/>
                <w:sz w:val="17"/>
                <w:szCs w:val="17"/>
                <w:color w:val="0000FF"/>
              </w:rPr>
              <w:t>D</w:t>
            </w:r>
          </w:p>
        </w:tc>
        <w:tc>
          <w:tcPr>
            <w:tcW w:w="84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69.5054</w:t>
            </w:r>
          </w:p>
        </w:tc>
        <w:tc>
          <w:tcPr>
            <w:tcW w:w="1280" w:type="dxa"/>
            <w:vAlign w:val="bottom"/>
            <w:gridSpan w:val="3"/>
          </w:tcPr>
          <w:p>
            <w:pPr>
              <w:ind w:left="280"/>
              <w:spacing w:after="0"/>
              <w:rPr>
                <w:sz w:val="20"/>
                <w:szCs w:val="20"/>
                <w:color w:val="auto"/>
              </w:rPr>
            </w:pPr>
            <w:r>
              <w:rPr>
                <w:rFonts w:ascii="Arial" w:cs="Arial" w:eastAsia="Arial" w:hAnsi="Arial"/>
                <w:sz w:val="17"/>
                <w:szCs w:val="17"/>
                <w:color w:val="0000FF"/>
              </w:rPr>
              <w:t>1,000,000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82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1"/>
          </w:tcPr>
          <w:p>
            <w:pPr>
              <w:jc w:val="right"/>
              <w:ind w:right="26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9"/>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6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1060" w:type="dxa"/>
            <w:vAlign w:val="bottom"/>
          </w:tcPr>
          <w:p>
            <w:pPr>
              <w:spacing w:after="0"/>
              <w:rPr>
                <w:sz w:val="16"/>
                <w:szCs w:val="1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58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w w:val="95"/>
              </w:rPr>
              <w:t>1,340,000</w:t>
            </w:r>
          </w:p>
        </w:tc>
        <w:tc>
          <w:tcPr>
            <w:tcW w:w="40" w:type="dxa"/>
            <w:vAlign w:val="bottom"/>
          </w:tcPr>
          <w:p>
            <w:pPr>
              <w:spacing w:after="0"/>
              <w:rPr>
                <w:sz w:val="16"/>
                <w:szCs w:val="16"/>
                <w:color w:val="auto"/>
              </w:rPr>
            </w:pPr>
          </w:p>
        </w:tc>
        <w:tc>
          <w:tcPr>
            <w:tcW w:w="680" w:type="dxa"/>
            <w:vAlign w:val="bottom"/>
            <w:gridSpan w:val="2"/>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vMerge w:val="restart"/>
          </w:tcPr>
          <w:p>
            <w:pPr>
              <w:ind w:left="300"/>
              <w:spacing w:after="0"/>
              <w:rPr>
                <w:sz w:val="20"/>
                <w:szCs w:val="20"/>
                <w:color w:val="auto"/>
              </w:rPr>
            </w:pPr>
            <w:r>
              <w:rPr>
                <w:rFonts w:ascii="Arial" w:cs="Arial" w:eastAsia="Arial" w:hAnsi="Arial"/>
                <w:sz w:val="26"/>
                <w:szCs w:val="26"/>
                <w:color w:val="0000FF"/>
                <w:vertAlign w:val="subscript"/>
              </w:rPr>
              <w:t>I</w:t>
            </w:r>
            <w:r>
              <w:rPr>
                <w:rFonts w:ascii="Arial" w:cs="Arial" w:eastAsia="Arial" w:hAnsi="Arial"/>
                <w:sz w:val="11"/>
                <w:szCs w:val="11"/>
                <w:color w:val="008000"/>
              </w:rPr>
              <w:t>(3)</w:t>
            </w: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vMerge w:val="restart"/>
          </w:tcPr>
          <w:p>
            <w:pPr>
              <w:ind w:left="60"/>
              <w:spacing w:after="0" w:line="126"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4"/>
                <w:szCs w:val="4"/>
                <w:color w:val="auto"/>
              </w:rPr>
            </w:pPr>
          </w:p>
        </w:tc>
        <w:tc>
          <w:tcPr>
            <w:tcW w:w="1080" w:type="dxa"/>
            <w:vAlign w:val="bottom"/>
            <w:vMerge w:val="restart"/>
          </w:tcPr>
          <w:p>
            <w:pPr>
              <w:jc w:val="right"/>
              <w:ind w:right="180"/>
              <w:spacing w:after="0" w:line="126" w:lineRule="exact"/>
              <w:rPr>
                <w:sz w:val="20"/>
                <w:szCs w:val="20"/>
                <w:color w:val="auto"/>
              </w:rPr>
            </w:pPr>
            <w:r>
              <w:rPr>
                <w:rFonts w:ascii="Arial" w:cs="Arial" w:eastAsia="Arial" w:hAnsi="Arial"/>
                <w:sz w:val="13"/>
                <w:szCs w:val="13"/>
                <w:color w:val="0000FF"/>
              </w:rPr>
              <w:t>10/15/2019</w:t>
            </w:r>
          </w:p>
        </w:tc>
        <w:tc>
          <w:tcPr>
            <w:tcW w:w="1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restart"/>
          </w:tcPr>
          <w:p>
            <w:pPr>
              <w:ind w:left="420"/>
              <w:spacing w:after="0" w:line="126" w:lineRule="exact"/>
              <w:rPr>
                <w:sz w:val="20"/>
                <w:szCs w:val="20"/>
                <w:color w:val="auto"/>
              </w:rPr>
            </w:pPr>
            <w:r>
              <w:rPr>
                <w:rFonts w:ascii="Arial" w:cs="Arial" w:eastAsia="Arial" w:hAnsi="Arial"/>
                <w:sz w:val="13"/>
                <w:szCs w:val="13"/>
                <w:color w:val="0000FF"/>
              </w:rPr>
              <w:t>1,340,000</w:t>
            </w:r>
          </w:p>
        </w:tc>
        <w:tc>
          <w:tcPr>
            <w:tcW w:w="7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80" w:type="dxa"/>
            <w:vAlign w:val="bottom"/>
            <w:gridSpan w:val="2"/>
            <w:vMerge w:val="restart"/>
          </w:tcPr>
          <w:p>
            <w:pPr>
              <w:ind w:left="20"/>
              <w:spacing w:after="0" w:line="126"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00" w:type="dxa"/>
            <w:vAlign w:val="bottom"/>
            <w:gridSpan w:val="2"/>
            <w:vMerge w:val="restart"/>
          </w:tcPr>
          <w:p>
            <w:pPr>
              <w:ind w:left="180"/>
              <w:spacing w:after="0" w:line="126" w:lineRule="exact"/>
              <w:rPr>
                <w:sz w:val="20"/>
                <w:szCs w:val="20"/>
                <w:color w:val="auto"/>
              </w:rPr>
            </w:pPr>
            <w:r>
              <w:rPr>
                <w:rFonts w:ascii="Arial" w:cs="Arial" w:eastAsia="Arial" w:hAnsi="Arial"/>
                <w:sz w:val="13"/>
                <w:szCs w:val="13"/>
                <w:color w:val="0000FF"/>
              </w:rPr>
              <w:t>2,055,507</w:t>
            </w:r>
          </w:p>
        </w:tc>
        <w:tc>
          <w:tcPr>
            <w:tcW w:w="66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40" w:type="dxa"/>
            <w:vAlign w:val="bottom"/>
            <w:gridSpan w:val="2"/>
          </w:tcPr>
          <w:p>
            <w:pPr>
              <w:ind w:left="620"/>
              <w:spacing w:after="0" w:line="79" w:lineRule="exact"/>
              <w:rPr>
                <w:sz w:val="20"/>
                <w:szCs w:val="20"/>
                <w:color w:val="auto"/>
              </w:rPr>
            </w:pPr>
            <w:r>
              <w:rPr>
                <w:rFonts w:ascii="Arial" w:cs="Arial" w:eastAsia="Arial" w:hAnsi="Arial"/>
                <w:sz w:val="9"/>
                <w:szCs w:val="9"/>
                <w:color w:val="008000"/>
              </w:rPr>
              <w:t>(3)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Reflects the voluntary conversion of Class B Common Stock into Class A Common Stock.</w:t>
      </w:r>
    </w:p>
    <w:p>
      <w:pPr>
        <w:spacing w:after="0" w:line="45" w:lineRule="exact"/>
        <w:rPr>
          <w:rFonts w:ascii="Arial" w:cs="Arial" w:eastAsia="Arial" w:hAnsi="Arial"/>
          <w:sz w:val="13"/>
          <w:szCs w:val="13"/>
          <w:color w:val="008000"/>
        </w:rPr>
      </w:pPr>
    </w:p>
    <w:p>
      <w:pPr>
        <w:jc w:val="both"/>
        <w:ind w:left="40" w:right="260" w:firstLine="3"/>
        <w:spacing w:after="0" w:line="241" w:lineRule="auto"/>
        <w:tabs>
          <w:tab w:leader="none" w:pos="17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any time at the option of the Reporting Person into one share of Class A Common Stock and has no expiration date. The Class B Common Stock will convert automatically into Class A Common Stock upon the earlier of: (i) any transfer except for certain "Permitted Transfers" as defined in the Issuer's amended and restated certificate of incorporation, or (ii) the occurrence of certain other events as specified in the Issuer's amended and restated certificate of incorporation.</w:t>
      </w:r>
    </w:p>
    <w:p>
      <w:pPr>
        <w:spacing w:after="0" w:line="30" w:lineRule="exact"/>
        <w:rPr>
          <w:rFonts w:ascii="Arial" w:cs="Arial" w:eastAsia="Arial" w:hAnsi="Arial"/>
          <w:sz w:val="13"/>
          <w:szCs w:val="13"/>
          <w:color w:val="008000"/>
        </w:rPr>
      </w:pPr>
    </w:p>
    <w:p>
      <w:pPr>
        <w:ind w:left="180" w:hanging="137"/>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14,552 shares are held by Qualcomm Global Trading Pte. Ltd., an indirect, wholly-owned subsidiary of the Reporting Person. The remaining shares are held directly by the Reporting Person.</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QUALCOMM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-10795</wp:posOffset>
            </wp:positionV>
            <wp:extent cx="1240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860"/>
        <w:spacing w:after="0" w:line="181" w:lineRule="auto"/>
        <w:rPr>
          <w:sz w:val="20"/>
          <w:szCs w:val="20"/>
          <w:color w:val="auto"/>
        </w:rPr>
      </w:pPr>
      <w:r>
        <w:rPr>
          <w:rFonts w:ascii="Arial" w:cs="Arial" w:eastAsia="Arial" w:hAnsi="Arial"/>
          <w:sz w:val="15"/>
          <w:szCs w:val="15"/>
          <w:color w:val="0000FF"/>
        </w:rPr>
        <w:t xml:space="preserve">By: /s/ Adam Schwenker, Name: </w:t>
      </w:r>
      <w:r>
        <w:rPr>
          <w:rFonts w:ascii="Arial" w:cs="Arial" w:eastAsia="Arial" w:hAnsi="Arial"/>
          <w:sz w:val="27"/>
          <w:szCs w:val="27"/>
          <w:color w:val="0000FF"/>
          <w:vertAlign w:val="subscript"/>
        </w:rPr>
        <w:t>10/17/2019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-27305</wp:posOffset>
            </wp:positionV>
            <wp:extent cx="1412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Adam Schwenker,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-19685</wp:posOffset>
            </wp:positionV>
            <wp:extent cx="1044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4575" cy="825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826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98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080432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2019-12-03T23:22:25Z</dcterms:created>
  <dcterms:modified xsi:type="dcterms:W3CDTF">2019-12-03T23:22:25Z</dcterms:modified>
</cp:coreProperties>
</file>