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937895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4, 2020</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000" w:type="dxa"/>
            <w:vAlign w:val="bottom"/>
          </w:tcPr>
          <w:p>
            <w:pPr>
              <w:jc w:val="center"/>
              <w:ind w:right="115"/>
              <w:spacing w:after="0"/>
              <w:rPr>
                <w:sz w:val="20"/>
                <w:szCs w:val="20"/>
                <w:color w:val="auto"/>
              </w:rPr>
            </w:pPr>
            <w:r>
              <w:rPr>
                <w:rFonts w:ascii="Arial" w:cs="Arial" w:eastAsia="Arial" w:hAnsi="Arial"/>
                <w:sz w:val="20"/>
                <w:szCs w:val="20"/>
                <w:b w:val="1"/>
                <w:bCs w:val="1"/>
                <w:color w:val="auto"/>
                <w:w w:val="91"/>
              </w:rPr>
              <w:t>Delaware</w:t>
            </w:r>
          </w:p>
        </w:tc>
        <w:tc>
          <w:tcPr>
            <w:tcW w:w="4820" w:type="dxa"/>
            <w:vAlign w:val="bottom"/>
          </w:tcPr>
          <w:p>
            <w:pPr>
              <w:jc w:val="center"/>
              <w:ind w:right="315"/>
              <w:spacing w:after="0"/>
              <w:rPr>
                <w:sz w:val="20"/>
                <w:szCs w:val="20"/>
                <w:color w:val="auto"/>
              </w:rPr>
            </w:pPr>
            <w:r>
              <w:rPr>
                <w:rFonts w:ascii="Arial" w:cs="Arial" w:eastAsia="Arial" w:hAnsi="Arial"/>
                <w:sz w:val="20"/>
                <w:szCs w:val="20"/>
                <w:b w:val="1"/>
                <w:bCs w:val="1"/>
                <w:color w:val="auto"/>
                <w:w w:val="89"/>
              </w:rPr>
              <w:t>001-38865</w:t>
            </w: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76"/>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3"/>
              </w:rPr>
              <w:t>(Commission File Number)</w:t>
            </w:r>
          </w:p>
        </w:tc>
        <w:tc>
          <w:tcPr>
            <w:tcW w:w="1740" w:type="dxa"/>
            <w:vAlign w:val="bottom"/>
          </w:tcPr>
          <w:p>
            <w:pPr>
              <w:jc w:val="center"/>
              <w:ind w:left="5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vMerge w:val="continue"/>
          </w:tcPr>
          <w:p>
            <w:pPr>
              <w:spacing w:after="0"/>
              <w:rPr>
                <w:sz w:val="16"/>
                <w:szCs w:val="16"/>
                <w:color w:val="auto"/>
              </w:rPr>
            </w:pPr>
          </w:p>
        </w:tc>
        <w:tc>
          <w:tcPr>
            <w:tcW w:w="1740" w:type="dxa"/>
            <w:vAlign w:val="bottom"/>
          </w:tcPr>
          <w:p>
            <w:pPr>
              <w:jc w:val="center"/>
              <w:ind w:left="5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3000" w:type="dxa"/>
            <w:vAlign w:val="bottom"/>
          </w:tcPr>
          <w:p>
            <w:pPr>
              <w:jc w:val="center"/>
              <w:ind w:right="95"/>
              <w:spacing w:after="0"/>
              <w:rPr>
                <w:sz w:val="20"/>
                <w:szCs w:val="20"/>
                <w:color w:val="auto"/>
              </w:rPr>
            </w:pPr>
            <w:r>
              <w:rPr>
                <w:rFonts w:ascii="Arial" w:cs="Arial" w:eastAsia="Arial" w:hAnsi="Arial"/>
                <w:sz w:val="20"/>
                <w:szCs w:val="20"/>
                <w:b w:val="1"/>
                <w:bCs w:val="1"/>
                <w:color w:val="auto"/>
                <w:w w:val="90"/>
              </w:rPr>
              <w:t>55 Almaden Boulevard, 6th Floor</w:t>
            </w:r>
          </w:p>
        </w:tc>
        <w:tc>
          <w:tcPr>
            <w:tcW w:w="4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0" w:type="dxa"/>
            <w:vAlign w:val="bottom"/>
          </w:tcPr>
          <w:p>
            <w:pPr>
              <w:jc w:val="center"/>
              <w:ind w:right="95"/>
              <w:spacing w:after="0"/>
              <w:rPr>
                <w:sz w:val="20"/>
                <w:szCs w:val="20"/>
                <w:color w:val="auto"/>
              </w:rPr>
            </w:pPr>
            <w:r>
              <w:rPr>
                <w:rFonts w:ascii="Arial" w:cs="Arial" w:eastAsia="Arial" w:hAnsi="Arial"/>
                <w:sz w:val="20"/>
                <w:szCs w:val="20"/>
                <w:b w:val="1"/>
                <w:bCs w:val="1"/>
                <w:color w:val="auto"/>
                <w:w w:val="88"/>
              </w:rPr>
              <w:t>San Jose, California</w:t>
            </w:r>
          </w:p>
        </w:tc>
        <w:tc>
          <w:tcPr>
            <w:tcW w:w="4820" w:type="dxa"/>
            <w:vAlign w:val="bottom"/>
          </w:tcPr>
          <w:p>
            <w:pPr>
              <w:spacing w:after="0"/>
              <w:rPr>
                <w:sz w:val="22"/>
                <w:szCs w:val="22"/>
                <w:color w:val="auto"/>
              </w:rPr>
            </w:pPr>
          </w:p>
        </w:tc>
        <w:tc>
          <w:tcPr>
            <w:tcW w:w="1740" w:type="dxa"/>
            <w:vAlign w:val="bottom"/>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14"/>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8"/>
                <w:szCs w:val="18"/>
                <w:color w:val="auto"/>
              </w:rPr>
            </w:pPr>
          </w:p>
        </w:tc>
        <w:tc>
          <w:tcPr>
            <w:tcW w:w="1740" w:type="dxa"/>
            <w:vAlign w:val="bottom"/>
          </w:tcPr>
          <w:p>
            <w:pPr>
              <w:jc w:val="center"/>
              <w:ind w:left="517"/>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7"/>
        </w:trPr>
        <w:tc>
          <w:tcPr>
            <w:tcW w:w="3000" w:type="dxa"/>
            <w:vAlign w:val="bottom"/>
          </w:tcPr>
          <w:p>
            <w:pPr>
              <w:spacing w:after="0"/>
              <w:rPr>
                <w:sz w:val="24"/>
                <w:szCs w:val="24"/>
                <w:color w:val="auto"/>
              </w:rPr>
            </w:pPr>
          </w:p>
        </w:tc>
        <w:tc>
          <w:tcPr>
            <w:tcW w:w="4820" w:type="dxa"/>
            <w:vAlign w:val="bottom"/>
          </w:tcPr>
          <w:p>
            <w:pPr>
              <w:jc w:val="center"/>
              <w:ind w:right="335"/>
              <w:spacing w:after="0"/>
              <w:rPr>
                <w:sz w:val="20"/>
                <w:szCs w:val="20"/>
                <w:color w:val="auto"/>
              </w:rPr>
            </w:pPr>
            <w:r>
              <w:rPr>
                <w:rFonts w:ascii="Arial" w:cs="Arial" w:eastAsia="Arial" w:hAnsi="Arial"/>
                <w:sz w:val="20"/>
                <w:szCs w:val="20"/>
                <w:b w:val="1"/>
                <w:bCs w:val="1"/>
                <w:color w:val="auto"/>
                <w:w w:val="90"/>
              </w:rPr>
              <w:t>(888) 799-9666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82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000" w:type="dxa"/>
            <w:vAlign w:val="bottom"/>
          </w:tcPr>
          <w:p>
            <w:pPr>
              <w:spacing w:after="0"/>
              <w:rPr>
                <w:sz w:val="24"/>
                <w:szCs w:val="24"/>
                <w:color w:val="auto"/>
              </w:rPr>
            </w:pPr>
          </w:p>
        </w:tc>
        <w:tc>
          <w:tcPr>
            <w:tcW w:w="4820" w:type="dxa"/>
            <w:vAlign w:val="bottom"/>
          </w:tcPr>
          <w:p>
            <w:pPr>
              <w:jc w:val="center"/>
              <w:ind w:right="355"/>
              <w:spacing w:after="0"/>
              <w:rPr>
                <w:sz w:val="20"/>
                <w:szCs w:val="20"/>
                <w:color w:val="auto"/>
              </w:rPr>
            </w:pPr>
            <w:r>
              <w:rPr>
                <w:rFonts w:ascii="Arial" w:cs="Arial" w:eastAsia="Arial" w:hAnsi="Arial"/>
                <w:sz w:val="20"/>
                <w:szCs w:val="20"/>
                <w:b w:val="1"/>
                <w:bCs w:val="1"/>
                <w:color w:val="auto"/>
                <w:w w:val="89"/>
              </w:rPr>
              <w:t>Not Applicable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82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On March 4, 2020, Zoom Video Communications, Inc. (the “Company”) issued a press release announcing its financial results for the three months and the fiscal year ended January 31, 2020. A copy of the press release is furnished as Exhibit 99.1 to this report and is incorporated by reference.</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26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70"/>
        </w:trPr>
        <w:tc>
          <w:tcPr>
            <w:tcW w:w="1880" w:type="dxa"/>
            <w:vAlign w:val="bottom"/>
            <w:gridSpan w:val="2"/>
          </w:tcPr>
          <w:p>
            <w:pPr>
              <w:ind w:left="300"/>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3"/>
        </w:trPr>
        <w:tc>
          <w:tcPr>
            <w:tcW w:w="1420" w:type="dxa"/>
            <w:vAlign w:val="bottom"/>
          </w:tcPr>
          <w:p>
            <w:pPr>
              <w:jc w:val="right"/>
              <w:ind w:right="53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526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dated March 4, 2020 of Zoom Video Communications, Inc.</w:t>
              </w:r>
            </w:hyperlink>
          </w:p>
        </w:tc>
        <w:tc>
          <w:tcPr>
            <w:tcW w:w="4260" w:type="dxa"/>
            <w:vAlign w:val="bottom"/>
          </w:tcPr>
          <w:p>
            <w:pPr>
              <w:spacing w:after="0"/>
              <w:rPr>
                <w:sz w:val="19"/>
                <w:szCs w:val="19"/>
                <w:color w:val="auto"/>
              </w:rPr>
            </w:pPr>
          </w:p>
        </w:tc>
      </w:tr>
    </w:tbl>
    <w:p>
      <w:pPr>
        <w:sectPr>
          <w:pgSz w:w="11900" w:h="16838" w:orient="portrait"/>
          <w:cols w:equalWidth="0" w:num="1">
            <w:col w:w="11400"/>
          </w:cols>
          <w:pgMar w:left="240" w:top="1107" w:right="2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360" w:val="left"/>
          <w:tab w:leader="none" w:pos="6060" w:val="left"/>
        </w:tabs>
        <w:rPr>
          <w:sz w:val="20"/>
          <w:szCs w:val="20"/>
          <w:color w:val="auto"/>
        </w:rPr>
      </w:pPr>
      <w:r>
        <w:rPr>
          <w:rFonts w:ascii="Arial" w:cs="Arial" w:eastAsia="Arial" w:hAnsi="Arial"/>
          <w:sz w:val="18"/>
          <w:szCs w:val="18"/>
          <w:color w:val="auto"/>
        </w:rPr>
        <w:t>Dated: March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940"/>
          </w:cols>
          <w:pgMar w:left="240" w:top="891"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Video Communications Reports Fourth Quarter and Fiscal Year 2020 Financial Results</w:t>
      </w:r>
    </w:p>
    <w:p>
      <w:pPr>
        <w:spacing w:after="0" w:line="229" w:lineRule="exact"/>
        <w:rPr>
          <w:sz w:val="20"/>
          <w:szCs w:val="20"/>
          <w:color w:val="auto"/>
        </w:rPr>
      </w:pPr>
    </w:p>
    <w:p>
      <w:pPr>
        <w:ind w:left="980" w:right="260" w:hanging="324"/>
        <w:spacing w:after="0" w:line="277" w:lineRule="auto"/>
        <w:tabs>
          <w:tab w:leader="none" w:pos="97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Fourth quarter total revenue of $188.3 million, up 78% year-over-year; full fiscal year total revenue of $622.7 million, up 88% year-over-year</w:t>
      </w:r>
    </w:p>
    <w:p>
      <w:pPr>
        <w:spacing w:after="0" w:line="170" w:lineRule="exact"/>
        <w:rPr>
          <w:rFonts w:ascii="Arial" w:cs="Arial" w:eastAsia="Arial" w:hAnsi="Arial"/>
          <w:sz w:val="18"/>
          <w:szCs w:val="18"/>
          <w:b w:val="1"/>
          <w:bCs w:val="1"/>
          <w:i w:val="1"/>
          <w:iCs w:val="1"/>
          <w:color w:val="auto"/>
        </w:rPr>
      </w:pPr>
    </w:p>
    <w:p>
      <w:pPr>
        <w:ind w:left="980" w:right="260" w:hanging="324"/>
        <w:spacing w:after="0" w:line="277" w:lineRule="auto"/>
        <w:tabs>
          <w:tab w:leader="none" w:pos="97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Fourth quarter GAAP income from operations of $10.6 million, up 92% year-over-year; full fiscal year GAAP income from operations of $12.7 million, up 106% year-over-year</w:t>
      </w:r>
    </w:p>
    <w:p>
      <w:pPr>
        <w:spacing w:after="0" w:line="170" w:lineRule="exact"/>
        <w:rPr>
          <w:rFonts w:ascii="Arial" w:cs="Arial" w:eastAsia="Arial" w:hAnsi="Arial"/>
          <w:sz w:val="18"/>
          <w:szCs w:val="18"/>
          <w:b w:val="1"/>
          <w:bCs w:val="1"/>
          <w:i w:val="1"/>
          <w:iCs w:val="1"/>
          <w:color w:val="auto"/>
        </w:rPr>
      </w:pPr>
    </w:p>
    <w:p>
      <w:pPr>
        <w:ind w:left="980" w:right="500" w:hanging="324"/>
        <w:spacing w:after="0" w:line="277" w:lineRule="auto"/>
        <w:tabs>
          <w:tab w:leader="none" w:pos="97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Fourth quarter non-GAAP income from operations of $38.4 million, up 292% year-over-year; full fiscal year non-GAAP income from operations of $88.7 million, up 487% year-over-year</w:t>
      </w:r>
    </w:p>
    <w:p>
      <w:pPr>
        <w:spacing w:after="0" w:line="170" w:lineRule="exact"/>
        <w:rPr>
          <w:rFonts w:ascii="Arial" w:cs="Arial" w:eastAsia="Arial" w:hAnsi="Arial"/>
          <w:sz w:val="18"/>
          <w:szCs w:val="18"/>
          <w:b w:val="1"/>
          <w:bCs w:val="1"/>
          <w:i w:val="1"/>
          <w:iCs w:val="1"/>
          <w:color w:val="auto"/>
        </w:rPr>
      </w:pPr>
    </w:p>
    <w:p>
      <w:pPr>
        <w:ind w:left="980" w:right="460" w:hanging="324"/>
        <w:spacing w:after="0" w:line="277" w:lineRule="auto"/>
        <w:tabs>
          <w:tab w:leader="none" w:pos="97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Fourth quarter operating cash flow of $36.6 million, up 129% year-over-year; full fiscal year operating cash flow of $151.9 million, up 196% year-over-year</w:t>
      </w:r>
    </w:p>
    <w:p>
      <w:pPr>
        <w:spacing w:after="0" w:line="16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March 4, 2020 – Zoom Video Communications, Inc. (NASDAQ: ZM), a provider of video-first unified communications,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quarter ended January 31, 2020.</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strive to empower our customers to accomplish more with our video-first unified communications platform. This is evidenced by our strong performance in the fourth quarter as we delivered a unique combination of high total revenue growth of 78% at a scale of $188 million, GAAP income from operations of $11 million, non-GAAP income from operations of $38 million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operating cash flow of $37 million. Our execution also drove 61% growth in the number of customers with more than 10 employees and 86% growth in the number of customers contributing more than $100K of TTM revenue,” said Eric S. Yuan, Founder and Chief Executive Officer of Zoom.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Year 2020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quarter was $188.3 million, up 78% year-over-year.</w:t>
      </w:r>
    </w:p>
    <w:p>
      <w:pPr>
        <w:spacing w:after="0" w:line="117" w:lineRule="exact"/>
        <w:rPr>
          <w:rFonts w:ascii="Arial" w:cs="Arial" w:eastAsia="Arial" w:hAnsi="Arial"/>
          <w:sz w:val="18"/>
          <w:szCs w:val="18"/>
          <w:b w:val="1"/>
          <w:bCs w:val="1"/>
          <w:color w:val="auto"/>
        </w:rPr>
      </w:pPr>
    </w:p>
    <w:p>
      <w:pPr>
        <w:ind w:left="980" w:right="140" w:hanging="324"/>
        <w:spacing w:after="0" w:line="281" w:lineRule="auto"/>
        <w:tabs>
          <w:tab w:leader="none" w:pos="97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from Operations and Operating Margin: </w:t>
      </w:r>
      <w:r>
        <w:rPr>
          <w:rFonts w:ascii="Arial" w:cs="Arial" w:eastAsia="Arial" w:hAnsi="Arial"/>
          <w:sz w:val="17"/>
          <w:szCs w:val="17"/>
          <w:color w:val="auto"/>
        </w:rPr>
        <w:t>GAAP income from operations for the quarter was $10.6 million, compared to GAAP</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operations of $5.5 million in the fourth quarter of fiscal year 2019. After adjusting for stock-based compensation expense and related payroll taxes, non-GAAP income from operations for the fourth quarter was $38.4 million, up from $9.8 million in the fourth quarter of fiscal year 2019. For the fourth quarter, GAAP operating margin was 5.6% and non-GAAP operating margin was 20.4%.</w:t>
      </w:r>
    </w:p>
    <w:p>
      <w:pPr>
        <w:spacing w:after="0" w:line="56" w:lineRule="exact"/>
        <w:rPr>
          <w:rFonts w:ascii="Arial" w:cs="Arial" w:eastAsia="Arial" w:hAnsi="Arial"/>
          <w:sz w:val="17"/>
          <w:szCs w:val="17"/>
          <w:b w:val="1"/>
          <w:bCs w:val="1"/>
          <w:color w:val="auto"/>
        </w:rPr>
      </w:pPr>
    </w:p>
    <w:p>
      <w:pPr>
        <w:ind w:left="980" w:right="12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quarter was $15.3 million, or $0.05</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compared to GAAP net income attributable to common stockholders of $1.2 million, or $0.01 per share in the fourth quarter of fiscal year 2019.</w:t>
      </w:r>
    </w:p>
    <w:p>
      <w:pPr>
        <w:spacing w:after="0" w:line="72" w:lineRule="exact"/>
        <w:rPr>
          <w:rFonts w:ascii="Arial" w:cs="Arial" w:eastAsia="Arial" w:hAnsi="Arial"/>
          <w:sz w:val="18"/>
          <w:szCs w:val="18"/>
          <w:b w:val="1"/>
          <w:bCs w:val="1"/>
          <w:color w:val="auto"/>
        </w:rPr>
      </w:pPr>
    </w:p>
    <w:p>
      <w:pPr>
        <w:ind w:left="98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Non-GAAP net income for the quarter was $43.2 million, after adjusting for stock-based compensation expense and related payroll taxes and undistributed earnings attributable to participating securities, and non-GAAP net income per share was $0.15. In the fourth quarter of fiscal year 2019, non-GAAP net income was $10.0 million, or $0.04 per share. The non-GAAP weighted average share count has been adjusted to reflect the shares of Class A common stock issued in connection with the Initial Public Offering (“IPO”), including the concurrent private placement, that are outstanding as of the end of the period as if they were outstanding as of the beginning of the period for comparability.</w:t>
      </w:r>
    </w:p>
    <w:p>
      <w:pPr>
        <w:spacing w:after="0" w:line="154"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Total cash, cash equivalents, and marketable securities as of January 31, 2020 was $855.2 million.</w:t>
      </w:r>
    </w:p>
    <w:p>
      <w:pPr>
        <w:spacing w:after="0" w:line="117" w:lineRule="exact"/>
        <w:rPr>
          <w:rFonts w:ascii="Arial" w:cs="Arial" w:eastAsia="Arial" w:hAnsi="Arial"/>
          <w:sz w:val="18"/>
          <w:szCs w:val="18"/>
          <w:b w:val="1"/>
          <w:bCs w:val="1"/>
          <w:color w:val="auto"/>
        </w:rPr>
      </w:pPr>
    </w:p>
    <w:p>
      <w:pPr>
        <w:ind w:left="980" w:right="40" w:hanging="324"/>
        <w:spacing w:after="0" w:line="313" w:lineRule="auto"/>
        <w:tabs>
          <w:tab w:leader="none" w:pos="97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$36.6 million for the quarter, compared to $16.0 million in the fourth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2019. Free cash flow was $26.6 million for the quarter, compared to $5.7 million in the fourth quarter of fiscal year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Fiscal Year 2020 Financial Highlights: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fiscal year was $622.7 million, up 88% year-over-year.</w:t>
      </w:r>
    </w:p>
    <w:p>
      <w:pPr>
        <w:spacing w:after="0" w:line="117" w:lineRule="exact"/>
        <w:rPr>
          <w:rFonts w:ascii="Arial" w:cs="Arial" w:eastAsia="Arial" w:hAnsi="Arial"/>
          <w:sz w:val="18"/>
          <w:szCs w:val="18"/>
          <w:b w:val="1"/>
          <w:bCs w:val="1"/>
          <w:color w:val="auto"/>
        </w:rPr>
      </w:pPr>
    </w:p>
    <w:p>
      <w:pPr>
        <w:ind w:left="980" w:right="220" w:hanging="324"/>
        <w:spacing w:after="0" w:line="282"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from Operations and Operating Margin: </w:t>
      </w:r>
      <w:r>
        <w:rPr>
          <w:rFonts w:ascii="Arial" w:cs="Arial" w:eastAsia="Arial" w:hAnsi="Arial"/>
          <w:sz w:val="18"/>
          <w:szCs w:val="18"/>
          <w:color w:val="auto"/>
        </w:rPr>
        <w:t>GAAP income from operations for the fiscal year was $12.7 million, compared to GAAP</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operations of $6.2 million for fiscal year 2019. After adjusting for</w:t>
      </w:r>
    </w:p>
    <w:p>
      <w:pPr>
        <w:sectPr>
          <w:pgSz w:w="11900" w:h="16838" w:orient="portrait"/>
          <w:cols w:equalWidth="0" w:num="1">
            <w:col w:w="11420"/>
          </w:cols>
          <w:pgMar w:left="240" w:top="895" w:right="239" w:bottom="1440" w:gutter="0" w:footer="0" w:header="0"/>
        </w:sectPr>
      </w:pPr>
    </w:p>
    <w:bookmarkStart w:id="4" w:name="page5"/>
    <w:bookmarkEnd w:id="4"/>
    <w:p>
      <w:pPr>
        <w:ind w:left="980" w:right="120"/>
        <w:spacing w:after="0" w:line="342" w:lineRule="auto"/>
        <w:rPr>
          <w:sz w:val="20"/>
          <w:szCs w:val="20"/>
          <w:color w:val="auto"/>
        </w:rPr>
      </w:pPr>
      <w:r>
        <w:rPr>
          <w:rFonts w:ascii="Arial" w:cs="Arial" w:eastAsia="Arial" w:hAnsi="Arial"/>
          <w:sz w:val="16"/>
          <w:szCs w:val="16"/>
          <w:color w:val="auto"/>
        </w:rPr>
        <w:t>stock-based compensation expense and related payroll taxes, non-GAAP income from operations for the fiscal year was $88.7 million, up from $15.1 million for fiscal year 2019. For the fiscal year, GAAP operating margin was 2.0% and non-GAAP operating margin was 14.2%.</w:t>
      </w:r>
    </w:p>
    <w:p>
      <w:pPr>
        <w:spacing w:after="0" w:line="12" w:lineRule="exact"/>
        <w:rPr>
          <w:sz w:val="20"/>
          <w:szCs w:val="20"/>
          <w:color w:val="auto"/>
        </w:rPr>
      </w:pPr>
    </w:p>
    <w:p>
      <w:pPr>
        <w:ind w:left="980" w:right="40" w:hanging="324"/>
        <w:spacing w:after="0" w:line="347" w:lineRule="auto"/>
        <w:tabs>
          <w:tab w:leader="none" w:pos="97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Income and Net Income Per Share: </w:t>
      </w:r>
      <w:r>
        <w:rPr>
          <w:rFonts w:ascii="Arial" w:cs="Arial" w:eastAsia="Arial" w:hAnsi="Arial"/>
          <w:sz w:val="16"/>
          <w:szCs w:val="16"/>
          <w:color w:val="auto"/>
        </w:rPr>
        <w:t>GAAP net income attributable to common stockholders for the fiscal year was $21.7 million, or $0.09</w:t>
      </w:r>
      <w:r>
        <w:rPr>
          <w:rFonts w:ascii="Arial" w:cs="Arial" w:eastAsia="Arial" w:hAnsi="Arial"/>
          <w:sz w:val="16"/>
          <w:szCs w:val="16"/>
          <w:b w:val="1"/>
          <w:bCs w:val="1"/>
          <w:color w:val="auto"/>
        </w:rPr>
        <w:t xml:space="preserve"> </w:t>
      </w:r>
      <w:r>
        <w:rPr>
          <w:rFonts w:ascii="Arial" w:cs="Arial" w:eastAsia="Arial" w:hAnsi="Arial"/>
          <w:sz w:val="16"/>
          <w:szCs w:val="16"/>
          <w:color w:val="auto"/>
        </w:rPr>
        <w:t>per share, compared to GAAP net income attributable to common stockholders of $0.0 million, or $0.00 per share for fiscal year 2019.</w:t>
      </w:r>
    </w:p>
    <w:p>
      <w:pPr>
        <w:spacing w:after="0" w:line="12" w:lineRule="exact"/>
        <w:rPr>
          <w:rFonts w:ascii="Arial" w:cs="Arial" w:eastAsia="Arial" w:hAnsi="Arial"/>
          <w:sz w:val="16"/>
          <w:szCs w:val="16"/>
          <w:b w:val="1"/>
          <w:bCs w:val="1"/>
          <w:color w:val="auto"/>
        </w:rPr>
      </w:pPr>
    </w:p>
    <w:p>
      <w:pPr>
        <w:ind w:left="98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Non-GAAP net income for the fiscal year was $101.3 million, after adjusting for stock-based compensation expense and related payroll taxes and undistributed earnings attributable to participating securities, and non-GAAP net income per share was $0.35. In fiscal year 2019, non-GAAP net income was $16.5 million, or $0.06 per share. The non-GAAP weighted average share count has been adjusted to reflect the shares of Class A common stock issued in connection with the IPO, including the concurrent private placement, that are outstanding as of the end of the period as if they were outstanding as of the beginning of the period for comparability.</w:t>
      </w:r>
    </w:p>
    <w:p>
      <w:pPr>
        <w:spacing w:after="0" w:line="60" w:lineRule="exact"/>
        <w:rPr>
          <w:rFonts w:ascii="Arial" w:cs="Arial" w:eastAsia="Arial" w:hAnsi="Arial"/>
          <w:sz w:val="16"/>
          <w:szCs w:val="16"/>
          <w:b w:val="1"/>
          <w:bCs w:val="1"/>
          <w:color w:val="auto"/>
        </w:rPr>
      </w:pPr>
    </w:p>
    <w:p>
      <w:pPr>
        <w:ind w:left="980" w:right="34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$151.9 million for the fiscal year, compared to $51.3 million for fiscal year 2019.</w:t>
      </w:r>
      <w:r>
        <w:rPr>
          <w:rFonts w:ascii="Arial" w:cs="Arial" w:eastAsia="Arial" w:hAnsi="Arial"/>
          <w:sz w:val="18"/>
          <w:szCs w:val="18"/>
          <w:b w:val="1"/>
          <w:bCs w:val="1"/>
          <w:color w:val="auto"/>
        </w:rPr>
        <w:t xml:space="preserve"> </w:t>
      </w:r>
      <w:r>
        <w:rPr>
          <w:rFonts w:ascii="Arial" w:cs="Arial" w:eastAsia="Arial" w:hAnsi="Arial"/>
          <w:sz w:val="18"/>
          <w:szCs w:val="18"/>
          <w:color w:val="auto"/>
        </w:rPr>
        <w:t>Free cash flow was $113.8 million for the fiscal year, compared to $22.9 million for fiscal year 2019.</w:t>
      </w:r>
    </w:p>
    <w:p>
      <w:pPr>
        <w:spacing w:after="0" w:line="200" w:lineRule="exact"/>
        <w:rPr>
          <w:sz w:val="20"/>
          <w:szCs w:val="20"/>
          <w:color w:val="auto"/>
        </w:rPr>
      </w:pPr>
    </w:p>
    <w:p>
      <w:pPr>
        <w:spacing w:after="0" w:line="31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 acquiring new customers and expanding across existing customers. At the end of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2020, Zoom had:</w:t>
      </w:r>
    </w:p>
    <w:p>
      <w:pPr>
        <w:spacing w:after="0" w:line="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Approximately 81,900 customers with more than 10 employees, up approximately 61% from the same quarter last fiscal year.</w:t>
      </w:r>
    </w:p>
    <w:p>
      <w:pPr>
        <w:spacing w:after="0" w:line="117"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641 customers contributing more than $100,000 in trailing 12 months (“TTM”) revenue, up approximately 86% from the same quarter last fiscal year.</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7th consecutive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first quarter of fiscal year 2021 and its full fiscal year 2021.</w:t>
      </w:r>
    </w:p>
    <w:p>
      <w:pPr>
        <w:spacing w:after="0" w:line="121" w:lineRule="exact"/>
        <w:rPr>
          <w:sz w:val="20"/>
          <w:szCs w:val="20"/>
          <w:color w:val="auto"/>
        </w:rPr>
      </w:pPr>
    </w:p>
    <w:p>
      <w:pPr>
        <w:ind w:left="980" w:right="240" w:hanging="324"/>
        <w:spacing w:after="0" w:line="264"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First Quarter Fiscal Year 2021: Total revenue is expected to be between $199.0 million and $201.0 million and non-GAAP income from operations is expected to be between $25.0 million and $27.0 million. Q1 non-GAAP diluted EPS is expected to be approximately $0.10 with approximately 297 million non-GAAP weighted average shares outstanding.</w:t>
      </w:r>
    </w:p>
    <w:p>
      <w:pPr>
        <w:spacing w:after="0" w:line="73" w:lineRule="exact"/>
        <w:rPr>
          <w:rFonts w:ascii="Arial" w:cs="Arial" w:eastAsia="Arial" w:hAnsi="Arial"/>
          <w:sz w:val="18"/>
          <w:szCs w:val="18"/>
          <w:b w:val="1"/>
          <w:bCs w:val="1"/>
          <w:color w:val="auto"/>
        </w:rPr>
      </w:pPr>
    </w:p>
    <w:p>
      <w:pPr>
        <w:ind w:left="980" w:right="220" w:hanging="324"/>
        <w:spacing w:after="0" w:line="264"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Full Fiscal Year 2021: Total revenue is expected to be between $905.0 million and $915.0 million and non-GAAP income from operations is expected to be between $110.0 million and $120.0 million. Full fiscal year non-GAAP diluted EPS is expected to be between $0.42 and $0.45 with approximately 301 million non-GAAP weighted average shares outstanding.</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are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supplemental financial presentation and other information can be accessed through Zoom’s investor relations website at investors.zoom.us.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Zoom will host a Zoom Video Webinar for investors on March 4, 2020 at 2:30p.m. Pacific Time / 5:30 p.m. Eastern Time to discuss the company’s financial results and business highlights. Investors are invited to join the Zoom Video Webinar by visiting: https://investors.zoom.us/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Zoom Video Communications, Inc. (NASDAQ: ZM) brings teams together to get more done in a frictionless video environment. Our easy, reliable, and innovative video-first unified communications platform provides video meetings, voice,</w:t>
      </w:r>
    </w:p>
    <w:p>
      <w:pPr>
        <w:sectPr>
          <w:pgSz w:w="11900" w:h="16838" w:orient="portrait"/>
          <w:cols w:equalWidth="0" w:num="1">
            <w:col w:w="11420"/>
          </w:cols>
          <w:pgMar w:left="240" w:top="1003" w:right="239" w:bottom="1440" w:gutter="0" w:footer="0" w:header="0"/>
        </w:sectPr>
      </w:pPr>
    </w:p>
    <w:bookmarkStart w:id="5" w:name="page6"/>
    <w:bookmarkEnd w:id="5"/>
    <w:p>
      <w:pPr>
        <w:jc w:val="both"/>
        <w:ind w:right="180"/>
        <w:spacing w:after="0" w:line="264" w:lineRule="auto"/>
        <w:rPr>
          <w:sz w:val="20"/>
          <w:szCs w:val="20"/>
          <w:color w:val="auto"/>
        </w:rPr>
      </w:pPr>
      <w:r>
        <w:rPr>
          <w:rFonts w:ascii="Arial" w:cs="Arial" w:eastAsia="Arial" w:hAnsi="Arial"/>
          <w:sz w:val="18"/>
          <w:szCs w:val="18"/>
          <w:color w:val="auto"/>
        </w:rPr>
        <w:t>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financial outlook,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would be harmed by any decline in new customers and hosts,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2019. Forward-looking statements speak only as of the date the statements are made and are based on information available to Zoom at the time those statements are made and/or management's good faith belief as of that time with respect to future</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events. Zoom assumes no obligation to update forward-looking statements to reflect events or circumstances after the date they were made,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3"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Non-GAAP Income From Operations. Zoom defines non-GAAP income from operations as income from operations excluding stock-based compensation expense and related payroll taxes.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because we believe that excluding this item provides meaningful supplemental information regarding operational performance. In particular, this expense is dependent on the price of our common stock and other factors that are beyond our control and do not correlate to the operation of the business.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w:t>
      </w:r>
    </w:p>
    <w:p>
      <w:pPr>
        <w:sectPr>
          <w:pgSz w:w="11900" w:h="16838" w:orient="portrait"/>
          <w:cols w:equalWidth="0" w:num="1">
            <w:col w:w="11420"/>
          </w:cols>
          <w:pgMar w:left="240" w:top="1003"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Zoom then calculates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Farshad Hashmatulla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and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408.675.6738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1380"/>
          </w:cols>
          <w:pgMar w:left="240" w:top="1003"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283,134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63,624</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572,060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112,777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120,435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63,613</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44,885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75,008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37"/>
        </w:trPr>
        <w:tc>
          <w:tcPr>
            <w:tcW w:w="842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1,095,522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276,719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29,063</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57,138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37,275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68,608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22,332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1,289,845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354,565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122,692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32,256</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209,542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115,122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333,830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152,341</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10,651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36,286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455,902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202,452</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159,552</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832,705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833,943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64"/>
        </w:trPr>
        <w:tc>
          <w:tcPr>
            <w:tcW w:w="842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1,289,845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354,565</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consolidated balance sheets was $12.5 million and $7.2 million as of January 31, 2020 and January 31, 2019, respectively.</w:t>
      </w:r>
    </w:p>
    <w:p>
      <w:pPr>
        <w:sectPr>
          <w:pgSz w:w="11900" w:h="16838" w:orient="portrait"/>
          <w:cols w:equalWidth="0" w:num="1">
            <w:col w:w="11420"/>
          </w:cols>
          <w:pgMar w:left="240" w:top="8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260" w:type="dxa"/>
            <w:vAlign w:val="bottom"/>
          </w:tcPr>
          <w:p>
            <w:pPr>
              <w:spacing w:after="0"/>
              <w:rPr>
                <w:sz w:val="16"/>
                <w:szCs w:val="16"/>
                <w:color w:val="auto"/>
              </w:rPr>
            </w:pPr>
          </w:p>
        </w:tc>
        <w:tc>
          <w:tcPr>
            <w:tcW w:w="27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622,658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330,517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32,547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19,525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115,396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155,704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86,275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507,262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269,516</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43"/>
        </w:trPr>
        <w:tc>
          <w:tcPr>
            <w:tcW w:w="53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100,905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55,052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340,646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185,821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86,841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44,514</w:t>
            </w:r>
          </w:p>
        </w:tc>
        <w:tc>
          <w:tcPr>
            <w:tcW w:w="0" w:type="dxa"/>
            <w:vAlign w:val="bottom"/>
          </w:tcPr>
          <w:p>
            <w:pPr>
              <w:spacing w:after="0"/>
              <w:rPr>
                <w:sz w:val="1"/>
                <w:szCs w:val="1"/>
                <w:color w:val="auto"/>
              </w:rPr>
            </w:pPr>
          </w:p>
        </w:tc>
      </w:tr>
      <w:tr>
        <w:trPr>
          <w:trHeight w:val="237"/>
        </w:trPr>
        <w:tc>
          <w:tcPr>
            <w:tcW w:w="532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145,151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80,783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494,566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263,349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15,313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21,750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9"/>
              </w:rPr>
              <w:t>Weighted-average shares used in computing net income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attributable to common stockholders: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276,719,764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88,232,692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233,641,336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84,483,094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2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292,789,235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116,734,684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254,298,014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116,005,681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January 31,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5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15,339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5,697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25,305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7,584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26,577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73,109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8,941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contract acquisition costs</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11,162</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6,477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37,101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20,839</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7,008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Non-cash operating lease cost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Provision for accounts receivable allowances</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1,953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37</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(41,040)</w:t>
            </w:r>
          </w:p>
        </w:tc>
      </w:tr>
      <w:tr>
        <w:trPr>
          <w:trHeight w:val="243"/>
        </w:trPr>
        <w:tc>
          <w:tcPr>
            <w:tcW w:w="516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contract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(45,769)</w:t>
            </w:r>
          </w:p>
        </w:tc>
      </w:tr>
      <w:tr>
        <w:trPr>
          <w:trHeight w:val="243"/>
        </w:trPr>
        <w:tc>
          <w:tcPr>
            <w:tcW w:w="51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27,407</w:t>
            </w:r>
          </w:p>
        </w:tc>
      </w:tr>
      <w:tr>
        <w:trPr>
          <w:trHeight w:val="243"/>
        </w:trPr>
        <w:tc>
          <w:tcPr>
            <w:tcW w:w="51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29,707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18,928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71,511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lease liabilities, net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36,554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15,991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151,892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51,332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(171,121)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(800,228)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(78,016)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Maturities of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179,414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68,747</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equity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Loans to employees</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Purchases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(2,018)</w:t>
            </w:r>
          </w:p>
        </w:tc>
      </w:tr>
      <w:tr>
        <w:trPr>
          <w:trHeight w:val="237"/>
        </w:trPr>
        <w:tc>
          <w:tcPr>
            <w:tcW w:w="516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w w:val="95"/>
              </w:rPr>
              <w:t>Proceeds from initial public offering and private placement, net of</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w w:val="95"/>
              </w:rPr>
              <w:t>underwriting discounts and commissions and other offering costs</w:t>
            </w:r>
          </w:p>
        </w:tc>
        <w:tc>
          <w:tcPr>
            <w:tcW w:w="3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542,492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Proceeds from international employee stock sales to be remitted to</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employees and tax authorities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for employee stock</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purchase plan</w:t>
            </w: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 net of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3,565</w:t>
            </w: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Proceeds from issuance of convertible promissory notes and</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15,000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Principal payments on capital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r>
      <w:tr>
        <w:trPr>
          <w:trHeight w:val="237"/>
        </w:trPr>
        <w:tc>
          <w:tcPr>
            <w:tcW w:w="5160" w:type="dxa"/>
            <w:vAlign w:val="bottom"/>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615,690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17,534</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52,252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29,147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w w:val="98"/>
              </w:rPr>
              <w:t>Cash, cash equivalents, and restricted cash—beginning of period</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281,830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66,051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65,968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36,821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cash—end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334,082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65,968</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334,082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65,968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13"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2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27,892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75,971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64"/>
        </w:trPr>
        <w:tc>
          <w:tcPr>
            <w:tcW w:w="540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38,445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88,667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21,750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27,892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75,971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3,555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64"/>
        </w:trPr>
        <w:tc>
          <w:tcPr>
            <w:tcW w:w="54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43,231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101,276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per share - basic and diluted: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Pr>
          <w:p>
            <w:pPr>
              <w:ind w:left="220"/>
              <w:spacing w:after="0"/>
              <w:rPr>
                <w:sz w:val="20"/>
                <w:szCs w:val="20"/>
                <w:color w:val="auto"/>
              </w:rPr>
            </w:pPr>
            <w:r>
              <w:rPr>
                <w:rFonts w:ascii="Arial" w:cs="Arial" w:eastAsia="Arial" w:hAnsi="Arial"/>
                <w:sz w:val="18"/>
                <w:szCs w:val="18"/>
                <w:color w:val="auto"/>
              </w:rPr>
              <w:t>GAAP net income per share -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Pr>
          <w:p>
            <w:pPr>
              <w:ind w:left="2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w w:val="92"/>
              </w:rPr>
              <w:t>GAAP weighted-average shares used to compute net income per share -</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276,719,764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88,232,692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233,641,336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84,483,094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Non-GAAP unweighted adjustment for common stock issued in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connection with IPO</w:t>
            </w:r>
          </w:p>
        </w:tc>
        <w:tc>
          <w:tcPr>
            <w:tcW w:w="2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152,665,804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37,484,508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w w:val="99"/>
              </w:rPr>
              <w:t>152,665,804</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Non-GAAP weighted-average shares used to compute net income per</w:t>
            </w:r>
          </w:p>
        </w:tc>
        <w:tc>
          <w:tcPr>
            <w:tcW w:w="24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276,719,764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240,898,496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271,125,844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237,148,898</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 basic</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GAAP weighted-average shares used to compute net income per share -</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292,789,235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116,734,684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254,298,014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116,005,681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unweighted adjustment for common stock issued 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connection with IPO</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152,665,804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37,484,508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152,665,804</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w w:val="96"/>
              </w:rPr>
              <w:t>Non-GAAP weighted-average shares used to compute net income per</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292,789,235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269,400,488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291,782,522</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w w:val="99"/>
              </w:rPr>
              <w:t>268,671,485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share - diluted</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36,554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151,892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51,332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(38,084)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(28,432)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26,602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113,808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(15,986)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(499,468)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(39,719)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19,067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615,690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2020-03-04T15:23:29Z</dcterms:created>
  <dcterms:modified xsi:type="dcterms:W3CDTF">2020-03-04T15:23:29Z</dcterms:modified>
</cp:coreProperties>
</file>