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06/09/2020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(2)</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9,073</w:t>
            </w:r>
          </w:p>
        </w:tc>
        <w:tc>
          <w:tcPr>
            <w:tcW w:w="700" w:type="dxa"/>
            <w:vAlign w:val="bottom"/>
          </w:tcPr>
          <w:p>
            <w:pPr>
              <w:spacing w:after="0"/>
              <w:rPr>
                <w:sz w:val="16"/>
                <w:szCs w:val="16"/>
                <w:color w:val="auto"/>
              </w:rPr>
            </w:pPr>
          </w:p>
        </w:tc>
        <w:tc>
          <w:tcPr>
            <w:tcW w:w="940" w:type="dxa"/>
            <w:vAlign w:val="bottom"/>
            <w:vMerge w:val="restart"/>
          </w:tcPr>
          <w:p>
            <w:pPr>
              <w:ind w:left="240"/>
              <w:spacing w:after="0"/>
              <w:rPr>
                <w:sz w:val="20"/>
                <w:szCs w:val="20"/>
                <w:color w:val="auto"/>
              </w:rPr>
            </w:pPr>
            <w:r>
              <w:rPr>
                <w:rFonts w:ascii="Arial" w:cs="Arial" w:eastAsia="Arial" w:hAnsi="Arial"/>
                <w:sz w:val="13"/>
                <w:szCs w:val="13"/>
                <w:color w:val="0000FF"/>
              </w:rPr>
              <w:t>38,481</w:t>
            </w:r>
            <w:r>
              <w:rPr>
                <w:rFonts w:ascii="Arial" w:cs="Arial" w:eastAsia="Arial" w:hAnsi="Arial"/>
                <w:sz w:val="21"/>
                <w:szCs w:val="21"/>
                <w:color w:val="008000"/>
                <w:vertAlign w:val="superscript"/>
              </w:rPr>
              <w:t>(3)</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06/09/2020</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9,073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40" w:right="5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from Beyond Merits Limited. The Reporting Person is no longer a director of Beyond Merits Limited, and as such, no longer shares voting or investment control with respect to the shares held of record by Beyond Merits Limited.</w:t>
      </w:r>
    </w:p>
    <w:p>
      <w:pPr>
        <w:sectPr>
          <w:pgSz w:w="11900" w:h="16838" w:orient="portrait"/>
          <w:cols w:equalWidth="0" w:num="1">
            <w:col w:w="11080"/>
          </w:cols>
          <w:pgMar w:left="460" w:top="222"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Reflects the Reporting Person's current holdings as of the filing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3175</wp:posOffset>
            </wp:positionV>
            <wp:extent cx="1304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2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0000FF"/>
        </w:rPr>
        <w:t>03/05/2021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0" w:lineRule="exact"/>
        <w:rPr>
          <w:sz w:val="24"/>
          <w:szCs w:val="24"/>
          <w:color w:val="auto"/>
        </w:rPr>
      </w:pPr>
    </w:p>
    <w:p>
      <w:pPr>
        <w:sectPr>
          <w:pgSz w:w="11900" w:h="16838" w:orient="portrait"/>
          <w:cols w:equalWidth="0" w:num="2">
            <w:col w:w="8660" w:space="14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2021-03-05T19:03:15Z</dcterms:created>
  <dcterms:modified xsi:type="dcterms:W3CDTF">2021-03-05T19:03:15Z</dcterms:modified>
</cp:coreProperties>
</file>