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Arial" w:cs="Arial" w:eastAsia="Arial" w:hAnsi="Arial"/>
          <w:sz w:val="54"/>
          <w:szCs w:val="54"/>
          <w:b w:val="1"/>
          <w:bCs w:val="1"/>
          <w:color w:val="FFFFFF"/>
        </w:rPr>
        <w:t>Annual Report</w:t>
      </w:r>
    </w:p>
    <w:p>
      <w:pPr>
        <w:sectPr>
          <w:pgSz w:w="11880" w:h="15480" w:orient="portrait"/>
          <w:cols w:equalWidth="0" w:num="1">
            <w:col w:w="9440"/>
          </w:cols>
          <w:pgMar w:left="1000" w:top="1440" w:right="1440" w:bottom="431" w:gutter="0" w:footer="0" w:header="0"/>
        </w:sectPr>
      </w:pPr>
    </w:p>
    <w:p>
      <w:pPr>
        <w:spacing w:after="0" w:line="362" w:lineRule="exact"/>
        <w:rPr>
          <w:sz w:val="24"/>
          <w:szCs w:val="24"/>
          <w:color w:val="auto"/>
        </w:rPr>
      </w:pPr>
    </w:p>
    <w:p>
      <w:pPr>
        <w:spacing w:after="0"/>
        <w:rPr>
          <w:sz w:val="20"/>
          <w:szCs w:val="20"/>
          <w:color w:val="auto"/>
        </w:rPr>
      </w:pPr>
      <w:r>
        <w:rPr>
          <w:rFonts w:ascii="Arial" w:cs="Arial" w:eastAsia="Arial" w:hAnsi="Arial"/>
          <w:sz w:val="24"/>
          <w:szCs w:val="24"/>
          <w:b w:val="1"/>
          <w:bCs w:val="1"/>
          <w:color w:val="FFFFFF"/>
        </w:rPr>
        <w:t>Fiscal 2024</w:t>
      </w:r>
    </w:p>
    <w:p>
      <w:pPr>
        <w:sectPr>
          <w:pgSz w:w="11880" w:h="15480" w:orient="portrait"/>
          <w:cols w:equalWidth="0" w:num="1">
            <w:col w:w="9440"/>
          </w:cols>
          <w:pgMar w:left="1000" w:top="1440" w:right="1440" w:bottom="431" w:gutter="0" w:footer="0" w:header="0"/>
          <w:type w:val="continuous"/>
        </w:sectPr>
      </w:pPr>
    </w:p>
    <w:bookmarkStart w:id="1" w:name="page2"/>
    <w:bookmarkEnd w:id="1"/>
    <w:p>
      <w:pPr>
        <w:ind w:left="1720"/>
        <w:spacing w:after="0"/>
        <w:rPr>
          <w:sz w:val="20"/>
          <w:szCs w:val="20"/>
          <w:color w:val="auto"/>
        </w:rPr>
      </w:pPr>
      <w:r>
        <w:rPr>
          <w:rFonts w:ascii="Arial" w:cs="Arial" w:eastAsia="Arial" w:hAnsi="Arial"/>
          <w:sz w:val="19"/>
          <w:szCs w:val="19"/>
          <w:color w:val="auto"/>
        </w:rPr>
        <w:t>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998220" cy="1330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98220" cy="1330960"/>
                    </a:xfrm>
                    <a:prstGeom prst="rect">
                      <a:avLst/>
                    </a:prstGeom>
                    <a:noFill/>
                  </pic:spPr>
                </pic:pic>
              </a:graphicData>
            </a:graphic>
          </wp:anchor>
        </w:drawing>
      </w:r>
    </w:p>
    <w:p>
      <w:pPr>
        <w:spacing w:after="0" w:line="275"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In last year’s letter I expressed</w:t>
      </w:r>
    </w:p>
    <w:p>
      <w:pPr>
        <w:spacing w:after="0" w:line="38" w:lineRule="exact"/>
        <w:rPr>
          <w:sz w:val="20"/>
          <w:szCs w:val="20"/>
          <w:color w:val="auto"/>
        </w:rPr>
      </w:pPr>
    </w:p>
    <w:p>
      <w:pPr>
        <w:jc w:val="both"/>
        <w:ind w:left="1720"/>
        <w:spacing w:after="0" w:line="282" w:lineRule="auto"/>
        <w:rPr>
          <w:sz w:val="20"/>
          <w:szCs w:val="20"/>
          <w:color w:val="auto"/>
        </w:rPr>
      </w:pPr>
      <w:r>
        <w:rPr>
          <w:rFonts w:ascii="Arial" w:cs="Arial" w:eastAsia="Arial" w:hAnsi="Arial"/>
          <w:sz w:val="19"/>
          <w:szCs w:val="19"/>
          <w:color w:val="auto"/>
        </w:rPr>
        <w:t>optimism amid strong macroeconomic headwinds. As I reflect on the last twelve months, I can confidently say we have gained even stronger footing</w:t>
      </w:r>
    </w:p>
    <w:p>
      <w:pPr>
        <w:jc w:val="both"/>
        <w:ind w:firstLine="1718"/>
        <w:spacing w:after="0" w:line="288" w:lineRule="auto"/>
        <w:rPr>
          <w:sz w:val="20"/>
          <w:szCs w:val="20"/>
          <w:color w:val="auto"/>
        </w:rPr>
      </w:pPr>
      <w:r>
        <w:rPr>
          <w:rFonts w:ascii="Arial" w:cs="Arial" w:eastAsia="Arial" w:hAnsi="Arial"/>
          <w:sz w:val="19"/>
          <w:szCs w:val="19"/>
          <w:color w:val="auto"/>
        </w:rPr>
        <w:t>despite similar economic conditions. In FY24, we took proactive steps to cement our transition from a video conferencing app to an AI-powered open workplace platform, and advanced towards our vision of “one platform delivering limitless human connection.” I’ll highlight some of the themes in our business that took flight in FY24 and continue to move us forward:</w:t>
      </w:r>
    </w:p>
    <w:p>
      <w:pPr>
        <w:spacing w:after="0" w:line="21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4769B1"/>
        </w:rPr>
        <w:t>Reimagining collaboration and customer experience infused with AI from the ground up</w:t>
      </w:r>
    </w:p>
    <w:p>
      <w:pPr>
        <w:jc w:val="both"/>
        <w:ind w:firstLine="1"/>
        <w:spacing w:after="0" w:line="285" w:lineRule="auto"/>
        <w:rPr>
          <w:sz w:val="20"/>
          <w:szCs w:val="20"/>
          <w:color w:val="auto"/>
        </w:rPr>
      </w:pPr>
      <w:r>
        <w:rPr>
          <w:rFonts w:ascii="Arial" w:cs="Arial" w:eastAsia="Arial" w:hAnsi="Arial"/>
          <w:sz w:val="19"/>
          <w:szCs w:val="19"/>
          <w:color w:val="auto"/>
        </w:rPr>
        <w:t>When generative AI took center stage in late 2022, we were not caught off guard. AI has been a key part of our product portfolio from the early days and in FY24 we built upon our strong AI positioning by attracting some of the best and brightest talent in this space such as our CTO Xuedong “XD” Huang, who joined us after a seasoned career spearheading AI innovation at Microsoft. Last September, we launched Zoom AI Companion at no additional cost to paid customers. In only five months, 510,000 accounts enabled it and 7.2 million meeting summaries were created. We further set ourselves apart in the market by adopting a federated approach to AI that untethers us from any one model and allows us to drive both quality and efficiency in our AI solutions.</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strongly believe that technology should advance trust, not erode it, which led us to take the additional step in FY24 of explicitly stating that Zoom does not and will not use customer content to train our AI models or third-party AI models. Putting trust first has been a feature of how we do business from the very beginning. In the age of generative AI, it elevates our position as a trusted partner of global enterprises seeking to transform their businesses.</w:t>
      </w:r>
    </w:p>
    <w:p>
      <w:pPr>
        <w:spacing w:after="0" w:line="215"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In Customer Experience, we are reimagining a legacy technology by modernizing it 100% in the cloud and infusing it with AI from the ground up, as evidenced by the roughly 90 features or enhancements we have released per quarter since launching the product in early FY23. All Zoom Contact Center customers are equipped with AI Companion, and our newly-launched</w:t>
      </w:r>
    </w:p>
    <w:p>
      <w:pPr>
        <w:spacing w:after="0" w:line="20" w:lineRule="exact"/>
        <w:rPr>
          <w:sz w:val="20"/>
          <w:szCs w:val="20"/>
          <w:color w:val="auto"/>
        </w:rPr>
      </w:pPr>
      <w:r>
        <w:rPr>
          <w:sz w:val="20"/>
          <w:szCs w:val="20"/>
          <w:color w:val="auto"/>
        </w:rPr>
        <w:br w:type="column"/>
      </w:r>
    </w:p>
    <w:p>
      <w:pPr>
        <w:jc w:val="both"/>
        <w:spacing w:after="0" w:line="285" w:lineRule="auto"/>
        <w:rPr>
          <w:sz w:val="20"/>
          <w:szCs w:val="20"/>
          <w:color w:val="auto"/>
        </w:rPr>
      </w:pPr>
      <w:r>
        <w:rPr>
          <w:rFonts w:ascii="Arial" w:cs="Arial" w:eastAsia="Arial" w:hAnsi="Arial"/>
          <w:sz w:val="19"/>
          <w:szCs w:val="19"/>
          <w:color w:val="auto"/>
        </w:rPr>
        <w:t>tiered pricing allows power users to lean further into AI with AI Expert Assist, Workforce Management, Quality Management, and Zoom Virtual Agent. In FY24, we tripled Contact Center licenses, and exited the year with growing ASPs buoyed by the tiered pricing. Armed with these expanding features, we are steadily marching up market and beginning to win head to head against both on-prem and cloud-based incumbents for new deals and displacements of mid and enterprise-grade customer-facing contact centers. What’s more, the product is competing on its own merits with customers completely new to Zoom - broadening the funnel for the entire Zoom platform.</w:t>
      </w:r>
    </w:p>
    <w:p>
      <w:pPr>
        <w:spacing w:after="0" w:line="221" w:lineRule="exact"/>
        <w:rPr>
          <w:sz w:val="20"/>
          <w:szCs w:val="20"/>
          <w:color w:val="auto"/>
        </w:rPr>
      </w:pPr>
    </w:p>
    <w:p>
      <w:pPr>
        <w:jc w:val="both"/>
        <w:ind w:firstLine="1"/>
        <w:spacing w:after="0" w:line="284" w:lineRule="auto"/>
        <w:rPr>
          <w:sz w:val="20"/>
          <w:szCs w:val="20"/>
          <w:color w:val="auto"/>
        </w:rPr>
      </w:pPr>
      <w:r>
        <w:rPr>
          <w:rFonts w:ascii="Arial" w:cs="Arial" w:eastAsia="Arial" w:hAnsi="Arial"/>
          <w:sz w:val="19"/>
          <w:szCs w:val="19"/>
          <w:color w:val="auto"/>
        </w:rPr>
        <w:t>Our AI roadmap is guided by driving customer value. We partner with customers to better understand their pain points and then deploy some of the brightest minds in the space to develop and launch new AI capabilities that address those pain points. Our recent Zoom Workplace platform launch is a major step towards our vision. It puts AI front and center and allows customers to use AI Companion across modalities to boost productivity and streamline communications. Ask AI Companion allows users to gather, synthesize, and share critical information from multiple sources across the Zoom platform and from select third-party applications. It can complete routine tasks such as creating meeting preparation materials, drafting agendas, and brainstorming ideas using a variety of inputs like meeting summaries and chat threads. And this is only the beginning.</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4769B1"/>
        </w:rPr>
        <w:t>Offering a unified solution at a compelling TCO</w:t>
      </w:r>
    </w:p>
    <w:p>
      <w:pPr>
        <w:spacing w:after="0" w:line="37"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The macro environment has changed since the days of near zero interest rates. Customers are more cost-conscious, which means that offering the best technology in isolation is no longer enough. Total cost of ownership, interoperability and eliminating redundancy are as important as the technology itself. Because of our deliberate efforts building a platform over many years, we are well prepared for these trends. Zoom Phone, Zoom Rooms, Zoom Team Chat, Zoom Events and more recently Whiteboard, Scheduler, Visitor Management, Email, and Calendar all form an expanding mosaic that empowers our customers to do more within Zoom and reduce costs. Even amid a tough spending environment and strong FX headwinds, our platform strategy played out well with Enterprises as evidenced by our FY24 Enterprise Revenue growing 9% year over year. Offering access to AI Companion at no additional cost to paid users further strengthens our value proposition. The days of</w:t>
      </w:r>
    </w:p>
    <w:p>
      <w:pPr>
        <w:spacing w:after="0" w:line="361" w:lineRule="exact"/>
        <w:rPr>
          <w:sz w:val="20"/>
          <w:szCs w:val="20"/>
          <w:color w:val="auto"/>
        </w:rPr>
      </w:pPr>
    </w:p>
    <w:p>
      <w:pPr>
        <w:ind w:left="2400"/>
        <w:spacing w:after="0"/>
        <w:rPr>
          <w:sz w:val="20"/>
          <w:szCs w:val="20"/>
          <w:color w:val="auto"/>
        </w:rPr>
      </w:pPr>
      <w:r>
        <w:rPr>
          <w:rFonts w:ascii="Arial" w:cs="Arial" w:eastAsia="Arial" w:hAnsi="Arial"/>
          <w:sz w:val="19"/>
          <w:szCs w:val="19"/>
          <w:color w:val="auto"/>
        </w:rPr>
        <w:t>(continued on back cover)</w:t>
      </w:r>
    </w:p>
    <w:p>
      <w:pPr>
        <w:sectPr>
          <w:pgSz w:w="11880" w:h="15480" w:orient="portrait"/>
          <w:cols w:equalWidth="0" w:num="2">
            <w:col w:w="4680" w:space="560"/>
            <w:col w:w="4680"/>
          </w:cols>
          <w:pgMar w:left="980" w:top="1018" w:right="980" w:bottom="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601980</wp:posOffset>
            </wp:positionH>
            <wp:positionV relativeFrom="page">
              <wp:posOffset>407670</wp:posOffset>
            </wp:positionV>
            <wp:extent cx="6339840" cy="50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39840" cy="50165"/>
                    </a:xfrm>
                    <a:prstGeom prst="rect">
                      <a:avLst/>
                    </a:prstGeom>
                    <a:noFill/>
                  </pic:spPr>
                </pic:pic>
              </a:graphicData>
            </a:graphic>
          </wp:anchor>
        </w:drawing>
        <w:t>UNITED STATES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___________________________________________________________________</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___________________________________________________________________</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 One)</w:t>
      </w:r>
    </w:p>
    <w:p>
      <w:pPr>
        <w:spacing w:after="0" w:line="87" w:lineRule="exact"/>
        <w:rPr>
          <w:sz w:val="20"/>
          <w:szCs w:val="20"/>
          <w:color w:val="auto"/>
        </w:rPr>
      </w:pPr>
    </w:p>
    <w:p>
      <w:pPr>
        <w:ind w:left="540" w:right="700" w:hanging="488"/>
        <w:spacing w:after="0" w:line="252" w:lineRule="auto"/>
        <w:tabs>
          <w:tab w:leader="none" w:pos="540" w:val="left"/>
        </w:tabs>
        <w:numPr>
          <w:ilvl w:val="0"/>
          <w:numId w:val="1"/>
        </w:numPr>
        <w:rPr>
          <w:rFonts w:ascii="MS PGothic" w:cs="MS PGothic" w:eastAsia="MS PGothic" w:hAnsi="MS PGothic"/>
          <w:sz w:val="21"/>
          <w:szCs w:val="21"/>
          <w:b w:val="1"/>
          <w:bCs w:val="1"/>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the fiscal year ended January 31, 2024</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OR</w:t>
      </w:r>
    </w:p>
    <w:p>
      <w:pPr>
        <w:spacing w:after="0" w:line="87" w:lineRule="exact"/>
        <w:rPr>
          <w:sz w:val="20"/>
          <w:szCs w:val="20"/>
          <w:color w:val="auto"/>
        </w:rPr>
      </w:pPr>
    </w:p>
    <w:p>
      <w:pPr>
        <w:ind w:left="540" w:right="280" w:hanging="474"/>
        <w:spacing w:after="0" w:line="252" w:lineRule="auto"/>
        <w:tabs>
          <w:tab w:leader="none" w:pos="540" w:val="left"/>
        </w:tabs>
        <w:numPr>
          <w:ilvl w:val="0"/>
          <w:numId w:val="2"/>
        </w:numPr>
        <w:rPr>
          <w:rFonts w:ascii="MS PGothic" w:cs="MS PGothic" w:eastAsia="MS PGothic" w:hAnsi="MS PGothic"/>
          <w:sz w:val="21"/>
          <w:szCs w:val="21"/>
          <w:b w:val="1"/>
          <w:bCs w:val="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25" w:lineRule="exact"/>
        <w:rPr>
          <w:sz w:val="20"/>
          <w:szCs w:val="20"/>
          <w:color w:val="auto"/>
        </w:rPr>
      </w:pPr>
    </w:p>
    <w:tbl>
      <w:tblPr>
        <w:tblLayout w:type="fixed"/>
        <w:tblInd w:w="2200" w:type="dxa"/>
        <w:tblCellMar>
          <w:top w:w="0" w:type="dxa"/>
          <w:left w:w="0" w:type="dxa"/>
          <w:bottom w:w="0" w:type="dxa"/>
          <w:right w:w="0" w:type="dxa"/>
        </w:tblCellMar>
      </w:tblPr>
      <w:tr>
        <w:trPr>
          <w:trHeight w:val="218"/>
        </w:trPr>
        <w:tc>
          <w:tcPr>
            <w:tcW w:w="3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THE TRANSITION PERIOD FROM</w:t>
            </w:r>
          </w:p>
        </w:tc>
        <w:tc>
          <w:tcPr>
            <w:tcW w:w="780" w:type="dxa"/>
            <w:vAlign w:val="bottom"/>
            <w:tcBorders>
              <w:bottom w:val="single" w:sz="8" w:color="auto"/>
            </w:tcBorders>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w w:val="94"/>
              </w:rPr>
              <w:t>TO</w:t>
            </w:r>
          </w:p>
        </w:tc>
      </w:tr>
      <w:tr>
        <w:trPr>
          <w:trHeight w:val="293"/>
        </w:trPr>
        <w:tc>
          <w:tcPr>
            <w:tcW w:w="4420" w:type="dxa"/>
            <w:vAlign w:val="bottom"/>
            <w:gridSpan w:val="2"/>
          </w:tcPr>
          <w:p>
            <w:pPr>
              <w:ind w:left="1280"/>
              <w:spacing w:after="0"/>
              <w:rPr>
                <w:sz w:val="20"/>
                <w:szCs w:val="20"/>
                <w:color w:val="auto"/>
              </w:rPr>
            </w:pPr>
            <w:r>
              <w:rPr>
                <w:rFonts w:ascii="Times New Roman" w:cs="Times New Roman" w:eastAsia="Times New Roman" w:hAnsi="Times New Roman"/>
                <w:sz w:val="19"/>
                <w:szCs w:val="19"/>
                <w:b w:val="1"/>
                <w:bCs w:val="1"/>
                <w:color w:val="auto"/>
              </w:rPr>
              <w:t>Commission File Number 001-38865</w:t>
            </w:r>
          </w:p>
        </w:tc>
        <w:tc>
          <w:tcPr>
            <w:tcW w:w="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-198120</wp:posOffset>
            </wp:positionV>
            <wp:extent cx="49276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2760" cy="6350"/>
                    </a:xfrm>
                    <a:prstGeom prst="rect">
                      <a:avLst/>
                    </a:prstGeom>
                    <a:noFill/>
                  </pic:spPr>
                </pic:pic>
              </a:graphicData>
            </a:graphic>
          </wp:anchor>
        </w:drawing>
      </w:r>
    </w:p>
    <w:p>
      <w:pPr>
        <w:ind w:left="2380"/>
        <w:spacing w:after="0" w:line="218" w:lineRule="auto"/>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___________________________________________________________________</w:t>
      </w:r>
    </w:p>
    <w:p>
      <w:pPr>
        <w:jc w:val="center"/>
        <w:spacing w:after="0"/>
        <w:rPr>
          <w:sz w:val="20"/>
          <w:szCs w:val="20"/>
          <w:color w:val="auto"/>
        </w:rPr>
      </w:pPr>
      <w:r>
        <w:rPr>
          <w:rFonts w:ascii="Times New Roman" w:cs="Times New Roman" w:eastAsia="Times New Roman" w:hAnsi="Times New Roman"/>
          <w:sz w:val="35"/>
          <w:szCs w:val="35"/>
          <w:b w:val="1"/>
          <w:bCs w:val="1"/>
          <w:color w:val="auto"/>
        </w:rPr>
        <w:t>Zoom Video Communications, Inc.</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___________________________________________________________________</w:t>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231"/>
        </w:trPr>
        <w:tc>
          <w:tcPr>
            <w:tcW w:w="4000" w:type="dxa"/>
            <w:vAlign w:val="bottom"/>
          </w:tcPr>
          <w:p>
            <w:pPr>
              <w:jc w:val="center"/>
              <w:ind w:right="143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880" w:type="dxa"/>
            <w:vAlign w:val="bottom"/>
          </w:tcPr>
          <w:p>
            <w:pPr>
              <w:jc w:val="center"/>
              <w:ind w:left="1433"/>
              <w:spacing w:after="0"/>
              <w:rPr>
                <w:sz w:val="20"/>
                <w:szCs w:val="20"/>
                <w:color w:val="auto"/>
              </w:rPr>
            </w:pPr>
            <w:r>
              <w:rPr>
                <w:rFonts w:ascii="Times New Roman" w:cs="Times New Roman" w:eastAsia="Times New Roman" w:hAnsi="Times New Roman"/>
                <w:sz w:val="17"/>
                <w:szCs w:val="17"/>
                <w:b w:val="1"/>
                <w:bCs w:val="1"/>
                <w:color w:val="auto"/>
              </w:rPr>
              <w:t>61-1648780</w:t>
            </w:r>
          </w:p>
        </w:tc>
      </w:tr>
      <w:tr>
        <w:trPr>
          <w:trHeight w:val="225"/>
        </w:trPr>
        <w:tc>
          <w:tcPr>
            <w:tcW w:w="4000" w:type="dxa"/>
            <w:vAlign w:val="bottom"/>
          </w:tcPr>
          <w:p>
            <w:pPr>
              <w:jc w:val="center"/>
              <w:ind w:right="1433"/>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tc>
        <w:tc>
          <w:tcPr>
            <w:tcW w:w="2880" w:type="dxa"/>
            <w:vAlign w:val="bottom"/>
          </w:tcPr>
          <w:p>
            <w:pPr>
              <w:jc w:val="center"/>
              <w:ind w:left="1453"/>
              <w:spacing w:after="0"/>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31"/>
        </w:trPr>
        <w:tc>
          <w:tcPr>
            <w:tcW w:w="4000" w:type="dxa"/>
            <w:vAlign w:val="bottom"/>
          </w:tcPr>
          <w:p>
            <w:pPr>
              <w:jc w:val="center"/>
              <w:ind w:right="1433"/>
              <w:spacing w:after="0"/>
              <w:rPr>
                <w:sz w:val="20"/>
                <w:szCs w:val="20"/>
                <w:color w:val="auto"/>
              </w:rPr>
            </w:pPr>
            <w:r>
              <w:rPr>
                <w:rFonts w:ascii="Times New Roman" w:cs="Times New Roman" w:eastAsia="Times New Roman" w:hAnsi="Times New Roman"/>
                <w:sz w:val="17"/>
                <w:szCs w:val="17"/>
                <w:b w:val="1"/>
                <w:bCs w:val="1"/>
                <w:color w:val="auto"/>
              </w:rPr>
              <w:t>of incorporation or organization)</w:t>
            </w:r>
          </w:p>
        </w:tc>
        <w:tc>
          <w:tcPr>
            <w:tcW w:w="2880" w:type="dxa"/>
            <w:vAlign w:val="bottom"/>
          </w:tcPr>
          <w:p>
            <w:pPr>
              <w:jc w:val="center"/>
              <w:ind w:left="1433"/>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bl>
    <w:p>
      <w:pPr>
        <w:spacing w:after="0" w:line="8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b w:val="1"/>
          <w:bCs w:val="1"/>
          <w:color w:val="auto"/>
        </w:rPr>
        <w:t>55 Almaden Boulevard, 6</w:t>
      </w:r>
      <w:r>
        <w:rPr>
          <w:rFonts w:ascii="Times New Roman" w:cs="Times New Roman" w:eastAsia="Times New Roman" w:hAnsi="Times New Roman"/>
          <w:sz w:val="17"/>
          <w:szCs w:val="17"/>
          <w:b w:val="1"/>
          <w:bCs w:val="1"/>
          <w:color w:val="auto"/>
        </w:rPr>
        <w:t>th</w:t>
      </w:r>
      <w:r>
        <w:rPr>
          <w:rFonts w:ascii="Times New Roman" w:cs="Times New Roman" w:eastAsia="Times New Roman" w:hAnsi="Times New Roman"/>
          <w:sz w:val="19"/>
          <w:szCs w:val="19"/>
          <w:b w:val="1"/>
          <w:bCs w:val="1"/>
          <w:color w:val="auto"/>
        </w:rPr>
        <w:t xml:space="preserve"> Floor</w:t>
      </w:r>
    </w:p>
    <w:p>
      <w:pPr>
        <w:spacing w:after="0" w:line="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b w:val="1"/>
          <w:bCs w:val="1"/>
          <w:color w:val="auto"/>
        </w:rPr>
        <w:t>San Jose, California 95113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(Address of principal executive offices and Zip Code)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(888) 799-9666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(Registrant’s telephone number, including area code)</w:t>
      </w:r>
    </w:p>
    <w:p>
      <w:pPr>
        <w:spacing w:after="0" w:line="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___________________________________________________________________</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80" w:type="dxa"/>
            <w:vAlign w:val="bottom"/>
          </w:tcPr>
          <w:p>
            <w:pPr>
              <w:spacing w:after="0"/>
              <w:rPr>
                <w:sz w:val="20"/>
                <w:szCs w:val="20"/>
                <w:color w:val="auto"/>
              </w:rPr>
            </w:pPr>
          </w:p>
        </w:tc>
        <w:tc>
          <w:tcPr>
            <w:tcW w:w="3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07"/>
        </w:trPr>
        <w:tc>
          <w:tcPr>
            <w:tcW w:w="20" w:type="dxa"/>
            <w:vAlign w:val="bottom"/>
          </w:tcPr>
          <w:p>
            <w:pPr>
              <w:spacing w:after="0"/>
              <w:rPr>
                <w:sz w:val="17"/>
                <w:szCs w:val="17"/>
                <w:color w:val="auto"/>
              </w:rPr>
            </w:pPr>
          </w:p>
        </w:tc>
        <w:tc>
          <w:tcPr>
            <w:tcW w:w="40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w w:val="97"/>
              </w:rPr>
              <w:t>Class A Common Stock, $0.001 par value per share</w:t>
            </w:r>
          </w:p>
        </w:tc>
        <w:tc>
          <w:tcPr>
            <w:tcW w:w="2000" w:type="dxa"/>
            <w:vAlign w:val="bottom"/>
          </w:tcPr>
          <w:p>
            <w:pPr>
              <w:jc w:val="center"/>
              <w:ind w:right="138"/>
              <w:spacing w:after="0"/>
              <w:rPr>
                <w:sz w:val="20"/>
                <w:szCs w:val="20"/>
                <w:color w:val="auto"/>
              </w:rPr>
            </w:pPr>
            <w:r>
              <w:rPr>
                <w:rFonts w:ascii="Times New Roman" w:cs="Times New Roman" w:eastAsia="Times New Roman" w:hAnsi="Times New Roman"/>
                <w:sz w:val="16"/>
                <w:szCs w:val="16"/>
                <w:color w:val="auto"/>
                <w:w w:val="91"/>
              </w:rPr>
              <w:t>ZM</w:t>
            </w:r>
          </w:p>
        </w:tc>
        <w:tc>
          <w:tcPr>
            <w:tcW w:w="80" w:type="dxa"/>
            <w:vAlign w:val="bottom"/>
          </w:tcPr>
          <w:p>
            <w:pPr>
              <w:spacing w:after="0"/>
              <w:rPr>
                <w:sz w:val="17"/>
                <w:szCs w:val="17"/>
                <w:color w:val="auto"/>
              </w:rPr>
            </w:pPr>
          </w:p>
        </w:tc>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r>
      <w:tr>
        <w:trPr>
          <w:trHeight w:val="570"/>
        </w:trPr>
        <w:tc>
          <w:tcPr>
            <w:tcW w:w="4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9"/>
        </w:trPr>
        <w:tc>
          <w:tcPr>
            <w:tcW w:w="7440" w:type="dxa"/>
            <w:vAlign w:val="bottom"/>
            <w:gridSpan w:val="7"/>
          </w:tcPr>
          <w:p>
            <w:pPr>
              <w:spacing w:after="0"/>
              <w:rPr>
                <w:sz w:val="20"/>
                <w:szCs w:val="20"/>
                <w:color w:val="auto"/>
              </w:rPr>
            </w:pPr>
            <w:r>
              <w:rPr>
                <w:rFonts w:ascii="Times New Roman" w:cs="Times New Roman" w:eastAsia="Times New Roman" w:hAnsi="Times New Roman"/>
                <w:sz w:val="16"/>
                <w:szCs w:val="16"/>
                <w:color w:val="auto"/>
                <w:w w:val="98"/>
              </w:rPr>
              <w:t>Indicate by check mark if the registrant is a well-known seasoned issuer, as defined in Rule 405 of the Securities Act.</w:t>
            </w:r>
          </w:p>
        </w:tc>
        <w:tc>
          <w:tcPr>
            <w:tcW w:w="56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b w:val="1"/>
                <w:bCs w:val="1"/>
                <w:color w:val="auto"/>
              </w:rPr>
              <w:t>☒</w:t>
            </w:r>
          </w:p>
        </w:tc>
        <w:tc>
          <w:tcPr>
            <w:tcW w:w="1940" w:type="dxa"/>
            <w:vAlign w:val="bottom"/>
          </w:tcPr>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b w:val="1"/>
                <w:bCs w:val="1"/>
                <w:color w:val="auto"/>
              </w:rPr>
              <w:t>☐</w:t>
            </w:r>
          </w:p>
        </w:tc>
      </w:tr>
      <w:tr>
        <w:trPr>
          <w:trHeight w:val="248"/>
        </w:trPr>
        <w:tc>
          <w:tcPr>
            <w:tcW w:w="7440" w:type="dxa"/>
            <w:vAlign w:val="bottom"/>
            <w:gridSpan w:val="7"/>
          </w:tcPr>
          <w:p>
            <w:pPr>
              <w:spacing w:after="0"/>
              <w:rPr>
                <w:sz w:val="20"/>
                <w:szCs w:val="20"/>
                <w:color w:val="auto"/>
              </w:rPr>
            </w:pPr>
            <w:r>
              <w:rPr>
                <w:rFonts w:ascii="Times New Roman" w:cs="Times New Roman" w:eastAsia="Times New Roman" w:hAnsi="Times New Roman"/>
                <w:sz w:val="16"/>
                <w:szCs w:val="16"/>
                <w:color w:val="auto"/>
                <w:w w:val="96"/>
              </w:rPr>
              <w:t>Indicate by check mark if the registrant is not required to file reports pursuant to Section 13 or Section 15(d) of the Act.</w:t>
            </w:r>
          </w:p>
        </w:tc>
        <w:tc>
          <w:tcPr>
            <w:tcW w:w="560" w:type="dxa"/>
            <w:vAlign w:val="bottom"/>
          </w:tcPr>
          <w:p>
            <w:pPr>
              <w:ind w:left="120"/>
              <w:spacing w:after="0" w:line="184" w:lineRule="exact"/>
              <w:rPr>
                <w:sz w:val="20"/>
                <w:szCs w:val="20"/>
                <w:color w:val="auto"/>
              </w:rPr>
            </w:pPr>
            <w:r>
              <w:rPr>
                <w:rFonts w:ascii="Times New Roman" w:cs="Times New Roman" w:eastAsia="Times New Roman" w:hAnsi="Times New Roman"/>
                <w:sz w:val="16"/>
                <w:szCs w:val="16"/>
                <w:color w:val="auto"/>
                <w:w w:val="93"/>
              </w:rPr>
              <w:t xml:space="preserve">Yes </w:t>
            </w:r>
            <w:r>
              <w:rPr>
                <w:rFonts w:ascii="MS PGothic" w:cs="MS PGothic" w:eastAsia="MS PGothic" w:hAnsi="MS PGothic"/>
                <w:sz w:val="16"/>
                <w:szCs w:val="16"/>
                <w:b w:val="1"/>
                <w:bCs w:val="1"/>
                <w:color w:val="auto"/>
                <w:w w:val="93"/>
              </w:rPr>
              <w:t>☐</w:t>
            </w:r>
          </w:p>
        </w:tc>
        <w:tc>
          <w:tcPr>
            <w:tcW w:w="194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b w:val="1"/>
                <w:bCs w:val="1"/>
                <w:color w:val="auto"/>
              </w:rPr>
              <w:t>☒</w:t>
            </w:r>
          </w:p>
        </w:tc>
      </w:tr>
    </w:tbl>
    <w:p>
      <w:pPr>
        <w:spacing w:after="0" w:line="38" w:lineRule="exact"/>
        <w:rPr>
          <w:sz w:val="20"/>
          <w:szCs w:val="20"/>
          <w:color w:val="auto"/>
        </w:rPr>
      </w:pPr>
    </w:p>
    <w:p>
      <w:pPr>
        <w:jc w:val="both"/>
        <w:spacing w:after="0" w:line="1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19" w:lineRule="exact"/>
        <w:rPr>
          <w:sz w:val="20"/>
          <w:szCs w:val="20"/>
          <w:color w:val="auto"/>
        </w:rPr>
      </w:pPr>
    </w:p>
    <w:p>
      <w:pPr>
        <w:jc w:val="both"/>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20" w:type="dxa"/>
            <w:vAlign w:val="bottom"/>
          </w:tcPr>
          <w:p>
            <w:pPr>
              <w:ind w:left="320"/>
              <w:spacing w:after="0" w:line="161" w:lineRule="exact"/>
              <w:rPr>
                <w:sz w:val="20"/>
                <w:szCs w:val="20"/>
                <w:color w:val="auto"/>
              </w:rPr>
            </w:pPr>
            <w:r>
              <w:rPr>
                <w:rFonts w:ascii="MS PGothic" w:cs="MS PGothic" w:eastAsia="MS PGothic" w:hAnsi="MS PGothic"/>
                <w:sz w:val="16"/>
                <w:szCs w:val="16"/>
                <w:b w:val="1"/>
                <w:bCs w:val="1"/>
                <w:color w:val="auto"/>
              </w:rPr>
              <w:t>☒</w:t>
            </w:r>
          </w:p>
        </w:tc>
        <w:tc>
          <w:tcPr>
            <w:tcW w:w="440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3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20" w:type="dxa"/>
            <w:vAlign w:val="bottom"/>
          </w:tcPr>
          <w:p>
            <w:pPr>
              <w:ind w:left="320"/>
              <w:spacing w:after="0" w:line="161" w:lineRule="exact"/>
              <w:rPr>
                <w:sz w:val="20"/>
                <w:szCs w:val="20"/>
                <w:color w:val="auto"/>
              </w:rPr>
            </w:pPr>
            <w:r>
              <w:rPr>
                <w:rFonts w:ascii="MS PGothic" w:cs="MS PGothic" w:eastAsia="MS PGothic" w:hAnsi="MS PGothic"/>
                <w:sz w:val="16"/>
                <w:szCs w:val="16"/>
                <w:b w:val="1"/>
                <w:bCs w:val="1"/>
                <w:color w:val="auto"/>
              </w:rPr>
              <w:t>☐</w:t>
            </w:r>
          </w:p>
        </w:tc>
        <w:tc>
          <w:tcPr>
            <w:tcW w:w="440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3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820" w:type="dxa"/>
            <w:vAlign w:val="bottom"/>
          </w:tcPr>
          <w:p>
            <w:pPr>
              <w:ind w:left="320"/>
              <w:spacing w:after="0" w:line="161" w:lineRule="exact"/>
              <w:rPr>
                <w:sz w:val="20"/>
                <w:szCs w:val="20"/>
                <w:color w:val="auto"/>
              </w:rPr>
            </w:pPr>
            <w:r>
              <w:rPr>
                <w:rFonts w:ascii="MS PGothic" w:cs="MS PGothic" w:eastAsia="MS PGothic" w:hAnsi="MS PGothic"/>
                <w:sz w:val="16"/>
                <w:szCs w:val="16"/>
                <w:b w:val="1"/>
                <w:bCs w:val="1"/>
                <w:color w:val="auto"/>
              </w:rPr>
              <w:t>☐</w:t>
            </w:r>
          </w:p>
        </w:tc>
        <w:tc>
          <w:tcPr>
            <w:tcW w:w="440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109" w:lineRule="exact"/>
        <w:rPr>
          <w:sz w:val="20"/>
          <w:szCs w:val="20"/>
          <w:color w:val="auto"/>
        </w:rPr>
      </w:pPr>
    </w:p>
    <w:p>
      <w:pPr>
        <w:jc w:val="both"/>
        <w:spacing w:after="0" w:line="208"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b w:val="1"/>
          <w:bCs w:val="1"/>
          <w:color w:val="auto"/>
        </w:rPr>
        <w:t>☐</w:t>
      </w:r>
    </w:p>
    <w:p>
      <w:pPr>
        <w:spacing w:after="0" w:line="38" w:lineRule="exact"/>
        <w:rPr>
          <w:sz w:val="20"/>
          <w:szCs w:val="20"/>
          <w:color w:val="auto"/>
        </w:rPr>
      </w:pPr>
    </w:p>
    <w:p>
      <w:pPr>
        <w:jc w:val="both"/>
        <w:spacing w:after="0" w:line="1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b w:val="1"/>
          <w:bCs w:val="1"/>
          <w:color w:val="auto"/>
        </w:rPr>
        <w:t>☒</w:t>
      </w:r>
    </w:p>
    <w:p>
      <w:pPr>
        <w:spacing w:after="0" w:line="29" w:lineRule="exact"/>
        <w:rPr>
          <w:sz w:val="20"/>
          <w:szCs w:val="20"/>
          <w:color w:val="auto"/>
        </w:rPr>
      </w:pPr>
    </w:p>
    <w:p>
      <w:pPr>
        <w:jc w:val="both"/>
        <w:spacing w:after="0" w:line="20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29" w:lineRule="exact"/>
        <w:rPr>
          <w:sz w:val="20"/>
          <w:szCs w:val="20"/>
          <w:color w:val="auto"/>
        </w:rPr>
      </w:pPr>
    </w:p>
    <w:p>
      <w:pPr>
        <w:jc w:val="both"/>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32" w:lineRule="exact"/>
        <w:rPr>
          <w:sz w:val="20"/>
          <w:szCs w:val="20"/>
          <w:color w:val="auto"/>
        </w:rPr>
      </w:pPr>
    </w:p>
    <w:p>
      <w:pPr>
        <w:spacing w:after="0" w:line="184" w:lineRule="exact"/>
        <w:tabs>
          <w:tab w:leader="none" w:pos="7200" w:val="left"/>
          <w:tab w:leader="none" w:pos="78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b w:val="1"/>
          <w:bCs w:val="1"/>
          <w:color w:val="auto"/>
        </w:rPr>
        <w:t>☒</w:t>
      </w:r>
    </w:p>
    <w:p>
      <w:pPr>
        <w:sectPr>
          <w:pgSz w:w="11880" w:h="15480" w:orient="portrait"/>
          <w:cols w:equalWidth="0" w:num="1">
            <w:col w:w="9960"/>
          </w:cols>
          <w:pgMar w:left="960" w:top="804" w:right="960" w:bottom="0" w:gutter="0" w:footer="0" w:header="0"/>
        </w:sectPr>
      </w:pPr>
    </w:p>
    <w:bookmarkStart w:id="3" w:name="page4"/>
    <w:bookmarkEnd w:id="3"/>
    <w:p>
      <w:pPr>
        <w:jc w:val="both"/>
        <w:ind w:right="500"/>
        <w:spacing w:after="0" w:line="243" w:lineRule="auto"/>
        <w:rPr>
          <w:sz w:val="20"/>
          <w:szCs w:val="20"/>
          <w:color w:val="auto"/>
        </w:rPr>
      </w:pPr>
      <w:r>
        <w:rPr>
          <w:rFonts w:ascii="Times New Roman" w:cs="Times New Roman" w:eastAsia="Times New Roman" w:hAnsi="Times New Roman"/>
          <w:sz w:val="16"/>
          <w:szCs w:val="16"/>
          <w:color w:val="auto"/>
        </w:rPr>
        <w:t>The aggregate market value of the registrant's Class A common stock held by non-affiliates of the registrant, based on the closing price of a share of the registrant's Class A common stock on July 31, 2023 as reported by the Nasdaq Global Select Market on such date was approximately $18.6 billion. This calculation does not reflect a determination that certain persons are affiliates of the registrant for any other purpose.</w:t>
      </w:r>
    </w:p>
    <w:p>
      <w:pPr>
        <w:spacing w:after="0" w:line="267" w:lineRule="auto"/>
        <w:rPr>
          <w:sz w:val="20"/>
          <w:szCs w:val="20"/>
          <w:color w:val="auto"/>
        </w:rPr>
      </w:pPr>
      <w:r>
        <w:rPr>
          <w:rFonts w:ascii="Times New Roman" w:cs="Times New Roman" w:eastAsia="Times New Roman" w:hAnsi="Times New Roman"/>
          <w:sz w:val="16"/>
          <w:szCs w:val="16"/>
          <w:color w:val="auto"/>
        </w:rPr>
        <w:t>As of February 16, 2024, the number of shares of the registrant’s Class A common stock outstanding was 260,899,571 and the number of shares of the registrant’s Class B common stock outstanding was 46,660,091.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-16510</wp:posOffset>
            </wp:positionV>
            <wp:extent cx="6348730" cy="50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8730" cy="5016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the 2024 Annual Meeting of Stockholders are incorporated herein by references in Part III of this Annual Report on Form 10-K to the extent stated herein. Such Proxy Statement will be filed with the Securities and Exchange Commission within 120 days of the registrant's fiscal year ended January 31, 2024.</w:t>
      </w:r>
    </w:p>
    <w:p>
      <w:pPr>
        <w:spacing w:after="0" w:line="159" w:lineRule="exact"/>
        <w:rPr>
          <w:sz w:val="20"/>
          <w:szCs w:val="20"/>
          <w:color w:val="auto"/>
        </w:rPr>
      </w:pPr>
    </w:p>
    <w:p>
      <w:pPr>
        <w:spacing w:after="0"/>
        <w:tabs>
          <w:tab w:leader="none" w:pos="1080" w:val="left"/>
          <w:tab w:leader="none" w:pos="3660" w:val="left"/>
          <w:tab w:leader="none" w:pos="4940" w:val="left"/>
          <w:tab w:leader="none" w:pos="8380" w:val="left"/>
          <w:tab w:leader="none" w:pos="9600" w:val="left"/>
        </w:tabs>
        <w:rPr>
          <w:sz w:val="20"/>
          <w:szCs w:val="20"/>
          <w:color w:val="auto"/>
        </w:rPr>
      </w:pPr>
      <w:r>
        <w:rPr>
          <w:rFonts w:ascii="Times New Roman" w:cs="Times New Roman" w:eastAsia="Times New Roman" w:hAnsi="Times New Roman"/>
          <w:sz w:val="16"/>
          <w:szCs w:val="16"/>
          <w:color w:val="auto"/>
        </w:rPr>
        <w:t>Auditor Name:</w:t>
        <w:tab/>
        <w:t>KPMG LLP</w:t>
      </w:r>
      <w:r>
        <w:rPr>
          <w:sz w:val="20"/>
          <w:szCs w:val="20"/>
          <w:color w:val="auto"/>
        </w:rPr>
        <w:tab/>
      </w:r>
      <w:r>
        <w:rPr>
          <w:rFonts w:ascii="Times New Roman" w:cs="Times New Roman" w:eastAsia="Times New Roman" w:hAnsi="Times New Roman"/>
          <w:sz w:val="16"/>
          <w:szCs w:val="16"/>
          <w:color w:val="auto"/>
        </w:rPr>
        <w:t>Auditor Location:</w:t>
        <w:tab/>
        <w:t>San Francisco, California</w:t>
      </w:r>
      <w:r>
        <w:rPr>
          <w:sz w:val="20"/>
          <w:szCs w:val="20"/>
          <w:color w:val="auto"/>
        </w:rPr>
        <w:tab/>
      </w:r>
      <w:r>
        <w:rPr>
          <w:rFonts w:ascii="Times New Roman" w:cs="Times New Roman" w:eastAsia="Times New Roman" w:hAnsi="Times New Roman"/>
          <w:sz w:val="16"/>
          <w:szCs w:val="16"/>
          <w:color w:val="auto"/>
        </w:rPr>
        <w:t>Auditor Firm ID:</w:t>
        <w:tab/>
        <w:t>185</w:t>
      </w:r>
    </w:p>
    <w:p>
      <w:pPr>
        <w:sectPr>
          <w:pgSz w:w="11880" w:h="15480" w:orient="portrait"/>
          <w:cols w:equalWidth="0" w:num="1">
            <w:col w:w="9960"/>
          </w:cols>
          <w:pgMar w:left="960" w:top="633" w:right="96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1000" w:type="dxa"/>
            <w:vAlign w:val="bottom"/>
          </w:tcPr>
          <w:p>
            <w:pPr>
              <w:spacing w:after="0"/>
              <w:rPr>
                <w:sz w:val="22"/>
                <w:szCs w:val="22"/>
                <w:color w:val="auto"/>
              </w:rPr>
            </w:pPr>
          </w:p>
        </w:tc>
        <w:tc>
          <w:tcPr>
            <w:tcW w:w="7580" w:type="dxa"/>
            <w:vAlign w:val="bottom"/>
          </w:tcPr>
          <w:p>
            <w:pPr>
              <w:jc w:val="center"/>
              <w:ind w:left="163"/>
              <w:spacing w:after="0"/>
              <w:rPr>
                <w:sz w:val="20"/>
                <w:szCs w:val="20"/>
                <w:color w:val="auto"/>
              </w:rPr>
            </w:pPr>
            <w:r>
              <w:rPr>
                <w:rFonts w:ascii="Times New Roman" w:cs="Times New Roman" w:eastAsia="Times New Roman" w:hAnsi="Times New Roman"/>
                <w:sz w:val="19"/>
                <w:szCs w:val="19"/>
                <w:b w:val="1"/>
                <w:bCs w:val="1"/>
                <w:color w:val="auto"/>
              </w:rPr>
              <w:t>TABLE OF CONTENTS</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9"/>
        </w:trPr>
        <w:tc>
          <w:tcPr>
            <w:tcW w:w="1000" w:type="dxa"/>
            <w:vAlign w:val="bottom"/>
          </w:tcPr>
          <w:p>
            <w:pPr>
              <w:spacing w:after="0"/>
              <w:rPr>
                <w:sz w:val="24"/>
                <w:szCs w:val="24"/>
                <w:color w:val="auto"/>
              </w:rPr>
            </w:pPr>
          </w:p>
        </w:tc>
        <w:tc>
          <w:tcPr>
            <w:tcW w:w="7580" w:type="dxa"/>
            <w:vAlign w:val="bottom"/>
          </w:tcPr>
          <w:p>
            <w:pPr>
              <w:jc w:val="center"/>
              <w:ind w:left="163"/>
              <w:spacing w:after="0"/>
              <w:rPr>
                <w:sz w:val="20"/>
                <w:szCs w:val="20"/>
                <w:color w:val="auto"/>
              </w:rPr>
            </w:pPr>
            <w:r>
              <w:rPr>
                <w:rFonts w:ascii="Times New Roman" w:cs="Times New Roman" w:eastAsia="Times New Roman" w:hAnsi="Times New Roman"/>
                <w:sz w:val="19"/>
                <w:szCs w:val="19"/>
                <w:b w:val="1"/>
                <w:bCs w:val="1"/>
                <w:color w:val="auto"/>
                <w:w w:val="99"/>
              </w:rPr>
              <w:t>Part I</w:t>
            </w:r>
          </w:p>
        </w:tc>
        <w:tc>
          <w:tcPr>
            <w:tcW w:w="13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9"/>
                <w:szCs w:val="19"/>
                <w:b w:val="1"/>
                <w:bCs w:val="1"/>
                <w:color w:val="auto"/>
              </w:rPr>
              <w:t>Page</w:t>
            </w: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1.</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Business</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6</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1A.</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Risk Factors</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14</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1B.</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Unresolved Staff Comments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47</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1C.</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Cybersecurity</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48</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2.</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Properties</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48</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3.</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Legal Proceedings</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48</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4.</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Mine Safety Disclosures</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49</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4"/>
                <w:szCs w:val="24"/>
                <w:color w:val="auto"/>
              </w:rPr>
            </w:pPr>
          </w:p>
        </w:tc>
        <w:tc>
          <w:tcPr>
            <w:tcW w:w="7580" w:type="dxa"/>
            <w:vAlign w:val="bottom"/>
          </w:tcPr>
          <w:p>
            <w:pPr>
              <w:jc w:val="center"/>
              <w:ind w:left="163"/>
              <w:spacing w:after="0"/>
              <w:rPr>
                <w:sz w:val="20"/>
                <w:szCs w:val="20"/>
                <w:color w:val="auto"/>
              </w:rPr>
            </w:pPr>
            <w:r>
              <w:rPr>
                <w:rFonts w:ascii="Times New Roman" w:cs="Times New Roman" w:eastAsia="Times New Roman" w:hAnsi="Times New Roman"/>
                <w:sz w:val="19"/>
                <w:szCs w:val="19"/>
                <w:b w:val="1"/>
                <w:bCs w:val="1"/>
                <w:color w:val="auto"/>
              </w:rPr>
              <w:t>Part II</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Item 5.</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Market for Registrant's Common Equity, Related Stockholder Matters, and Issuer Purchases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49</w:t>
            </w:r>
          </w:p>
        </w:tc>
        <w:tc>
          <w:tcPr>
            <w:tcW w:w="0" w:type="dxa"/>
            <w:vAlign w:val="bottom"/>
          </w:tcPr>
          <w:p>
            <w:pPr>
              <w:spacing w:after="0"/>
              <w:rPr>
                <w:sz w:val="1"/>
                <w:szCs w:val="1"/>
                <w:color w:val="auto"/>
              </w:rPr>
            </w:pPr>
          </w:p>
        </w:tc>
      </w:tr>
      <w:tr>
        <w:trPr>
          <w:trHeight w:val="253"/>
        </w:trPr>
        <w:tc>
          <w:tcPr>
            <w:tcW w:w="1000" w:type="dxa"/>
            <w:vAlign w:val="bottom"/>
            <w:vMerge w:val="continue"/>
          </w:tcPr>
          <w:p>
            <w:pPr>
              <w:spacing w:after="0"/>
              <w:rPr>
                <w:sz w:val="22"/>
                <w:szCs w:val="22"/>
                <w:color w:val="auto"/>
              </w:rPr>
            </w:pP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of Equity Securities</w:t>
            </w:r>
          </w:p>
        </w:tc>
        <w:tc>
          <w:tcPr>
            <w:tcW w:w="1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6.</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[Reserved]</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50</w:t>
            </w:r>
          </w:p>
        </w:tc>
        <w:tc>
          <w:tcPr>
            <w:tcW w:w="0" w:type="dxa"/>
            <w:vAlign w:val="bottom"/>
          </w:tcPr>
          <w:p>
            <w:pPr>
              <w:spacing w:after="0"/>
              <w:rPr>
                <w:sz w:val="1"/>
                <w:szCs w:val="1"/>
                <w:color w:val="auto"/>
              </w:rPr>
            </w:pPr>
          </w:p>
        </w:tc>
      </w:tr>
      <w:tr>
        <w:trPr>
          <w:trHeight w:val="291"/>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7.</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Management's Discussion and Analysis of Financial Condition and Results of Operations</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50</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7A.</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Quantitative and Qualitative Disclosures About Market Risk</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62</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8.</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Financial Statements and Supplementary Data</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64</w:t>
            </w:r>
          </w:p>
        </w:tc>
        <w:tc>
          <w:tcPr>
            <w:tcW w:w="0" w:type="dxa"/>
            <w:vAlign w:val="bottom"/>
          </w:tcPr>
          <w:p>
            <w:pPr>
              <w:spacing w:after="0"/>
              <w:rPr>
                <w:sz w:val="1"/>
                <w:szCs w:val="1"/>
                <w:color w:val="auto"/>
              </w:rPr>
            </w:pPr>
          </w:p>
        </w:tc>
      </w:tr>
      <w:tr>
        <w:trPr>
          <w:trHeight w:val="291"/>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9.</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Changes in and Disagreements with Accountants on Accounting and Financial Disclosure</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99</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9A.</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Controls and Procedures</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99</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9B.</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Other Information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100</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9C.</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Disclosure Regarding Foreign Jurisdictions That Prevent Inspections</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100</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4"/>
                <w:szCs w:val="24"/>
                <w:color w:val="auto"/>
              </w:rPr>
            </w:pPr>
          </w:p>
        </w:tc>
        <w:tc>
          <w:tcPr>
            <w:tcW w:w="7580" w:type="dxa"/>
            <w:vAlign w:val="bottom"/>
          </w:tcPr>
          <w:p>
            <w:pPr>
              <w:jc w:val="center"/>
              <w:ind w:left="163"/>
              <w:spacing w:after="0"/>
              <w:rPr>
                <w:sz w:val="20"/>
                <w:szCs w:val="20"/>
                <w:color w:val="auto"/>
              </w:rPr>
            </w:pPr>
            <w:r>
              <w:rPr>
                <w:rFonts w:ascii="Times New Roman" w:cs="Times New Roman" w:eastAsia="Times New Roman" w:hAnsi="Times New Roman"/>
                <w:sz w:val="19"/>
                <w:szCs w:val="19"/>
                <w:b w:val="1"/>
                <w:bCs w:val="1"/>
                <w:color w:val="auto"/>
              </w:rPr>
              <w:t>Part III</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10.</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Directors, Executive Officers and Corporate Governance</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100</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11.</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Executive Compensation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100</w:t>
            </w:r>
          </w:p>
        </w:tc>
        <w:tc>
          <w:tcPr>
            <w:tcW w:w="0" w:type="dxa"/>
            <w:vAlign w:val="bottom"/>
          </w:tcPr>
          <w:p>
            <w:pPr>
              <w:spacing w:after="0"/>
              <w:rPr>
                <w:sz w:val="1"/>
                <w:szCs w:val="1"/>
                <w:color w:val="auto"/>
              </w:rPr>
            </w:pPr>
          </w:p>
        </w:tc>
      </w:tr>
      <w:tr>
        <w:trPr>
          <w:trHeight w:val="228"/>
        </w:trPr>
        <w:tc>
          <w:tcPr>
            <w:tcW w:w="10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Item 12.</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Security Ownership of Certain Beneficial Owners and Management and Related</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8"/>
              </w:rPr>
              <w:t>100</w:t>
            </w:r>
          </w:p>
        </w:tc>
        <w:tc>
          <w:tcPr>
            <w:tcW w:w="0" w:type="dxa"/>
            <w:vAlign w:val="bottom"/>
          </w:tcPr>
          <w:p>
            <w:pPr>
              <w:spacing w:after="0"/>
              <w:rPr>
                <w:sz w:val="1"/>
                <w:szCs w:val="1"/>
                <w:color w:val="auto"/>
              </w:rPr>
            </w:pPr>
          </w:p>
        </w:tc>
      </w:tr>
      <w:tr>
        <w:trPr>
          <w:trHeight w:val="253"/>
        </w:trPr>
        <w:tc>
          <w:tcPr>
            <w:tcW w:w="1000" w:type="dxa"/>
            <w:vAlign w:val="bottom"/>
            <w:vMerge w:val="continue"/>
          </w:tcPr>
          <w:p>
            <w:pPr>
              <w:spacing w:after="0"/>
              <w:rPr>
                <w:sz w:val="22"/>
                <w:szCs w:val="22"/>
                <w:color w:val="auto"/>
              </w:rPr>
            </w:pP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Stockholder Matters</w:t>
            </w:r>
          </w:p>
        </w:tc>
        <w:tc>
          <w:tcPr>
            <w:tcW w:w="1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13.</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Certain Relationships and Related Transactions, and Director Independence</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100</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14.</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Principal Accountant Fees and Services</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100</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4"/>
                <w:szCs w:val="24"/>
                <w:color w:val="auto"/>
              </w:rPr>
            </w:pPr>
          </w:p>
        </w:tc>
        <w:tc>
          <w:tcPr>
            <w:tcW w:w="7580" w:type="dxa"/>
            <w:vAlign w:val="bottom"/>
          </w:tcPr>
          <w:p>
            <w:pPr>
              <w:jc w:val="center"/>
              <w:ind w:left="163"/>
              <w:spacing w:after="0"/>
              <w:rPr>
                <w:sz w:val="20"/>
                <w:szCs w:val="20"/>
                <w:color w:val="auto"/>
              </w:rPr>
            </w:pPr>
            <w:r>
              <w:rPr>
                <w:rFonts w:ascii="Times New Roman" w:cs="Times New Roman" w:eastAsia="Times New Roman" w:hAnsi="Times New Roman"/>
                <w:sz w:val="19"/>
                <w:szCs w:val="19"/>
                <w:b w:val="1"/>
                <w:bCs w:val="1"/>
                <w:color w:val="auto"/>
              </w:rPr>
              <w:t>Part IV</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15.</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Exhibits, Financial Statement Schedules</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101</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Item 16.</w:t>
            </w: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Form 10-K Summary</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103</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4"/>
                <w:szCs w:val="24"/>
                <w:color w:val="auto"/>
              </w:rPr>
            </w:pPr>
          </w:p>
        </w:tc>
        <w:tc>
          <w:tcPr>
            <w:tcW w:w="75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Signatures</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104</w:t>
            </w:r>
          </w:p>
        </w:tc>
        <w:tc>
          <w:tcPr>
            <w:tcW w:w="0" w:type="dxa"/>
            <w:vAlign w:val="bottom"/>
          </w:tcPr>
          <w:p>
            <w:pPr>
              <w:spacing w:after="0"/>
              <w:rPr>
                <w:sz w:val="1"/>
                <w:szCs w:val="1"/>
                <w:color w:val="auto"/>
              </w:rPr>
            </w:pPr>
          </w:p>
        </w:tc>
      </w:tr>
    </w:tbl>
    <w:p>
      <w:pPr>
        <w:sectPr>
          <w:pgSz w:w="11880" w:h="15480" w:orient="portrait"/>
          <w:cols w:equalWidth="0" w:num="1">
            <w:col w:w="9900"/>
          </w:cols>
          <w:pgMar w:left="1020" w:top="815" w:right="960" w:bottom="1440" w:gutter="0" w:footer="0" w:header="0"/>
        </w:sectPr>
      </w:pPr>
    </w:p>
    <w:bookmarkStart w:id="5" w:name="page6"/>
    <w:bookmarkEnd w:id="5"/>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9"/>
          <w:szCs w:val="19"/>
          <w:b w:val="1"/>
          <w:bCs w:val="1"/>
          <w:color w:val="auto"/>
        </w:rPr>
        <w:t>SPECIAL NOTE REGARDING FORWARD-LOOKING STATEMENTS</w:t>
      </w:r>
    </w:p>
    <w:p>
      <w:pPr>
        <w:spacing w:after="0" w:line="138"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Annual Report on Form 10-K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and collaboration platform; our product strategy; our efforts to enhance the security and privacy of our platform; our ability to operate our business and effectively manage our scale under evolving macroeconomic conditions, such as high inflation, recessionary or uncertain environments and fluctuations in foreign currency exchange rates; our ability to become the ubiquitous platform for communications and collaboration; our ability to attract new customers and retain existing customers; our ability to successfully expand into our existing markets and into new markets; our ability to effectively manage our growth and future expenses; and the impact of recent accounting pronouncements on our consolidated financial statements.</w:t>
      </w:r>
    </w:p>
    <w:p>
      <w:pPr>
        <w:spacing w:after="0" w:line="80"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83"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5"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78"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You should read this Annual Report on Form 10-K and the documents that we reference in this Annual Report on Form 10-K and have filed with the Securities and Exchange Commission as exhibits to this Annual Report on Form 10-K with the understanding that our actual future results, levels of activity, performance, and events and circumstances may be materially different from what we expect.</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880" w:h="15480" w:orient="portrait"/>
          <w:cols w:equalWidth="0" w:num="1">
            <w:col w:w="9960"/>
          </w:cols>
          <w:pgMar w:left="960" w:top="815" w:right="960" w:bottom="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9"/>
          <w:szCs w:val="19"/>
          <w:b w:val="1"/>
          <w:bCs w:val="1"/>
          <w:color w:val="auto"/>
        </w:rPr>
        <w:t>SUMMARY RISK FACTORS</w:t>
      </w:r>
    </w:p>
    <w:p>
      <w:pPr>
        <w:spacing w:after="0" w:line="138" w:lineRule="exact"/>
        <w:rPr>
          <w:sz w:val="20"/>
          <w:szCs w:val="20"/>
          <w:color w:val="auto"/>
        </w:rPr>
      </w:pPr>
    </w:p>
    <w:p>
      <w:pPr>
        <w:ind w:right="60" w:firstLine="524"/>
        <w:spacing w:after="0" w:line="275" w:lineRule="auto"/>
        <w:rPr>
          <w:sz w:val="20"/>
          <w:szCs w:val="20"/>
          <w:color w:val="auto"/>
        </w:rPr>
      </w:pPr>
      <w:r>
        <w:rPr>
          <w:rFonts w:ascii="Times New Roman" w:cs="Times New Roman" w:eastAsia="Times New Roman" w:hAnsi="Times New Roman"/>
          <w:sz w:val="19"/>
          <w:szCs w:val="19"/>
          <w:color w:val="auto"/>
        </w:rPr>
        <w:t>Investing in our Class A common stock involves numerous risks, including the risks described in “Part I—Item 1A. Risk Factors” of this Annual Report on Form 10-K. Below are some of these risks, any one of which could materially adversely affect our business, financial condition, results of operations, and prospects.</w:t>
      </w:r>
    </w:p>
    <w:p>
      <w:pPr>
        <w:spacing w:after="0" w:line="64" w:lineRule="exact"/>
        <w:rPr>
          <w:sz w:val="20"/>
          <w:szCs w:val="20"/>
          <w:color w:val="auto"/>
        </w:rPr>
      </w:pPr>
    </w:p>
    <w:p>
      <w:pPr>
        <w:jc w:val="both"/>
        <w:ind w:left="700" w:hanging="350"/>
        <w:spacing w:after="0" w:line="275"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business depends on our ability to attract new customers, retain and upsell additional products and new product categories to existing customers, and upgrade free users to one of our paid offerings. Any decline in new customers, renewals, or upgrades would harm our business.</w:t>
      </w:r>
    </w:p>
    <w:p>
      <w:pPr>
        <w:spacing w:after="0" w:line="64"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revenue growth rate has fluctuated in prior periods, and may continue to decline in future periods.</w:t>
      </w:r>
    </w:p>
    <w:p>
      <w:pPr>
        <w:spacing w:after="0" w:line="130"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Interruptions, delays, or outages in service from our co-located data centers and a variety of other factors, would impair the delivery of our services, require us to issue credits or pay penalties, and harm our business.</w:t>
      </w:r>
    </w:p>
    <w:p>
      <w:pPr>
        <w:spacing w:after="0" w:line="47" w:lineRule="exact"/>
        <w:rPr>
          <w:rFonts w:ascii="Times New Roman" w:cs="Times New Roman" w:eastAsia="Times New Roman" w:hAnsi="Times New Roman"/>
          <w:sz w:val="19"/>
          <w:szCs w:val="19"/>
          <w:color w:val="auto"/>
        </w:rPr>
      </w:pPr>
    </w:p>
    <w:p>
      <w:pPr>
        <w:jc w:val="both"/>
        <w:ind w:left="700" w:hanging="350"/>
        <w:spacing w:after="0" w:line="262"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In addition, as we introduce new products and services to our platform, and with the introduction of new technologies and market entrants, we expect competition to intensify in the future.</w:t>
      </w:r>
    </w:p>
    <w:p>
      <w:pPr>
        <w:spacing w:after="0" w:line="77"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business may be significantly affected by changes in the economy, including any resulting effect on consumer or business spending.</w:t>
      </w:r>
    </w:p>
    <w:p>
      <w:pPr>
        <w:spacing w:after="0" w:line="47"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we increase sales to large organizations, our sales cycles have and could continue to lengthen, and we could experience greater deployment challenges.</w:t>
      </w:r>
    </w:p>
    <w:p>
      <w:pPr>
        <w:spacing w:after="0" w:line="47"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generate revenue from sales of subscriptions to our platform, and any decline in demand for our platform or for communications and collaboration technologies in general would harm our business.</w:t>
      </w:r>
    </w:p>
    <w:p>
      <w:pPr>
        <w:spacing w:after="0" w:line="47"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have incurred net losses in the past and there are no assurances we will be able to maintain or increase profitability in the future.</w:t>
      </w:r>
    </w:p>
    <w:p>
      <w:pPr>
        <w:spacing w:after="0" w:line="4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be able to respond to rapid technological changes, extend our platform or develop new features.</w:t>
      </w:r>
    </w:p>
    <w:p>
      <w:pPr>
        <w:spacing w:after="0" w:line="130" w:lineRule="exact"/>
        <w:rPr>
          <w:rFonts w:ascii="Times New Roman" w:cs="Times New Roman" w:eastAsia="Times New Roman" w:hAnsi="Times New Roman"/>
          <w:sz w:val="19"/>
          <w:szCs w:val="19"/>
          <w:color w:val="auto"/>
        </w:rPr>
      </w:pPr>
    </w:p>
    <w:p>
      <w:pPr>
        <w:jc w:val="both"/>
        <w:ind w:left="700" w:hanging="350"/>
        <w:spacing w:after="0" w:line="264"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security measures, and those of the third parties upon which we rely,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users curtailing or ceasing their use of our products, our incurring significant liabilities, and our business being harmed.</w:t>
      </w:r>
    </w:p>
    <w:p>
      <w:pPr>
        <w:spacing w:after="0" w:line="312"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have a limited operating history at the current scale of our business, which makes it difficult to evaluate our prospects and future results of operations.</w:t>
      </w:r>
    </w:p>
    <w:p>
      <w:pPr>
        <w:spacing w:after="0" w:line="47" w:lineRule="exact"/>
        <w:rPr>
          <w:rFonts w:ascii="Times New Roman" w:cs="Times New Roman" w:eastAsia="Times New Roman" w:hAnsi="Times New Roman"/>
          <w:sz w:val="19"/>
          <w:szCs w:val="19"/>
          <w:color w:val="auto"/>
        </w:rPr>
      </w:pPr>
    </w:p>
    <w:p>
      <w:pPr>
        <w:jc w:val="both"/>
        <w:ind w:left="700" w:hanging="350"/>
        <w:spacing w:after="0" w:line="272"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actual or perceived failure by us, our customers, partners, or vendors to comply with stringent and evolving laws and regulations, industry standards, policies, and contractual obligations relating to privacy, data protection, information security laws, and other matters could harm our reputation and business or subject us to significant fines and liability.</w:t>
      </w:r>
    </w:p>
    <w:p>
      <w:pPr>
        <w:spacing w:after="0" w:line="305"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we were to lose the services of our Chief Executive Officer or other members of our senior management team, we may not be able to execute our business strategy.</w:t>
      </w:r>
    </w:p>
    <w:p>
      <w:pPr>
        <w:spacing w:after="0" w:line="47"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have significant and expanding operations outside the United States, which may subject us to increased business, regulatory, and economic risks that could harm our business.</w:t>
      </w:r>
    </w:p>
    <w:p>
      <w:pPr>
        <w:spacing w:after="0" w:line="47" w:lineRule="exact"/>
        <w:rPr>
          <w:rFonts w:ascii="Times New Roman" w:cs="Times New Roman" w:eastAsia="Times New Roman" w:hAnsi="Times New Roman"/>
          <w:sz w:val="19"/>
          <w:szCs w:val="19"/>
          <w:color w:val="auto"/>
        </w:rPr>
      </w:pPr>
    </w:p>
    <w:p>
      <w:pPr>
        <w:jc w:val="both"/>
        <w:ind w:left="700" w:hanging="350"/>
        <w:spacing w:after="0" w:line="268"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2" w:lineRule="exact"/>
        <w:rPr>
          <w:rFonts w:ascii="Times New Roman" w:cs="Times New Roman" w:eastAsia="Times New Roman" w:hAnsi="Times New Roman"/>
          <w:sz w:val="19"/>
          <w:szCs w:val="19"/>
          <w:color w:val="auto"/>
        </w:rPr>
      </w:pPr>
    </w:p>
    <w:p>
      <w:pPr>
        <w:jc w:val="both"/>
        <w:ind w:left="700" w:hanging="350"/>
        <w:spacing w:after="0" w:line="275"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880" w:h="15480" w:orient="portrait"/>
          <w:cols w:equalWidth="0" w:num="1">
            <w:col w:w="9960"/>
          </w:cols>
          <w:pgMar w:left="960" w:top="815" w:right="960" w:bottom="0" w:gutter="0" w:footer="0" w:header="0"/>
          <w:type w:val="continuous"/>
        </w:sectPr>
      </w:pPr>
    </w:p>
    <w:bookmarkStart w:id="8" w:name="page9"/>
    <w:bookmarkEnd w:id="8"/>
    <w:p>
      <w:pPr>
        <w:jc w:val="both"/>
        <w:ind w:left="350" w:hanging="350"/>
        <w:spacing w:after="0" w:line="268" w:lineRule="auto"/>
        <w:tabs>
          <w:tab w:leader="none" w:pos="35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72" w:lineRule="exact"/>
        <w:rPr>
          <w:sz w:val="20"/>
          <w:szCs w:val="20"/>
          <w:color w:val="auto"/>
        </w:rPr>
      </w:pPr>
    </w:p>
    <w:p>
      <w:pPr>
        <w:ind w:left="170"/>
        <w:spacing w:after="0"/>
        <w:rPr>
          <w:sz w:val="20"/>
          <w:szCs w:val="20"/>
          <w:color w:val="auto"/>
        </w:rPr>
      </w:pPr>
      <w:r>
        <w:rPr>
          <w:rFonts w:ascii="Times New Roman" w:cs="Times New Roman" w:eastAsia="Times New Roman" w:hAnsi="Times New Roman"/>
          <w:sz w:val="19"/>
          <w:szCs w:val="19"/>
          <w:color w:val="auto"/>
        </w:rPr>
        <w:t>If we are unable to adequately address these and other risks we face, our business may be harmed.</w:t>
      </w:r>
    </w:p>
    <w:p>
      <w:pPr>
        <w:sectPr>
          <w:pgSz w:w="11880" w:h="15480" w:orient="portrait"/>
          <w:cols w:equalWidth="0" w:num="1">
            <w:col w:w="9610"/>
          </w:cols>
          <w:pgMar w:left="131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50"/>
        <w:spacing w:after="0"/>
        <w:rPr>
          <w:sz w:val="20"/>
          <w:szCs w:val="20"/>
          <w:color w:val="auto"/>
        </w:rPr>
      </w:pPr>
      <w:r>
        <w:rPr>
          <w:rFonts w:ascii="Times New Roman" w:cs="Times New Roman" w:eastAsia="Times New Roman" w:hAnsi="Times New Roman"/>
          <w:sz w:val="16"/>
          <w:szCs w:val="16"/>
          <w:color w:val="auto"/>
        </w:rPr>
        <w:t>5</w:t>
      </w:r>
    </w:p>
    <w:p>
      <w:pPr>
        <w:sectPr>
          <w:pgSz w:w="11880" w:h="15480" w:orient="portrait"/>
          <w:cols w:equalWidth="0" w:num="1">
            <w:col w:w="9610"/>
          </w:cols>
          <w:pgMar w:left="1310" w:top="821" w:right="960" w:bottom="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BUSINESS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38"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Our mission is to provide one platform that delivers limitless human connection. Our culture of delivering happiness drives our mission and values and is fundamental to everything we do at Zoom.</w:t>
      </w:r>
    </w:p>
    <w:p>
      <w:pPr>
        <w:spacing w:after="0" w:line="47"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Zoom is an intelligent, secure collaboration platform that makes connecting easier, more immersive, and more dynamic for businesses and individuals. We’re committed to evolving our platform in ways that empower limitless human connection and solve real business problems. All of our product innovation has a unified goal: to help streamline the workday through effective communication and collaboration tools. The Zoom platform makes teamwork more meaningful, drives impact with intelligence, strengthens customer relationships, and enables seamless workflows. Additionally, trust is a cornerstone of the Zoom platform. We equip users with a comprehensive set of tools to make their interactions safe, secure, and private. We believe that strong security should never compromise a great user experience.</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Businesses of all sizes and individuals alike choose Zoom over other industry players for several reasons:</w:t>
      </w:r>
    </w:p>
    <w:p>
      <w:pPr>
        <w:spacing w:after="0" w:line="127" w:lineRule="exact"/>
        <w:rPr>
          <w:sz w:val="20"/>
          <w:szCs w:val="20"/>
          <w:color w:val="auto"/>
        </w:rPr>
      </w:pPr>
    </w:p>
    <w:p>
      <w:pPr>
        <w:ind w:left="1220" w:hanging="695"/>
        <w:spacing w:after="0" w:line="298"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We care for customers at Zoom speed: </w:t>
      </w:r>
      <w:r>
        <w:rPr>
          <w:rFonts w:ascii="Times New Roman" w:cs="Times New Roman" w:eastAsia="Times New Roman" w:hAnsi="Times New Roman"/>
          <w:sz w:val="19"/>
          <w:szCs w:val="19"/>
          <w:color w:val="auto"/>
        </w:rPr>
        <w:t>Zoom puts customers first. We are committed to providing a platform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products that people love. We put innovation in customers' hands quickly to serve their needs.</w:t>
      </w:r>
    </w:p>
    <w:p>
      <w:pPr>
        <w:spacing w:after="0" w:line="39" w:lineRule="exact"/>
        <w:rPr>
          <w:rFonts w:ascii="Times New Roman" w:cs="Times New Roman" w:eastAsia="Times New Roman" w:hAnsi="Times New Roman"/>
          <w:sz w:val="19"/>
          <w:szCs w:val="19"/>
          <w:color w:val="auto"/>
        </w:rPr>
      </w:pPr>
    </w:p>
    <w:p>
      <w:pPr>
        <w:ind w:left="1220" w:hanging="695"/>
        <w:spacing w:after="0" w:line="298"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Designed for hybrid work: </w:t>
      </w:r>
      <w:r>
        <w:rPr>
          <w:rFonts w:ascii="Times New Roman" w:cs="Times New Roman" w:eastAsia="Times New Roman" w:hAnsi="Times New Roman"/>
          <w:sz w:val="19"/>
          <w:szCs w:val="19"/>
          <w:color w:val="auto"/>
        </w:rPr>
        <w:t>Zoom is the only platform designed for hybrid communication and today’s unique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hybrid work needs.</w:t>
      </w:r>
    </w:p>
    <w:p>
      <w:pPr>
        <w:spacing w:after="0" w:line="39" w:lineRule="exact"/>
        <w:rPr>
          <w:rFonts w:ascii="Times New Roman" w:cs="Times New Roman" w:eastAsia="Times New Roman" w:hAnsi="Times New Roman"/>
          <w:sz w:val="19"/>
          <w:szCs w:val="19"/>
          <w:color w:val="auto"/>
        </w:rPr>
      </w:pPr>
    </w:p>
    <w:p>
      <w:pPr>
        <w:ind w:left="1220" w:hanging="695"/>
        <w:spacing w:after="0"/>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Zoom just works: </w:t>
      </w:r>
      <w:r>
        <w:rPr>
          <w:rFonts w:ascii="Times New Roman" w:cs="Times New Roman" w:eastAsia="Times New Roman" w:hAnsi="Times New Roman"/>
          <w:sz w:val="19"/>
          <w:szCs w:val="19"/>
          <w:color w:val="auto"/>
        </w:rPr>
        <w:t>Ease of use is a core design principle, along with quality and reliability.</w:t>
      </w:r>
    </w:p>
    <w:p>
      <w:pPr>
        <w:spacing w:after="0" w:line="130" w:lineRule="exact"/>
        <w:rPr>
          <w:rFonts w:ascii="Times New Roman" w:cs="Times New Roman" w:eastAsia="Times New Roman" w:hAnsi="Times New Roman"/>
          <w:sz w:val="19"/>
          <w:szCs w:val="19"/>
          <w:color w:val="auto"/>
        </w:rPr>
      </w:pPr>
    </w:p>
    <w:p>
      <w:pPr>
        <w:ind w:left="1220" w:hanging="695"/>
        <w:spacing w:after="0" w:line="298"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Enterprise readiness: </w:t>
      </w:r>
      <w:r>
        <w:rPr>
          <w:rFonts w:ascii="Times New Roman" w:cs="Times New Roman" w:eastAsia="Times New Roman" w:hAnsi="Times New Roman"/>
          <w:sz w:val="19"/>
          <w:szCs w:val="19"/>
          <w:color w:val="auto"/>
        </w:rPr>
        <w:t>Zoom is built to meet the needs of enterprises, with robust reliability, security,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compliance, and privacy capabilities and policies.</w:t>
      </w:r>
    </w:p>
    <w:p>
      <w:pPr>
        <w:spacing w:after="0" w:line="39" w:lineRule="exact"/>
        <w:rPr>
          <w:rFonts w:ascii="Times New Roman" w:cs="Times New Roman" w:eastAsia="Times New Roman" w:hAnsi="Times New Roman"/>
          <w:sz w:val="19"/>
          <w:szCs w:val="19"/>
          <w:color w:val="auto"/>
        </w:rPr>
      </w:pPr>
    </w:p>
    <w:p>
      <w:pPr>
        <w:ind w:left="1220" w:hanging="695"/>
        <w:spacing w:after="0" w:line="298"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Cost-effective and value-focused: </w:t>
      </w:r>
      <w:r>
        <w:rPr>
          <w:rFonts w:ascii="Times New Roman" w:cs="Times New Roman" w:eastAsia="Times New Roman" w:hAnsi="Times New Roman"/>
          <w:sz w:val="19"/>
          <w:szCs w:val="19"/>
          <w:color w:val="auto"/>
        </w:rPr>
        <w:t>The total cost of ownership of the Zoom platform, across the employee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experience and customer experience, is less than that of our competitors.</w:t>
      </w:r>
    </w:p>
    <w:p>
      <w:pPr>
        <w:spacing w:after="0" w:line="39" w:lineRule="exact"/>
        <w:rPr>
          <w:rFonts w:ascii="Times New Roman" w:cs="Times New Roman" w:eastAsia="Times New Roman" w:hAnsi="Times New Roman"/>
          <w:sz w:val="19"/>
          <w:szCs w:val="19"/>
          <w:color w:val="auto"/>
        </w:rPr>
      </w:pPr>
    </w:p>
    <w:p>
      <w:pPr>
        <w:ind w:left="1220" w:hanging="695"/>
        <w:spacing w:after="0" w:line="298"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Open platform: </w:t>
      </w:r>
      <w:r>
        <w:rPr>
          <w:rFonts w:ascii="Times New Roman" w:cs="Times New Roman" w:eastAsia="Times New Roman" w:hAnsi="Times New Roman"/>
          <w:sz w:val="19"/>
          <w:szCs w:val="19"/>
          <w:color w:val="auto"/>
        </w:rPr>
        <w:t>The Zoom developer ecosystem enables customers to choose the apps and integrations they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prefer. We offer more than 2,500 integrations, including with major software vendors.</w:t>
      </w:r>
    </w:p>
    <w:p>
      <w:pPr>
        <w:spacing w:after="0" w:line="43"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We’re on a mission to reimagine the way we communicate and collaborate in a hybrid working world. Zoom brings employee and customer experience together into one platform that people love to use. Flagship products like Zoom Meetings, Zoom Phone, and Zoom Team Chat are among the core products on the platform that are critical to business communication and collaboration needs. We strive to continue building a platform that helps people work smarter, be more engaged with work, and better connect with each other. Artificial Intelligence (“AI”) has been core to Zoom’s product DNA over many years, grounded in our conviction that AI can make work more human by strengthening collaboration, productivity, and inclusivity.</w:t>
      </w:r>
    </w:p>
    <w:p>
      <w:pPr>
        <w:spacing w:after="0" w:line="78"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In fiscal year 2024, Zoom continued to invest in AI and focused on three key areas regarding AI innovation: supporting individual productivity, powering better collaboration, and helping customer-facing teams delight their customers. We recently launched Zoom AI Companion, our smart assistant that is designed to empower workers to increase productivity, improve team effectiveness, and enhance skills. Additionally, we introduced our federated approach to AI, which enables us to make Zoom’s AI capabilities accessible and affordable so that more people can incorporate them in their day-to-day workflows. In line with our commitment to responsible AI, Zoom does not use customer audio, video, chat, screen sharing, attachments, or other communications (such as poll results, whiteboard, and reactions) to train Zoom’s or third-party AI models.</w:t>
      </w:r>
    </w:p>
    <w:p>
      <w:pPr>
        <w:spacing w:after="0" w:line="78"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Zoom continues to be at the center of hybrid work. Our continued product innovation is laser-focused on supporting a hybrid work environment, with new innovations in areas such as document collaboration, hybrid workspaces, and employee communication. Our acquisition of Workvivo, an employee experience platform, deepened our commitment to creating a platform that is focused on connecting and engaging employees.</w:t>
      </w:r>
    </w:p>
    <w:p>
      <w:pPr>
        <w:spacing w:after="0" w:line="72"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Unlike most Contact Center as a Service (“CCaaS”) solutions that are only optimized for voice, Zoom Contact Center is an omnichannel cloud contact center platform that is optimized for video and intentionally supports a robust suite of channels, such as voice and video, SMS, and webchat. The result is a one-stop shop designed for customer experience leaders to deliver excellence to their customers and to strengthen workforce engagement.</w:t>
      </w:r>
    </w:p>
    <w:p>
      <w:pPr>
        <w:spacing w:after="0" w:line="72"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The happiness we deliver is recognized by our customers. Zoom has consistently earned high scores across customer review sites, Gartner Peer Insights, TrustRadius, and G2, including being recognized as a 2023 Top Rated Vendor in Unified Communications as a Service (“UCaaS”) by TrustRadius, and Leader badge for Zoom Contact Center by G2. Industry analysts also recognize our market leadership across our platform and products: Gartner has named Zoom a leader in the Magic Quadrant for UCaaS for the fourth year in a row, and Workvivo was named a leader in the Magic Quadrant for Intranet</w:t>
      </w:r>
    </w:p>
    <w:p>
      <w:pPr>
        <w:sectPr>
          <w:pgSz w:w="11880" w:h="15480" w:orient="portrait"/>
          <w:cols w:equalWidth="0" w:num="1">
            <w:col w:w="9960"/>
          </w:cols>
          <w:pgMar w:left="960" w:top="815" w:right="960" w:bottom="0"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9960"/>
          </w:cols>
          <w:pgMar w:left="960" w:top="815" w:right="960" w:bottom="0" w:gutter="0" w:footer="0" w:header="0"/>
          <w:type w:val="continuous"/>
        </w:sectPr>
      </w:pPr>
    </w:p>
    <w:bookmarkStart w:id="10" w:name="page11"/>
    <w:bookmarkEnd w:id="10"/>
    <w:p>
      <w:pPr>
        <w:jc w:val="both"/>
        <w:spacing w:after="0" w:line="268" w:lineRule="auto"/>
        <w:rPr>
          <w:sz w:val="20"/>
          <w:szCs w:val="20"/>
          <w:color w:val="auto"/>
        </w:rPr>
      </w:pPr>
      <w:r>
        <w:rPr>
          <w:rFonts w:ascii="Times New Roman" w:cs="Times New Roman" w:eastAsia="Times New Roman" w:hAnsi="Times New Roman"/>
          <w:sz w:val="19"/>
          <w:szCs w:val="19"/>
          <w:color w:val="auto"/>
        </w:rPr>
        <w:t>Packaged Solutions. Forrester published its Forrester Wave for Conversational Intelligence, where Zoom Revenue Accelerator debuted as a Strong player. IDC named Zoom Events as a leader in its IDC MarketScape for Worldwide Virtual Events Applications. Zoom was also named to Fortune’s 2023 Most Admired Companies list for the third year in a row, and Fast Company’s 2022 Next Big Things in Tech list highlighted Zoom Events.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Growth Strategy</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We focus on the following elements of our strategy to drive our growth:</w:t>
      </w:r>
    </w:p>
    <w:p>
      <w:pPr>
        <w:spacing w:after="0" w:line="127" w:lineRule="exact"/>
        <w:rPr>
          <w:sz w:val="20"/>
          <w:szCs w:val="20"/>
          <w:color w:val="auto"/>
        </w:rPr>
      </w:pPr>
    </w:p>
    <w:p>
      <w:pPr>
        <w:jc w:val="both"/>
        <w:ind w:left="1220" w:hanging="695"/>
        <w:spacing w:after="0" w:line="270" w:lineRule="auto"/>
        <w:tabs>
          <w:tab w:leader="none" w:pos="12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Keep our existing customers happy. </w:t>
      </w:r>
      <w:r>
        <w:rPr>
          <w:rFonts w:ascii="Times New Roman" w:cs="Times New Roman" w:eastAsia="Times New Roman" w:hAnsi="Times New Roman"/>
          <w:sz w:val="19"/>
          <w:szCs w:val="19"/>
          <w:color w:val="auto"/>
        </w:rPr>
        <w:t>We deliver happiness to our customers by giving them an experience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delights them. We respond to customer needs with action to drive positive user experiences. We believe these practices result in our high scores across customer review sites and will continue to generate referrals from our existing customers, providing meaningful viral adoption for the foreseeable future.</w:t>
      </w:r>
    </w:p>
    <w:p>
      <w:pPr>
        <w:spacing w:after="0" w:line="65" w:lineRule="exact"/>
        <w:rPr>
          <w:rFonts w:ascii="Times New Roman" w:cs="Times New Roman" w:eastAsia="Times New Roman" w:hAnsi="Times New Roman"/>
          <w:sz w:val="19"/>
          <w:szCs w:val="19"/>
          <w:color w:val="auto"/>
        </w:rPr>
      </w:pPr>
    </w:p>
    <w:p>
      <w:pPr>
        <w:jc w:val="both"/>
        <w:ind w:left="1220" w:hanging="695"/>
        <w:spacing w:after="0" w:line="264" w:lineRule="auto"/>
        <w:tabs>
          <w:tab w:leader="none" w:pos="12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Drive new customer acquisition. </w:t>
      </w:r>
      <w:r>
        <w:rPr>
          <w:rFonts w:ascii="Times New Roman" w:cs="Times New Roman" w:eastAsia="Times New Roman" w:hAnsi="Times New Roman"/>
          <w:sz w:val="19"/>
          <w:szCs w:val="19"/>
          <w:color w:val="auto"/>
        </w:rPr>
        <w:t>Our platform is designed to make it easy to host meetings. By attracting free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users to our platform, we promote usage that allows them and their meeting attendees to experience the Zoom difference.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78" w:lineRule="exact"/>
        <w:rPr>
          <w:rFonts w:ascii="Times New Roman" w:cs="Times New Roman" w:eastAsia="Times New Roman" w:hAnsi="Times New Roman"/>
          <w:sz w:val="19"/>
          <w:szCs w:val="19"/>
          <w:color w:val="auto"/>
        </w:rPr>
      </w:pPr>
    </w:p>
    <w:p>
      <w:pPr>
        <w:jc w:val="both"/>
        <w:ind w:left="1220" w:hanging="695"/>
        <w:spacing w:after="0" w:line="266" w:lineRule="auto"/>
        <w:tabs>
          <w:tab w:leader="none" w:pos="1220" w:val="left"/>
        </w:tabs>
        <w:numPr>
          <w:ilvl w:val="0"/>
          <w:numId w:val="6"/>
        </w:numPr>
        <w:rPr>
          <w:rFonts w:ascii="Arial" w:cs="Arial" w:eastAsia="Arial" w:hAnsi="Arial"/>
          <w:sz w:val="19"/>
          <w:szCs w:val="19"/>
          <w:b w:val="1"/>
          <w:bCs w:val="1"/>
          <w:color w:val="auto"/>
        </w:rPr>
      </w:pPr>
      <w:r>
        <w:rPr>
          <w:rFonts w:ascii="Times New Roman" w:cs="Times New Roman" w:eastAsia="Times New Roman" w:hAnsi="Times New Roman"/>
          <w:sz w:val="19"/>
          <w:szCs w:val="19"/>
          <w:b w:val="1"/>
          <w:bCs w:val="1"/>
          <w:color w:val="auto"/>
        </w:rPr>
        <w:t xml:space="preserve">Innovate our platform continuously. </w:t>
      </w:r>
      <w:r>
        <w:rPr>
          <w:rFonts w:ascii="Times New Roman" w:cs="Times New Roman" w:eastAsia="Times New Roman" w:hAnsi="Times New Roman"/>
          <w:sz w:val="19"/>
          <w:szCs w:val="19"/>
          <w:color w:val="auto"/>
        </w:rPr>
        <w:t>Our engineers aim to stay on the cutting edge of communication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collaboration technologies. We strive to deliver the best experience to our users by dedicating a portion of engineering capacity to developing on-demand, customer-requested features that would be valuable across our customer base. Our core areas of focus will be bolstering innovation on products in the following categories: employee experience, customer experience, core communications and generative AI.</w:t>
      </w:r>
    </w:p>
    <w:p>
      <w:pPr>
        <w:spacing w:after="0" w:line="62" w:lineRule="exact"/>
        <w:rPr>
          <w:rFonts w:ascii="Arial" w:cs="Arial" w:eastAsia="Arial" w:hAnsi="Arial"/>
          <w:sz w:val="19"/>
          <w:szCs w:val="19"/>
          <w:b w:val="1"/>
          <w:bCs w:val="1"/>
          <w:color w:val="auto"/>
        </w:rPr>
      </w:pPr>
    </w:p>
    <w:p>
      <w:pPr>
        <w:jc w:val="both"/>
        <w:ind w:left="1220" w:hanging="695"/>
        <w:spacing w:after="0" w:line="270" w:lineRule="auto"/>
        <w:tabs>
          <w:tab w:leader="none" w:pos="12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Drive international expansion. </w:t>
      </w:r>
      <w:r>
        <w:rPr>
          <w:rFonts w:ascii="Times New Roman" w:cs="Times New Roman" w:eastAsia="Times New Roman" w:hAnsi="Times New Roman"/>
          <w:sz w:val="19"/>
          <w:szCs w:val="19"/>
          <w:color w:val="auto"/>
        </w:rPr>
        <w:t>With users, offices, and data centers strategically located around the world, we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are poised to reach new customers globally. Our platform is intuitively designed such that localization requirements are minimal. For example, our platform works without intensive translation requirements with only a few language adjustments to our user interface and support systems.</w:t>
      </w:r>
    </w:p>
    <w:p>
      <w:pPr>
        <w:spacing w:after="0" w:line="65" w:lineRule="exact"/>
        <w:rPr>
          <w:rFonts w:ascii="Times New Roman" w:cs="Times New Roman" w:eastAsia="Times New Roman" w:hAnsi="Times New Roman"/>
          <w:sz w:val="19"/>
          <w:szCs w:val="19"/>
          <w:color w:val="auto"/>
        </w:rPr>
      </w:pPr>
    </w:p>
    <w:p>
      <w:pPr>
        <w:jc w:val="both"/>
        <w:ind w:left="1220" w:hanging="695"/>
        <w:spacing w:after="0" w:line="266" w:lineRule="auto"/>
        <w:tabs>
          <w:tab w:leader="none" w:pos="12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Expand within existing customers. </w:t>
      </w:r>
      <w:r>
        <w:rPr>
          <w:rFonts w:ascii="Times New Roman" w:cs="Times New Roman" w:eastAsia="Times New Roman" w:hAnsi="Times New Roman"/>
          <w:sz w:val="19"/>
          <w:szCs w:val="19"/>
          <w:color w:val="auto"/>
        </w:rPr>
        <w:t>As organizations experience our platform and become familiar with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benefits, more teams and departments within these organizations adopt Zoom. Our platform may begin in a line of business and then organically expand across departments. This “land and expand” model has led to some of our largest deployments. Customers are also purchasing services for webinars, room solutions, phone, and contact center for a complete and integrated set of communications services.</w:t>
      </w:r>
    </w:p>
    <w:p>
      <w:pPr>
        <w:spacing w:after="0" w:line="70" w:lineRule="exact"/>
        <w:rPr>
          <w:rFonts w:ascii="Times New Roman" w:cs="Times New Roman" w:eastAsia="Times New Roman" w:hAnsi="Times New Roman"/>
          <w:sz w:val="19"/>
          <w:szCs w:val="19"/>
          <w:color w:val="auto"/>
        </w:rPr>
      </w:pPr>
    </w:p>
    <w:p>
      <w:pPr>
        <w:jc w:val="both"/>
        <w:ind w:left="1220" w:hanging="695"/>
        <w:spacing w:after="0" w:line="261" w:lineRule="auto"/>
        <w:tabs>
          <w:tab w:leader="none" w:pos="12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Grow our developer ecosystem and continue to expand our platform. </w:t>
      </w:r>
      <w:r>
        <w:rPr>
          <w:rFonts w:ascii="Times New Roman" w:cs="Times New Roman" w:eastAsia="Times New Roman" w:hAnsi="Times New Roman"/>
          <w:sz w:val="19"/>
          <w:szCs w:val="19"/>
          <w:color w:val="auto"/>
        </w:rPr>
        <w:t>Through the Zoom Developer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ecosystem, we enable customers and their developers to build their own solutions with our underlying platform technology, seamlessly embed our platform into their own offerings, and integrate their applications across Zoom products using our extensive library of application program interfaces (“APIs”) and selection of software development kits (“SDKs”). Our app marketplace further extends the value and adoption of Zoom with our customers through the development and distribution of apps and integrations. We continue to partner with video conferencing hardware and peripheral providers, as well as with software providers, including Palo Alto Networks, Zendesk, and Box.</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Platform</w:t>
      </w:r>
    </w:p>
    <w:p>
      <w:pPr>
        <w:spacing w:after="0" w:line="138"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We provide a unified communications and collaboration platform that delivers happiness and fundamentally changes how people interact, connecting them through frictionless and secure meetings, phone, chat, content sharing and more. Our products are grouped under the following categories, which are further described below:</w:t>
      </w:r>
    </w:p>
    <w:p>
      <w:pPr>
        <w:spacing w:after="0" w:line="64" w:lineRule="exact"/>
        <w:rPr>
          <w:sz w:val="20"/>
          <w:szCs w:val="20"/>
          <w:color w:val="auto"/>
        </w:rPr>
      </w:pPr>
    </w:p>
    <w:p>
      <w:pPr>
        <w:ind w:left="700" w:hanging="350"/>
        <w:spacing w:after="0"/>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Core Communications - Streamlining communications with an all-in-one app</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AI - Driving impact with intelligence</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Experience - Making teamwork more meaningful</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Customer Experience - Strengthening customer relationships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Developer Ecosystem - Enabling seamless workflows</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880" w:h="15480" w:orient="portrait"/>
          <w:cols w:equalWidth="0" w:num="1">
            <w:col w:w="9960"/>
          </w:cols>
          <w:pgMar w:left="960" w:top="821" w:right="960" w:bottom="0" w:gutter="0" w:footer="0" w:header="0"/>
          <w:type w:val="continuous"/>
        </w:sectPr>
      </w:pPr>
    </w:p>
    <w:bookmarkStart w:id="11" w:name="page12"/>
    <w:bookmarkEnd w:id="11"/>
    <w:p>
      <w:pPr>
        <w:jc w:val="right"/>
        <w:ind w:right="8160"/>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Core Communications</w:t>
      </w:r>
    </w:p>
    <w:p>
      <w:pPr>
        <w:spacing w:after="0" w:line="232" w:lineRule="exact"/>
        <w:rPr>
          <w:sz w:val="20"/>
          <w:szCs w:val="20"/>
          <w:color w:val="auto"/>
        </w:rPr>
      </w:pPr>
    </w:p>
    <w:p>
      <w:pPr>
        <w:jc w:val="right"/>
        <w:ind w:right="8200"/>
        <w:spacing w:after="0"/>
        <w:rPr>
          <w:sz w:val="20"/>
          <w:szCs w:val="20"/>
          <w:color w:val="auto"/>
        </w:rPr>
      </w:pPr>
      <w:r>
        <w:rPr>
          <w:rFonts w:ascii="Times New Roman" w:cs="Times New Roman" w:eastAsia="Times New Roman" w:hAnsi="Times New Roman"/>
          <w:sz w:val="19"/>
          <w:szCs w:val="19"/>
          <w:b w:val="1"/>
          <w:bCs w:val="1"/>
          <w:i w:val="1"/>
          <w:iCs w:val="1"/>
          <w:color w:val="auto"/>
        </w:rPr>
        <w:t>Zoom Meetings</w:t>
      </w:r>
    </w:p>
    <w:p>
      <w:pPr>
        <w:spacing w:after="0" w:line="139"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Zoom Meetings provides HD video, voice, chat, and content sharing across mobile devices, desktops, laptops, telephones, and conference room systems. Our architecture can support up to 1,000 video participants in a single meeting. Conversations can be one to one, one to many, or many to many. Zoom Meetings feature 49-person video gallery view, virtual backgrounds, MP4/M4A cloud/local recording with transcripts, video breakout rooms, screen sharing with annotation, and integrations with other powerful business applications to help teams get more done together. Zoom Meetings integrate with tools created by companies such as Atlassian, Box, Dropbox, Google, LinkedIn, Microsoft, Salesforce, ServiceNow, and Slack. Our meetings are a flexible tool for on-the-go employees who rely on their mobile device or tablet throughout their business day.</w:t>
      </w:r>
    </w:p>
    <w:p>
      <w:pPr>
        <w:spacing w:after="0" w:line="220"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An end-to-end encryption (“E2EE”) option is available to free and paid Zoom customers globally who host meetings with up to 200 participants. Zoom’s E2EE uses the same 256-bit AES GCM encryption that secures Zoom meetings by default, but with Zoom’s E2EE, the meeting host generates encryption keys and uses public key cryptography to distribute these keys to the other meeting participants. Additionally, a customer managed key (“CMK”) service allows organizations to provide and manage their own encryption keys for certain customer content stored at rest in the Zoom Cloud. The organization needs to manage the keys in the Amazon Web Services Key Management Service. This allows for encryption of applicable content stored in the Zoom Cloud using the keys that the organization controls.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Translated captions help to remove language barriers, connect people, and promote inclusivity in meetings and webinars.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Zoom Meetings currently offers translated captions in 34 languages.</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Phone</w:t>
      </w:r>
    </w:p>
    <w:p>
      <w:pPr>
        <w:spacing w:after="0" w:line="139"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Zoom Phone is a cloud phone system for businesses that provides private branch exchange (“PBX”) features, such as secure call routing, call queuing, call detail reports, call recording, call quality monitoring, voicemail, switch to video, and much more. Zoom Phone provides inbound and outbound calling via its support for native connectivity to the public switched telephone network (“PSTN”). Available stand-alone, or as an optional add-on to Zoom Meetings, Zoom Phone is a core component of our modern UCaaS strategy that enables customers to replace their existing PBX solution and consolidate all of their business communications and collaboration requirements onto Zoom. As of January 31, 2024, Zoom Phone provided native PSTN connectivity in more than 45 countries and territories.</w:t>
      </w:r>
    </w:p>
    <w:p>
      <w:pPr>
        <w:spacing w:after="0" w:line="78"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Zoom Phone also supports Premises Peering and Cloud Peering, which provide customers with the flexibility to keep their current PSTN service providers by redirecting existing third-party voice circuits to the Zoom Phone cloud. Hybrid connectivity is also supported, allowing customers to mix native Zoom Phone calling plans and third-party voice circuits. This unique capability allows customers to enjoy all of the benefits and features of Zoom Phone while keeping their existing service provider contracts, phone numbers, and calling rates with their preferred carrier of record.</w:t>
      </w:r>
    </w:p>
    <w:p>
      <w:pPr>
        <w:spacing w:after="0" w:line="75"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Zoom Phone Provider Exchange makes it easier for customers to choose their preferred PSTN provider partners, providing an improved way to connect with cloud peering partners, promote the discovery of new providers, and enable self-service of phone numbers from your selected partner. As of January 31, 2024, there are more than 90 countries and territories included in the Provider Exchange program.</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Team Chat</w:t>
      </w:r>
    </w:p>
    <w:p>
      <w:pPr>
        <w:spacing w:after="0" w:line="139"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Zoom Team Chat, which is included in Zoom One and Zoom Phone plans, enables organizations and teams to communicate and collaborate in groups, channels, or 1-1s and to stay connected by instantly sharing messages, images, files, and other content across desktop, laptop, tablet, and mobile devices. With Zoom Team Chat, users can easily invite people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outside their organization to a chat conversation, and  quickly switch from a chat to a phone call or video meeting during a</w:t>
      </w:r>
    </w:p>
    <w:p>
      <w:pPr>
        <w:spacing w:after="0" w:line="3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conversation. Zoom Team Chat also features content storage for users who want discoverability and the ability to review their conversations or shared files. There are dozens of Zoom Team Chat compatible applications available in the Zoom App Marketplace that provide notifications and improved workflow for other enterprise systems.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Mail and Calendar</w:t>
      </w:r>
    </w:p>
    <w:p>
      <w:pPr>
        <w:spacing w:after="0" w:line="13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Zoom Mail and Calendar includes both client experiences (Zoom Mail Client, Zoom Calendar Client) and service components (Zoom Mail Service, Zoom Calendar Service). Zoom Mail Client and Zoom Calendar Client can be used with third-party email and calendaring services from Microsoft or Google, or with Zoom Mail Service and Calendar Service. Zoom Mail Service and Zoom Calendar Service are Zoom-hosted offerings targeted at customers with up to 50 employees.</w:t>
      </w:r>
    </w:p>
    <w:p>
      <w:pPr>
        <w:sectPr>
          <w:pgSz w:w="11880" w:h="15480" w:orient="portrait"/>
          <w:cols w:equalWidth="0" w:num="1">
            <w:col w:w="9960"/>
          </w:cols>
          <w:pgMar w:left="960" w:top="1118" w:right="96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880" w:h="15480" w:orient="portrait"/>
          <w:cols w:equalWidth="0" w:num="1">
            <w:col w:w="9960"/>
          </w:cols>
          <w:pgMar w:left="960" w:top="1118" w:right="960" w:bottom="0" w:gutter="0" w:footer="0" w:header="0"/>
          <w:type w:val="continuous"/>
        </w:sectPr>
      </w:pPr>
    </w:p>
    <w:bookmarkStart w:id="12" w:name="page13"/>
    <w:bookmarkEnd w:id="12"/>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Scheduler</w:t>
      </w:r>
    </w:p>
    <w:p>
      <w:pPr>
        <w:spacing w:after="0" w:line="139"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121212"/>
        </w:rPr>
        <w:t>Zoom Scheduler makes it easier to share availability and book appointments with people outside an organization. Zoom’s scheduling software is designed to work seamlessly with Zoom Meetings and Zoom Mail and Calendar, and integrates with Google and Microsoft 365.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AI</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AI Companion</w:t>
      </w:r>
    </w:p>
    <w:p>
      <w:pPr>
        <w:spacing w:after="0" w:line="139" w:lineRule="exact"/>
        <w:rPr>
          <w:sz w:val="20"/>
          <w:szCs w:val="20"/>
          <w:color w:val="auto"/>
        </w:rPr>
      </w:pPr>
    </w:p>
    <w:p>
      <w:pPr>
        <w:jc w:val="both"/>
        <w:ind w:firstLine="524"/>
        <w:spacing w:after="0" w:line="270" w:lineRule="auto"/>
        <w:rPr>
          <w:sz w:val="20"/>
          <w:szCs w:val="20"/>
          <w:color w:val="auto"/>
        </w:rPr>
      </w:pPr>
      <w:r>
        <w:rPr>
          <w:rFonts w:ascii="Times New Roman" w:cs="Times New Roman" w:eastAsia="Times New Roman" w:hAnsi="Times New Roman"/>
          <w:sz w:val="19"/>
          <w:szCs w:val="19"/>
          <w:color w:val="auto"/>
        </w:rPr>
        <w:t>Zoom AI Companion, launched in September 2023, is Zoom’s generative AI digital assistant that delivers real-time digital assistance to help users improve productivity and work together more effectively across Zoom Meetings, Zoom Team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Chat, Zoom Email, Zoom Whiteboard and Zoom Events. Zoom AI Companion uses a federated AI approach that incorporates</w:t>
      </w:r>
    </w:p>
    <w:p>
      <w:pPr>
        <w:spacing w:after="0" w:line="3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9"/>
          <w:szCs w:val="19"/>
          <w:color w:val="auto"/>
        </w:rPr>
        <w:t>Zoom’s own large language models with third-party models to deliver high-quality results and lower customer costs. Zoom AI Companion is included at no additional cost for customers with the paid services in their Zoom user accounts.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Employee Experience</w:t>
      </w: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Rooms</w:t>
      </w:r>
    </w:p>
    <w:p>
      <w:pPr>
        <w:spacing w:after="0" w:line="139"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Zoom Rooms is our software-based conference room system that transforms every room – from executive offices, huddle rooms, training rooms, to broadcast studios – into a collaboration space that is easy to use, simple to deploy, and low-effort to manage. Designed to increase workforce collaboration across in-room and virtual participants, Zoom Rooms brings one-click to join meetings, wireless multi-sharing, interactive whiteboarding, intuitive room controls and other features to the Zoom Meeting experience.</w:t>
      </w:r>
    </w:p>
    <w:p>
      <w:pPr>
        <w:spacing w:after="0" w:line="75"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Zoom Rooms includes Scheduling Display to simplify the room booking experience, and Digital Signage to share images, video, and URL content that can be managed remotely by role-based admins for multiple displays on the network. Zoom Rooms Kiosk mode enables virtual receptionists and the ability to display content and custom messages to match the environment and purpose.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Workspace Reservation</w:t>
      </w:r>
    </w:p>
    <w:p>
      <w:pPr>
        <w:spacing w:after="0" w:line="139" w:lineRule="exact"/>
        <w:rPr>
          <w:sz w:val="20"/>
          <w:szCs w:val="20"/>
          <w:color w:val="auto"/>
        </w:rPr>
      </w:pPr>
    </w:p>
    <w:p>
      <w:pPr>
        <w:jc w:val="both"/>
        <w:ind w:firstLine="524"/>
        <w:spacing w:after="0" w:line="281" w:lineRule="auto"/>
        <w:rPr>
          <w:sz w:val="20"/>
          <w:szCs w:val="20"/>
          <w:color w:val="auto"/>
        </w:rPr>
      </w:pPr>
      <w:r>
        <w:rPr>
          <w:rFonts w:ascii="Times New Roman" w:cs="Times New Roman" w:eastAsia="Times New Roman" w:hAnsi="Times New Roman"/>
          <w:sz w:val="19"/>
          <w:szCs w:val="19"/>
          <w:color w:val="auto"/>
        </w:rPr>
        <w:t>Zoom Workspace Reservation is a service that enables the management of physical spaces with tools for customers to reserve and manage their workspace utilization by connecting users to workspaces. It enhances and streamlines hotdesking and</w:t>
      </w:r>
    </w:p>
    <w:p>
      <w:pPr>
        <w:spacing w:after="0" w:line="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hoteling experiences and can provide recommendations for a workspace location or time to reserve. Users can reserve a work location time and duration in advance or on-demand by selecting a location on a floor plan. Administrators can learn more about the utilization of their workspaces to support planning and optimization of their locations.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Docs</w:t>
      </w:r>
    </w:p>
    <w:p>
      <w:pPr>
        <w:spacing w:after="0" w:line="13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Zoom Docs is a dedicated, modular, AI-powered workspace for efficient, dynamic hybrid collaboration. With Zoom Docs, users get a singular workspace designed to bring their teams together to share ideas and get more done, all powered by AI. It helps tie together our collection of communication modalities, with online word processing now threaded throughout the Zoom platform.</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Whiteboard</w:t>
      </w:r>
    </w:p>
    <w:p>
      <w:pPr>
        <w:spacing w:after="0" w:line="13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Zoom Whiteboard is an interactive canvas, allowing teams to collaborate and brainstorm through the use of templates, drag and drop shapes and objects, text, diagramming tools, and integrations with third party services. Zoom Whiteboard is a persistent collaboration tool that works across Zoom Meetings, Zoom Team Chat, Zoom Rooms for Touch, Zoom desktop and mobile apps, and web browsers. Whiteboards can be shared with internal and external participants.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Notes</w:t>
      </w:r>
    </w:p>
    <w:p>
      <w:pPr>
        <w:spacing w:after="0" w:line="139"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121212"/>
        </w:rPr>
        <w:t>Zoom Notes is a new workspace to create and collaborate before, during, and after meetings. Zoom Notes allows users to create and share content within a Zoom Meeting and collaborate with others on the call for real-time inputs—eliminating the distraction of jumping between Zoom and third-party documents and tools. Users can even continue to work in Notes outside of meetings asynchronously and share them for collaboration anytime, anywhere. Zoom Notes is available to all users at no additional cost.</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Clips</w:t>
      </w:r>
    </w:p>
    <w:p>
      <w:pPr>
        <w:sectPr>
          <w:pgSz w:w="11880" w:h="15480" w:orient="portrait"/>
          <w:cols w:equalWidth="0" w:num="1">
            <w:col w:w="9960"/>
          </w:cols>
          <w:pgMar w:left="960" w:top="81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880" w:h="15480" w:orient="portrait"/>
          <w:cols w:equalWidth="0" w:num="1">
            <w:col w:w="9960"/>
          </w:cols>
          <w:pgMar w:left="960" w:top="813" w:right="960" w:bottom="0" w:gutter="0" w:footer="0" w:header="0"/>
          <w:type w:val="continuous"/>
        </w:sectPr>
      </w:pPr>
    </w:p>
    <w:bookmarkStart w:id="13" w:name="page14"/>
    <w:bookmarkEnd w:id="13"/>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Zoom Clips is a convenient solution for capturing both video and screen content. Zoom Clips enables users to effortlessly and quickly record, edit, share, store, and analyze short video “clips,” as well as comment/react to other user’s clips, to keep the collaboration going. Clips are particularly valuable when demonstrating or showcasing product features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functionalities. Zoom Clips is included with the Zoom One plan.</w:t>
      </w:r>
    </w:p>
    <w:p>
      <w:pPr>
        <w:spacing w:after="0" w:line="2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Workvivo</w:t>
      </w:r>
    </w:p>
    <w:p>
      <w:pPr>
        <w:spacing w:after="0" w:line="139" w:lineRule="exact"/>
        <w:rPr>
          <w:sz w:val="20"/>
          <w:szCs w:val="20"/>
          <w:color w:val="auto"/>
        </w:rPr>
      </w:pPr>
    </w:p>
    <w:p>
      <w:pPr>
        <w:jc w:val="both"/>
        <w:ind w:firstLine="524"/>
        <w:spacing w:after="0" w:line="264" w:lineRule="auto"/>
        <w:rPr>
          <w:sz w:val="20"/>
          <w:szCs w:val="20"/>
          <w:color w:val="auto"/>
        </w:rPr>
      </w:pPr>
      <w:r>
        <w:rPr>
          <w:rFonts w:ascii="Times New Roman" w:cs="Times New Roman" w:eastAsia="Times New Roman" w:hAnsi="Times New Roman"/>
          <w:sz w:val="19"/>
          <w:szCs w:val="19"/>
          <w:color w:val="auto"/>
        </w:rPr>
        <w:t>Workvivo is an employee experience service that combines internal communication and engagement tools, a social intranet, and an employee app. Workvivo provides a new way for customers to keep their employees informed, engaged, and connected. Workvivo consists of a monthly subscription and optional add-on features for an additional fee.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Customer Experience</w:t>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Contact Center</w:t>
      </w:r>
    </w:p>
    <w:p>
      <w:pPr>
        <w:spacing w:after="0" w:line="139"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Zoom Contact Center is an omnichannel, AI powered solution that helps empower and upskill agents, improve operational effectiveness and strengthen customer relationships. Built on Zoom’s reliable and secure platform, Zoom Contact Center enriches customer engagement by delivering highly personalized and seamless customer journeys across all channels.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Virtual Agent</w:t>
      </w:r>
    </w:p>
    <w:p>
      <w:pPr>
        <w:spacing w:after="0" w:line="139"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Zoom Virtual Agent is an intelligent conversational AI and chatbot solution that uses natural language processing and machine learning to accurately understand and instantly resolve issues for customers.</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Workforce Engagement Management</w:t>
      </w:r>
    </w:p>
    <w:p>
      <w:pPr>
        <w:spacing w:after="0" w:line="139"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Zoom’s Workforce Engagement Management suite is designed to improve agent performance and engagement, supercharge contact center operational efficiency, reduce supervisor workloads, and ultimately deliver a better customer experience - all within a single product suite.</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Revenue Accelerator</w:t>
      </w:r>
    </w:p>
    <w:p>
      <w:pPr>
        <w:spacing w:after="0" w:line="139"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Zoom Revenue Accelerator is conversation intelligence software for Zoom Meetings and Zoom Phone, which provides sales teams with meaningful and actionable insights from their customer interactions to improve seller performance and enhance customer experiences by reconciling call analytics with CRM data.</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Event</w:t>
      </w:r>
      <w:r>
        <w:rPr>
          <w:rFonts w:ascii="Times New Roman" w:cs="Times New Roman" w:eastAsia="Times New Roman" w:hAnsi="Times New Roman"/>
          <w:sz w:val="19"/>
          <w:szCs w:val="19"/>
          <w:color w:val="auto"/>
        </w:rPr>
        <w:t>s</w:t>
      </w:r>
    </w:p>
    <w:p>
      <w:pPr>
        <w:spacing w:after="0" w:line="136"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Built on Zoom’s reliable and secure video technology, Zoom Events allows event hosts to seamlessly create and manage virtual and hybrid events of any size. Zoom Events offers features such as event hubs, dedicated corporate event spaces, customizable registration and ticketing, attendee networking, Expo Floor and event analytics. This comprehensive solution is designed to simplify how users manage, host, market, and report on all of their virtual and hybrid events.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Sessions</w:t>
      </w:r>
    </w:p>
    <w:p>
      <w:pPr>
        <w:spacing w:after="0" w:line="139"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Zoom Sessions allows customers to use the signature features of Zoom Events for a single-session event, including branded registration and event pages, live polling, surveys and chat, advanced reporting and the ability to organize upcoming and past events in one place.</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Webinars</w:t>
      </w:r>
    </w:p>
    <w:p>
      <w:pPr>
        <w:spacing w:after="0" w:line="139"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Zoom Webinars support interactive video presentations to large audiences from almost anywhere in the world and from many devices. Zoom Webinars can scale up to 100,000 attendees and 1,000 interactive video panelists. With webinars, customers have control over the video viewing experience and attendees join to listen, learn and interact using chat, Q&amp;A, live polling and more. Our powerful third-party integrations help users maximize usage of their webinars and expand capabilities with paid registration, marketing automation, lead nurturing, and learning management.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Developer Ecosystem</w:t>
      </w: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Developer Platform</w:t>
      </w:r>
    </w:p>
    <w:p>
      <w:pPr>
        <w:spacing w:after="0" w:line="139"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The Zoom Developer Platform enables developers, platform integrators, service providers, and customers to easily build apps and integrations that use Zoom’s video-based communications solutions across video, phone, and chat, or integrate</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880" w:h="15480" w:orient="portrait"/>
          <w:cols w:equalWidth="0" w:num="1">
            <w:col w:w="9960"/>
          </w:cols>
          <w:pgMar w:left="960" w:top="821" w:right="960" w:bottom="0" w:gutter="0" w:footer="0" w:header="0"/>
          <w:type w:val="continuous"/>
        </w:sectPr>
      </w:pPr>
    </w:p>
    <w:bookmarkStart w:id="14" w:name="page15"/>
    <w:bookmarkEnd w:id="14"/>
    <w:p>
      <w:pPr>
        <w:jc w:val="both"/>
        <w:spacing w:after="0" w:line="263" w:lineRule="auto"/>
        <w:rPr>
          <w:sz w:val="20"/>
          <w:szCs w:val="20"/>
          <w:color w:val="auto"/>
        </w:rPr>
      </w:pPr>
      <w:r>
        <w:rPr>
          <w:rFonts w:ascii="Times New Roman" w:cs="Times New Roman" w:eastAsia="Times New Roman" w:hAnsi="Times New Roman"/>
          <w:sz w:val="19"/>
          <w:szCs w:val="19"/>
          <w:color w:val="auto"/>
        </w:rPr>
        <w:t>Zoom’s core technology into their products and services, with opportunities for co-marketing, discovery and distribution. Our developer platform also allows Zoom customers to administer their accounts including managing app requests and provisioning, as well as optimizing account usage with access to dashboards and usage metrics. With our SDKs, APIs, webhooks and extensive developer resources, Zoom, third-party developers, and partners build applications that integrate our platform with other globally in-demand applications, platforms, websites, and services. Our customers also have access to tools and resources to develop private applications that integrate Zoom and Zoom technology into their workflows and systems.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App Marketplace</w:t>
      </w:r>
    </w:p>
    <w:p>
      <w:pPr>
        <w:spacing w:after="0" w:line="139" w:lineRule="exact"/>
        <w:rPr>
          <w:sz w:val="20"/>
          <w:szCs w:val="20"/>
          <w:color w:val="auto"/>
        </w:rPr>
      </w:pPr>
    </w:p>
    <w:p>
      <w:pPr>
        <w:jc w:val="both"/>
        <w:ind w:firstLine="524"/>
        <w:spacing w:after="0" w:line="270" w:lineRule="auto"/>
        <w:rPr>
          <w:sz w:val="20"/>
          <w:szCs w:val="20"/>
          <w:color w:val="auto"/>
        </w:rPr>
      </w:pPr>
      <w:r>
        <w:rPr>
          <w:rFonts w:ascii="Times New Roman" w:cs="Times New Roman" w:eastAsia="Times New Roman" w:hAnsi="Times New Roman"/>
          <w:sz w:val="19"/>
          <w:szCs w:val="19"/>
          <w:color w:val="auto"/>
        </w:rPr>
        <w:t>Our App Marketplace brings together integrations built by Zoom and third-party developers, making it easy for developers to publish their apps and for customers to enhance their Zoom experience with new functionalities. The App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Marketplace features third-party integrations connecting Zoom with best of breed apps, Zoom Apps (third-party apps integrated</w:t>
      </w:r>
    </w:p>
    <w:p>
      <w:pPr>
        <w:spacing w:after="0" w:line="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9"/>
          <w:szCs w:val="19"/>
          <w:color w:val="auto"/>
        </w:rPr>
        <w:t>into the Zoom experience) and SDK apps, including apps built by ISV program partners using our Meeting SDK. Key integrations include Google Workspace, Calendly, Slack, Microsoft Teams, Salesforce, Otter.ai, Hubspot, Asana, Kahoot! and Miro.</w:t>
      </w:r>
    </w:p>
    <w:p>
      <w:pPr>
        <w:spacing w:after="0" w:line="200" w:lineRule="exact"/>
        <w:rPr>
          <w:sz w:val="20"/>
          <w:szCs w:val="20"/>
          <w:color w:val="auto"/>
        </w:rPr>
      </w:pP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Zoom Apps</w:t>
      </w:r>
    </w:p>
    <w:p>
      <w:pPr>
        <w:spacing w:after="0" w:line="139"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Zoom Apps combine users’ favorite apps with the power of video communications by allowing users to access them directly in Zoom Meetings. Users can enrich their Zoom experience with a variety of apps that cover many use cases, including whiteboarding, project management, note-taking, gaming, and more. Zoom Essential Apps, launched January 2023, provides access to a curated list of apps at no cost for one year after app activation for Zoom One Pro, Business and Business Plus users to enhance their Zoom experience such as through visual agendas, automated tools to keep meetings on track and interactive activities to add energy and fun to meetings.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Technology and Infrastructure</w:t>
      </w:r>
    </w:p>
    <w:p>
      <w:pPr>
        <w:spacing w:after="0" w:line="138"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Our unique technology and infrastructure enable best-in-class reliability, scalability, and performance. We designed our communications and collaboration platform to address the most difficult component of communications: video. Video requires intense computing resources for encoding, decoding, multiplexing, and synchronization, as well as higher bandwidth and network performance, to a much higher degree than other forms of communication like voice, chat, and content sharing. Our architecture separates video content processing from the transporting and mixing of streams. We allocate video content processing to intelligent agents that reside on client devices and dynamically encode and decode based upon the performance of client technology, network performance, and bandwidth. We leverage a next-generation multimedia router that operates on commodity hardware and a globally distributed cloud infrastructure to determine the optimal data centers to host a meeting and an optimal set of paths to connect the participants.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Customers</w:t>
      </w:r>
    </w:p>
    <w:p>
      <w:pPr>
        <w:spacing w:after="0" w:line="138"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We have customers of all sizes, from individuals to global Fortune 50 organizations. Our current customer base spans numerous industry categories, including education, entertainment/media, enterprise infrastructure, finance, government, health care, manufacturing, nonprofit/not for profit and social impact, retail/consumer products, and software/internet. No individual customer represented more than 10% of our total revenue in the fiscal year ended January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Sales</w:t>
      </w:r>
    </w:p>
    <w:p>
      <w:pPr>
        <w:spacing w:after="0" w:line="138"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Our sales model combines our viral demand generation and our free Zoom Meetings plan with a sales approach optimized for the size of each customer opportunity. Our direct sales force includes our field sales representatives as well as our inside sales team, and it is organized by customer subscription size, region, and vertical. Our channel team coordinates the activities of resellers and strategic partners to build a strong ecosystem that broadens our reach. Our online channel supports high-volume, high-velocity, self-service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Marketing</w:t>
      </w:r>
    </w:p>
    <w:p>
      <w:pPr>
        <w:spacing w:after="0" w:line="138"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Our marketing team’s primary objective is to create preference for our brand by leveraging our brand recognition, enhancing brand perception, and engaging our users with virtual events, content, social media, and customer advisory councils. We implement targeted online and out-of-home advertising. Our events strategy is based on a combination of online, in-person and hybrid approaches. Zoomtopia, our annual user conference, provides a hybrid experience for tens of thousands of in-person and virtual attendees.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Research and Development</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880" w:h="15480" w:orient="portrait"/>
          <w:cols w:equalWidth="0" w:num="1">
            <w:col w:w="9960"/>
          </w:cols>
          <w:pgMar w:left="960" w:top="821" w:right="960" w:bottom="0" w:gutter="0" w:footer="0" w:header="0"/>
          <w:type w:val="continuous"/>
        </w:sectPr>
      </w:pPr>
    </w:p>
    <w:bookmarkStart w:id="15" w:name="page16"/>
    <w:bookmarkEnd w:id="15"/>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We drive our business with constant innovation. We have research and development presence in China, India, Singapore and the United States, which we believe is a strategic advantage for us, allowing us to invest more in increasing our product capabilities in an efficient manner with a “follow the sun” strategy. For information on the risks associated with our international operations, see “Risks Related to Our Business and Our Industry” under “Item 1A - Risk Factors.”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Competition</w:t>
      </w:r>
    </w:p>
    <w:p>
      <w:pPr>
        <w:spacing w:after="0" w:line="138"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The markets in which we operate are highly competitive. We face competition from legacy web-based meeting services providers, including Cisco Webex and GoTo, bundled productivity solution providers with video functionality, including Google Workspace and Microsoft Teams, and UCaaS and legacy PBX providers, including 8x8, Avaya, and RingCentral, as well as consumer-facing platforms that can support small- or medium-sized businesses, including Amazon, Apple, and Facebook. Additionally, as we build out Zoom Contact Center, we may face additional competition, including from Five9, Inc., Genesys and NICE inContact.</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We believe we compete favorably based on the following competitive factors:</w:t>
      </w:r>
    </w:p>
    <w:p>
      <w:pPr>
        <w:spacing w:after="0" w:line="131" w:lineRule="exact"/>
        <w:rPr>
          <w:sz w:val="20"/>
          <w:szCs w:val="20"/>
          <w:color w:val="auto"/>
        </w:rPr>
      </w:pPr>
    </w:p>
    <w:p>
      <w:pPr>
        <w:ind w:left="1220" w:hanging="695"/>
        <w:spacing w:after="0"/>
        <w:tabs>
          <w:tab w:leader="none" w:pos="12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video-first platform;</w:t>
      </w:r>
    </w:p>
    <w:p>
      <w:pPr>
        <w:spacing w:after="0" w:line="130" w:lineRule="exact"/>
        <w:rPr>
          <w:rFonts w:ascii="Times New Roman" w:cs="Times New Roman" w:eastAsia="Times New Roman" w:hAnsi="Times New Roman"/>
          <w:sz w:val="19"/>
          <w:szCs w:val="19"/>
          <w:color w:val="auto"/>
        </w:rPr>
      </w:pPr>
    </w:p>
    <w:p>
      <w:pPr>
        <w:ind w:left="1220" w:hanging="695"/>
        <w:spacing w:after="0"/>
        <w:tabs>
          <w:tab w:leader="none" w:pos="12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cloud-native architecture;</w:t>
      </w:r>
    </w:p>
    <w:p>
      <w:pPr>
        <w:spacing w:after="0" w:line="130" w:lineRule="exact"/>
        <w:rPr>
          <w:rFonts w:ascii="Times New Roman" w:cs="Times New Roman" w:eastAsia="Times New Roman" w:hAnsi="Times New Roman"/>
          <w:sz w:val="19"/>
          <w:szCs w:val="19"/>
          <w:color w:val="auto"/>
        </w:rPr>
      </w:pPr>
    </w:p>
    <w:p>
      <w:pPr>
        <w:ind w:left="1220" w:hanging="695"/>
        <w:spacing w:after="0"/>
        <w:tabs>
          <w:tab w:leader="none" w:pos="12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functionality and scalability;</w:t>
      </w:r>
    </w:p>
    <w:p>
      <w:pPr>
        <w:spacing w:after="0" w:line="130" w:lineRule="exact"/>
        <w:rPr>
          <w:rFonts w:ascii="Times New Roman" w:cs="Times New Roman" w:eastAsia="Times New Roman" w:hAnsi="Times New Roman"/>
          <w:sz w:val="19"/>
          <w:szCs w:val="19"/>
          <w:color w:val="auto"/>
        </w:rPr>
      </w:pPr>
    </w:p>
    <w:p>
      <w:pPr>
        <w:ind w:left="1220" w:hanging="695"/>
        <w:spacing w:after="0"/>
        <w:tabs>
          <w:tab w:leader="none" w:pos="12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ease of use and reliability;</w:t>
      </w:r>
    </w:p>
    <w:p>
      <w:pPr>
        <w:spacing w:after="0" w:line="130" w:lineRule="exact"/>
        <w:rPr>
          <w:rFonts w:ascii="Times New Roman" w:cs="Times New Roman" w:eastAsia="Times New Roman" w:hAnsi="Times New Roman"/>
          <w:sz w:val="19"/>
          <w:szCs w:val="19"/>
          <w:color w:val="auto"/>
        </w:rPr>
      </w:pPr>
    </w:p>
    <w:p>
      <w:pPr>
        <w:ind w:left="1220" w:hanging="695"/>
        <w:spacing w:after="0"/>
        <w:tabs>
          <w:tab w:leader="none" w:pos="12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brand awareness and preference;</w:t>
      </w:r>
    </w:p>
    <w:p>
      <w:pPr>
        <w:spacing w:after="0" w:line="130" w:lineRule="exact"/>
        <w:rPr>
          <w:rFonts w:ascii="Times New Roman" w:cs="Times New Roman" w:eastAsia="Times New Roman" w:hAnsi="Times New Roman"/>
          <w:sz w:val="19"/>
          <w:szCs w:val="19"/>
          <w:color w:val="auto"/>
        </w:rPr>
      </w:pPr>
    </w:p>
    <w:p>
      <w:pPr>
        <w:ind w:left="1220" w:hanging="695"/>
        <w:spacing w:after="0"/>
        <w:tabs>
          <w:tab w:leader="none" w:pos="12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ability to utilize existing infrastructure, such as legacy conference room hardware; and</w:t>
      </w:r>
    </w:p>
    <w:p>
      <w:pPr>
        <w:spacing w:after="0" w:line="130" w:lineRule="exact"/>
        <w:rPr>
          <w:rFonts w:ascii="Times New Roman" w:cs="Times New Roman" w:eastAsia="Times New Roman" w:hAnsi="Times New Roman"/>
          <w:sz w:val="19"/>
          <w:szCs w:val="19"/>
          <w:color w:val="auto"/>
        </w:rPr>
      </w:pPr>
    </w:p>
    <w:p>
      <w:pPr>
        <w:ind w:left="1220" w:hanging="695"/>
        <w:spacing w:after="0"/>
        <w:tabs>
          <w:tab w:leader="none" w:pos="12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low total cost of ownership.</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138"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We rely on a combination of patents, trademarks, copyrights, and trade secrets, as well as contractual protections, to establish and protect our intellectual property rights. We actively seek patent protection covering inventions originating from our company. We also pursue the registration and enforcement of trademarks and domain names in the United States and in various jurisdictions outside the United States.</w:t>
      </w:r>
    </w:p>
    <w:p>
      <w:pPr>
        <w:spacing w:after="0" w:line="72"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We control access to and use of our proprietary technology and other confidential information through internal and external controls, including contractual protections with employees, contractors, customers, and partners. Our software is protected by U.S. and international intellectual property laws. Our policy requires employees and independent contractors to sign agreements (1) assigning to us any inventions, trade secrets, works of authorship, and other intellectual property generated by them in the course of their employment, and (2) agreeing to protect our confidential information.</w:t>
      </w:r>
    </w:p>
    <w:p>
      <w:pPr>
        <w:spacing w:after="0" w:line="75"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In certain circumstances, we license intellectual property from third parties for use in our products. This may include open source software. We take steps to ensure compliance with the terms of the licenses governing such licensed technology. We believe our business is not materially dependent on any individual patent, trademark, copyright, trade secret, license, or other intellectual property right. For information on the risks associated with our intellectual property, see “Risks Related to Our Intellectual Property” under “Item 1A - Risk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Government Regulation</w:t>
      </w:r>
    </w:p>
    <w:p>
      <w:pPr>
        <w:spacing w:after="0" w:line="138"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“Risks Related to Laws and Regulations” under “Item 1A - Risk Factors.”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Human Capital</w:t>
      </w:r>
    </w:p>
    <w:p>
      <w:pPr>
        <w:spacing w:after="0" w:line="138"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As of January 31, 2024, we had 7,420 full-time employees. Of these employees, 3,797 are in the United States and 3,623 are in our international locations. None of our U.S. employees are represented by a labor union. Employees in two of our non-U.S. subsidiaries have the benefit of a collective bargaining agreement and are represented by a workers’ council. We have not experienced interruptions of operations or any work stoppages due to labor disagreements.</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880" w:h="15480" w:orient="portrait"/>
          <w:cols w:equalWidth="0" w:num="1">
            <w:col w:w="9960"/>
          </w:cols>
          <w:pgMar w:left="960" w:top="821" w:right="960" w:bottom="0" w:gutter="0" w:footer="0" w:header="0"/>
          <w:type w:val="continuous"/>
        </w:sectPr>
      </w:pPr>
    </w:p>
    <w:bookmarkStart w:id="16" w:name="page17"/>
    <w:bookmarkEnd w:id="16"/>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Our Culture of Happiness</w:t>
      </w:r>
    </w:p>
    <w:p>
      <w:pPr>
        <w:spacing w:after="0" w:line="134"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We are focused on delivering happiness to our employees and customers. We strive to change the way business is done through our communications technology and our company culture. We take happiness so seriously that we have an employee-led happiness committee and crew to facilitate and amplify our efforts to deliver happiness to our employees and customers.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Our culture of delivering happiness drives our mission and values and is fundamental to everything we do at Zoom:</w:t>
      </w:r>
    </w:p>
    <w:p>
      <w:pPr>
        <w:spacing w:after="0" w:line="127" w:lineRule="exact"/>
        <w:rPr>
          <w:sz w:val="20"/>
          <w:szCs w:val="20"/>
          <w:color w:val="auto"/>
        </w:rPr>
      </w:pPr>
    </w:p>
    <w:p>
      <w:pPr>
        <w:ind w:left="1220" w:hanging="695"/>
        <w:spacing w:after="0"/>
        <w:tabs>
          <w:tab w:leader="none" w:pos="122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Mission. </w:t>
      </w:r>
      <w:r>
        <w:rPr>
          <w:rFonts w:ascii="Times New Roman" w:cs="Times New Roman" w:eastAsia="Times New Roman" w:hAnsi="Times New Roman"/>
          <w:sz w:val="19"/>
          <w:szCs w:val="19"/>
          <w:color w:val="auto"/>
        </w:rPr>
        <w:t>One platform that delivers limitless human connection</w:t>
      </w:r>
    </w:p>
    <w:p>
      <w:pPr>
        <w:spacing w:after="0" w:line="130" w:lineRule="exact"/>
        <w:rPr>
          <w:rFonts w:ascii="Times New Roman" w:cs="Times New Roman" w:eastAsia="Times New Roman" w:hAnsi="Times New Roman"/>
          <w:sz w:val="19"/>
          <w:szCs w:val="19"/>
          <w:color w:val="auto"/>
        </w:rPr>
      </w:pPr>
    </w:p>
    <w:p>
      <w:pPr>
        <w:ind w:left="1220" w:hanging="695"/>
        <w:spacing w:after="0"/>
        <w:tabs>
          <w:tab w:leader="none" w:pos="122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Values. </w:t>
      </w:r>
      <w:r>
        <w:rPr>
          <w:rFonts w:ascii="Times New Roman" w:cs="Times New Roman" w:eastAsia="Times New Roman" w:hAnsi="Times New Roman"/>
          <w:sz w:val="19"/>
          <w:szCs w:val="19"/>
          <w:color w:val="auto"/>
        </w:rPr>
        <w:t>We care for our customers, company, communities, teammates, selves</w:t>
      </w:r>
    </w:p>
    <w:p>
      <w:pPr>
        <w:spacing w:after="0" w:line="135"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This culture supports our hiring and serves as a competitive advantage in attracting and retaining top talent. Zoom was prominently featured in the computer software category on Fortune’s ‘Most Admired Companies’ list. Additionally, it was named to the Variety500, an award that recognizes the most influential business leaders shaping the industry.</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Diversity, Equity, and Inclusion</w:t>
      </w:r>
    </w:p>
    <w:p>
      <w:pPr>
        <w:spacing w:after="0" w:line="134"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Diversity, equity, and inclusion (“DEI”) at Zoom is an embodiment of our core value of Care. DEI also represents our intentional effort to create an inclusive environment of the brightest minds from a broad set of backgrounds in order to create the most innovative solutions for our customers. Our approach to DEI is driven across four strategic focus areas: workforce (who and how we hire), workplace (how it feels to work at Zoom), marketplace (how we include our customers) and community (how we help to make the world more equitable).</w:t>
      </w:r>
    </w:p>
    <w:p>
      <w:pPr>
        <w:spacing w:after="0" w:line="75"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We have taken steps to diversify our candidate outreach through engagements with AfroTech, Merritt College, AnitaB.org, and a five-year strategic partnership with Claflin University. In our workplace, our Zoom Talks initiative creates ongoing spaces for our employees to learn more about one another’s unique backgrounds. We have a number of Employee Resource Groups (“ERGs”) with a focus on Black, Latinx, Women, Asian and Pacific Islander, Veteran, and LGBTQ+ communities. Our ERGs offer our employees support and community building opportunities, and help to foster an inclusive environment and diverse workplace. Our DEI Team continues to partner with teams leading our product design and marketing to invest in making our products even more inclusive and accessible to the diverse set of communities we serve.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Compensation and Benefits</w:t>
      </w:r>
    </w:p>
    <w:p>
      <w:pPr>
        <w:spacing w:after="0" w:line="134"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We offer fair, competitive compensation and benefits that support our employees’ overall well-being. Our employees’ total compensation packages include base pay, bonuses or sales commissions, and equity. We offer a wide array of benefits including comprehensive healthcare benefits, including mental health and fertility benefits, wellness benefits, a book reimbursement plan to support continuous learning, and charitable gift matching through our Zoom Cares program.</w:t>
      </w:r>
    </w:p>
    <w:p>
      <w:pPr>
        <w:spacing w:after="0" w:line="72"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Over the past several years, we conducted a comprehensive employee survey with regular follow-ups and engaged in peer research to make thoughtful decisions on how to move forward in an evolving world of work. Two priorities were immediately clear: keeping our employees safe and supporting them through a meaningful employee experience. We believe maintaining a flexible working environment for our employees is a key priority.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Corporate Information</w:t>
      </w:r>
    </w:p>
    <w:p>
      <w:pPr>
        <w:spacing w:after="0" w:line="138"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6th Floor, San Jose, California 95113. Our telephone number is (888) 799-9666. Our website address is https://zoom.com. Information contained on, or that can be accessed through, our website is not incorporated by reference into this Annual Report on Form 10-K. The Zoom design logo, “Zoom,” “Zoom Video Communications,” and our other registered or common law trademarks, service marks or trade names appearing in this Annual Report on Form 10-K are the property of Zoom Video Communications, Inc. Other trade names, trademarks, and service marks used in this Annual Report on Form 10-K are the property of their respective owners.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Available Information</w:t>
      </w:r>
    </w:p>
    <w:p>
      <w:pPr>
        <w:spacing w:after="0" w:line="138"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through our investor relations website located at investors.zoom.us as soon as reasonably practical after we file such material with, or furnish it to, the SEC.</w:t>
      </w:r>
    </w:p>
    <w:p>
      <w:pPr>
        <w:spacing w:after="0" w:line="78"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We announce material information to the public through a variety of means, including filings with the SEC, press releases, public conference calls, our website (www.zoom.com) and the investor relations section of our website</w:t>
      </w:r>
    </w:p>
    <w:p>
      <w:pPr>
        <w:sectPr>
          <w:pgSz w:w="11880" w:h="15480" w:orient="portrait"/>
          <w:cols w:equalWidth="0" w:num="1">
            <w:col w:w="9960"/>
          </w:cols>
          <w:pgMar w:left="960" w:top="818" w:right="960" w:bottom="0" w:gutter="0" w:footer="0" w:header="0"/>
        </w:sect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880" w:h="15480" w:orient="portrait"/>
          <w:cols w:equalWidth="0" w:num="1">
            <w:col w:w="9960"/>
          </w:cols>
          <w:pgMar w:left="960" w:top="818" w:right="960" w:bottom="0" w:gutter="0" w:footer="0" w:header="0"/>
          <w:type w:val="continuous"/>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9"/>
          <w:szCs w:val="19"/>
          <w:color w:val="auto"/>
        </w:rPr>
        <w:t>(investors.zoom.us). We use these channels, as well as social media, including our blog (blog.zoom.us), our X (formerly Twitter) account (@zoom_us), our LinkedIn page (linkedin.com/company/zoom-video-communications), our Instagram page (instagram.com/zoom), our TikTok page (tiktok.com/@zoom), and our Facebook page (facebook.com/ zoomvideocommunications), to communicate with investors and the public about Zoom, our products and services, and other matters. Therefore, we encourage investors, the media, and others interested in Zoom to review the information we make public in these locations, as such information could be deemed to be material information. Information on or that can be accessed through our websites or these social media channels is not part of this Annual Report on Form 10-K, and the inclusion of our website addresses and social media channels are inactive textual references only.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135" w:lineRule="exact"/>
        <w:rPr>
          <w:sz w:val="20"/>
          <w:szCs w:val="20"/>
          <w:color w:val="auto"/>
        </w:rPr>
      </w:pPr>
    </w:p>
    <w:p>
      <w:pPr>
        <w:jc w:val="both"/>
        <w:ind w:firstLine="524"/>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Investing in our securities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3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color w:val="auto"/>
        </w:rPr>
        <w:t>Risks Related to Our Business and Our Industry</w:t>
      </w:r>
    </w:p>
    <w:p>
      <w:pPr>
        <w:spacing w:after="0" w:line="246" w:lineRule="exact"/>
        <w:rPr>
          <w:sz w:val="20"/>
          <w:szCs w:val="20"/>
          <w:color w:val="auto"/>
        </w:rPr>
      </w:pPr>
    </w:p>
    <w:p>
      <w:pPr>
        <w:jc w:val="both"/>
        <w:ind w:firstLine="524"/>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spacing w:after="0" w:line="67"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Our business depends upon our ability to attract new customers, and maintain and expand our relationships with our existing customers, including upselling additional products and new product categories to our existing customers and upgrading users from a free plan to one of our paid offerings.</w:t>
      </w:r>
    </w:p>
    <w:p>
      <w:pPr>
        <w:spacing w:after="0" w:line="64"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Our business is subscription based, and customers are not obligated to, and may choose not to, renew their subscriptions after their existing subscriptions expire. Customers may also terminate or reduce the size of their existing subscriptions. As a result, we cannot provide assurance that customers will renew their subscriptions utilizing the same tier of plan, upgrade to a higher-priced tier, or purchase additional products, if they renew at all. Renewals of subscriptions to our platform may decline or fluctuate because of several factors, such as dissatisfaction with our products and support, a customer no longer having a need for our products, or a belief that a competitor’s product is better, more secure, or less expensive than our products and platform. For example, during the COVID-19 pandemic, we saw a significant increase in usage and subscriptions. As a result, our customer base shifted largely from businesses and enterprises to a mix of businesses, enterprises, and consumers. Following the pandemic, some of our customers reduced or discontinued their use of our platform, and additional customers may do so in the future. Additionally, this shift in mix has resulted and may continue to result in higher non-renewal rates than we have experienced in the past. Renewals are also impacted by reductions in customer information technology spending budgets or a decision by the customer to consolidate their spending budgets on one of our competitor’s platforms, both of which are more likely to occur during periods of high inflation or recessionary or uncertain economic environments. We must continually add new customers and licenses to grow our business and to replace customers and licenses who choose not to continue to use our platform. Finally, any decrease in user satisfaction with our products or support would harm our brand, word-of-mouth referrals, and ability to grow.</w:t>
      </w:r>
    </w:p>
    <w:p>
      <w:pPr>
        <w:spacing w:after="0" w:line="321"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We encourage customers to purchase additional products and encourage users of our free offering to upgrade to one of our paid offerings by recommending additional features and through in-product prompts and notifications. However, free users may never upgrade to one of our paid offerings. We also seek to expand within organizations by adding new licenses, having workplaces purchase additional products, or expanding the use of our platform into other teams and departments within an organization. If we fail to upsell our customers or upgrade free users to one of our paid offerings or expand the number of licenses within organizations, our business would be harmed.</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Our revenue growth rate has fluctuated in prior periods, and may continue to decline in future periods.</w:t>
      </w:r>
    </w:p>
    <w:p>
      <w:pPr>
        <w:spacing w:after="0" w:line="139"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Our revenue growth has fluctuated in prior periods. You should not rely on the revenue growth of any prior quarterly or annual period as an indication of our future performance. There are no assurances we will be able to sustain or increase our revenue growth in future periods, and our revenue growth rate may continue to decline in future periods. Many factors may contribute to declines in our growth rate, including higher market penetration, increased competition, macroeconomic conditions, such as inflation, recessionary or uncertain economic environments, fluctuating foreign currency exchange rates, slowing demand for our platform, a lower than anticipated capitalization on growth opportunities, and the maturation of our</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880" w:h="15480" w:orient="portrait"/>
          <w:cols w:equalWidth="0" w:num="1">
            <w:col w:w="9960"/>
          </w:cols>
          <w:pgMar w:left="960" w:top="821" w:right="960" w:bottom="0" w:gutter="0" w:footer="0" w:header="0"/>
          <w:type w:val="continuous"/>
        </w:sectPr>
      </w:pPr>
    </w:p>
    <w:bookmarkStart w:id="18" w:name="page19"/>
    <w:bookmarkEnd w:id="18"/>
    <w:p>
      <w:pPr>
        <w:jc w:val="both"/>
        <w:spacing w:after="0" w:line="294" w:lineRule="auto"/>
        <w:rPr>
          <w:sz w:val="20"/>
          <w:szCs w:val="20"/>
          <w:color w:val="auto"/>
        </w:rPr>
      </w:pPr>
      <w:r>
        <w:rPr>
          <w:rFonts w:ascii="Times New Roman" w:cs="Times New Roman" w:eastAsia="Times New Roman" w:hAnsi="Times New Roman"/>
          <w:sz w:val="19"/>
          <w:szCs w:val="19"/>
          <w:color w:val="auto"/>
        </w:rPr>
        <w:t>business, among others. Our growth rate could adversely affect investors’ perceptions of our business and the trading price of our Class A common stock could be adversely affected.</w:t>
      </w:r>
    </w:p>
    <w:p>
      <w:pPr>
        <w:spacing w:after="0" w:line="156"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Interruptions, delays, or outages in service from our co-located data centers and a variety of other factors, would impair the delivery of our services, require us to issue credits or pay penalties, and harm our business.</w:t>
      </w:r>
    </w:p>
    <w:p>
      <w:pPr>
        <w:spacing w:after="0" w:line="46"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local administrative actions, changes to legal or permitting requirements,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to terminate their subscriptions and adversely affect our ability to attract new customers. Our ability to attract and retain customers and licenses depends on our ability to provide customers and users with a highly reliable platform and even minor interruptions or delays in our services could harm our business.</w:t>
      </w:r>
    </w:p>
    <w:p>
      <w:pPr>
        <w:spacing w:after="0" w:line="80"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Additionally, if our data centers are unable to keep up with our increasing needs for capacity, customers may experience delays or interruptions in service as we seek to obtain additional capacity, which could result in the loss of customers who use our unified communications and collaboration platform because of its reliability and performance. We plan to continue our practice of opening new co-located data centers throughout the world to meet increased demand, but we may be unable to bring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additional data centers online in a timely manner, including as a result of current shortages for certain parts, such as servers.</w:t>
      </w:r>
    </w:p>
    <w:p>
      <w:pPr>
        <w:spacing w:after="0" w:line="151"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and other public health related measures,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We operate in competitive markets, and we must continue to compete effectively.</w:t>
      </w:r>
    </w:p>
    <w:p>
      <w:pPr>
        <w:spacing w:after="0" w:line="139"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The market for communication and collaboration technologies platforms is competitive and rapidly changing, and existing and new market entrants, particularly established companies with greater resources than we have, that provide technologies to improve communication and collaboration technologies platforms, such as AI and machine learning, could also increase the level of competition in the market. Certain features of our current platform compete in the communication and collaboration technologies market with products offered by:</w:t>
      </w:r>
    </w:p>
    <w:p>
      <w:pPr>
        <w:spacing w:after="0" w:line="200" w:lineRule="exact"/>
        <w:rPr>
          <w:sz w:val="20"/>
          <w:szCs w:val="20"/>
          <w:color w:val="auto"/>
        </w:rPr>
      </w:pPr>
    </w:p>
    <w:p>
      <w:pPr>
        <w:spacing w:after="0" w:line="224" w:lineRule="exact"/>
        <w:rPr>
          <w:sz w:val="20"/>
          <w:szCs w:val="20"/>
          <w:color w:val="auto"/>
        </w:rPr>
      </w:pPr>
    </w:p>
    <w:p>
      <w:pPr>
        <w:ind w:left="700" w:hanging="350"/>
        <w:spacing w:after="0" w:line="294"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bundled productivity solutions providers with video functionality, including Microsoft Teams and Google G Suite and Meet products;</w:t>
      </w:r>
    </w:p>
    <w:p>
      <w:pPr>
        <w:spacing w:after="0" w:line="4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legacy web-based meeting providers, including Cisco Webex and GoTo;</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UCaaS and legacy PBX providers, including Avaya, RingCentral, and 8x8; and</w:t>
      </w:r>
    </w:p>
    <w:p>
      <w:pPr>
        <w:spacing w:after="0" w:line="130"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consumer-facing platforms that can support small- or medium-sized businesses, including Amazon, Apple, and Facebook.</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1880" w:h="15480" w:orient="portrait"/>
          <w:cols w:equalWidth="0" w:num="1">
            <w:col w:w="9960"/>
          </w:cols>
          <w:pgMar w:left="960" w:top="821" w:right="960" w:bottom="0" w:gutter="0" w:footer="0" w:header="0"/>
          <w:type w:val="continuous"/>
        </w:sectPr>
      </w:pPr>
    </w:p>
    <w:bookmarkStart w:id="19" w:name="page20"/>
    <w:bookmarkEnd w:id="19"/>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Other large established companies may also make investments in video communications tools. In addition, as we introduce new products and services into our platform, and with the introduction of new technologies and market entrants, including AI, we expect competition to intensify in the future.</w:t>
      </w:r>
    </w:p>
    <w:p>
      <w:pPr>
        <w:spacing w:after="0" w:line="64"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In February 2022, we launched Zoom Contact Center, an omnichannel contact center solution that is optimized for video, which competes against companies that offer similar services, such as Five9, Inc., Genesys and NICE inContact, and new competitors that may enter that market in the future. As we continue to build out our platform, we may face increased competition against companies that offer similar services and new competitors that may enter that market in the future. During the COVID-19 pandemic, we saw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Some of our competitors may make acquisitions or strategic investments or enter into strategic relationships to offer a broader range of products and services than we do, which may prevent us from using such third parties' technology or offering such products or services. These combinations may make it more difficult for us to compete effectively. We expect these trends to continue as competitors attempt to strengthen or maintain their market positions.</w:t>
      </w:r>
    </w:p>
    <w:p>
      <w:pPr>
        <w:spacing w:after="0" w:line="88"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customers a free period of time at the beginning of the subscription term that can result in deferred billings or long-term accounts receivable and increase the risk of loss on uncollected accounts receivable.</w:t>
      </w:r>
    </w:p>
    <w:p>
      <w:pPr>
        <w:spacing w:after="0" w:line="191"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Our results have fluctuated and may in the future fluctuate significantly and may not fully reflect the underlying performance of our business.</w:t>
      </w:r>
    </w:p>
    <w:p>
      <w:pPr>
        <w:spacing w:after="0" w:line="46"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Our results of operations have fluctuated and may in the future fluctuate significantly, and period-to-period comparisons of our results of operations may not be meaningful. Accordingly, the results of any one quarter should not be relied upon as an indication of future performance. Our results of operations may fluctuate as a result of a variety of factors, many of which are outside of our control, and as a result, may not fully reflect the underlying performance of our business. For example, during fiscal year 2021, we experienced rapid growth in usage of our unified communications and collaboration platform largely due to the COVID-19 pandemic, a significant portion of which was attributable to free Basic accounts, which do not generate any revenue. To meet this increased demand, we have incurred and expect to continue to incur significant costs associated with upgrading our infrastructure and expanding our capacity. Fluctuation in our results may negatively impact the value of our securities. Factors that may cause fluctuations in our results of operations include, without limitation, those listed below:</w:t>
      </w:r>
    </w:p>
    <w:p>
      <w:pPr>
        <w:spacing w:after="0" w:line="83" w:lineRule="exact"/>
        <w:rPr>
          <w:sz w:val="20"/>
          <w:szCs w:val="20"/>
          <w:color w:val="auto"/>
        </w:rPr>
      </w:pPr>
    </w:p>
    <w:p>
      <w:pPr>
        <w:ind w:left="700" w:hanging="350"/>
        <w:spacing w:after="0"/>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retain and upgrade customers to higher-priced plans;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attract new customers and upgrade free users to one of our paid offerings;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hire and retain employees, in particular those responsible for the selling or marketing of our platform;</w:t>
      </w:r>
    </w:p>
    <w:p>
      <w:pPr>
        <w:spacing w:after="0" w:line="130" w:lineRule="exact"/>
        <w:rPr>
          <w:rFonts w:ascii="Times New Roman" w:cs="Times New Roman" w:eastAsia="Times New Roman" w:hAnsi="Times New Roman"/>
          <w:sz w:val="19"/>
          <w:szCs w:val="19"/>
          <w:color w:val="auto"/>
        </w:rPr>
      </w:pPr>
    </w:p>
    <w:p>
      <w:pPr>
        <w:jc w:val="both"/>
        <w:ind w:left="700" w:hanging="350"/>
        <w:spacing w:after="0" w:line="275" w:lineRule="auto"/>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64"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way we organize and compensate our sales teams;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timing of expenses and recognition of revenue;</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increase sales to large organizations;</w:t>
      </w:r>
    </w:p>
    <w:p>
      <w:pPr>
        <w:spacing w:after="0" w:line="130"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length of our sales cycles and linearity of our bookings, especially with respect to sales to large enterprises and highly regulated industries, including financial services and U.S. federal and state and foreign governmental agencies;</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880" w:h="15480" w:orient="portrait"/>
          <w:cols w:equalWidth="0" w:num="1">
            <w:col w:w="9960"/>
          </w:cols>
          <w:pgMar w:left="960" w:top="821" w:right="960" w:bottom="0" w:gutter="0" w:footer="0" w:header="0"/>
          <w:type w:val="continuous"/>
        </w:sectPr>
      </w:pPr>
    </w:p>
    <w:bookmarkStart w:id="20" w:name="page21"/>
    <w:bookmarkEnd w:id="20"/>
    <w:p>
      <w:pPr>
        <w:jc w:val="both"/>
        <w:ind w:left="700" w:hanging="350"/>
        <w:spacing w:after="0" w:line="275" w:lineRule="auto"/>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64"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timing and effectiveness of new sales and marketing initiatives;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our pricing policies or those of our competitors;</w:t>
      </w:r>
    </w:p>
    <w:p>
      <w:pPr>
        <w:spacing w:after="0" w:line="130"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hire and retain experienced research and development personnel to design new products, features, and functionality that meet our privacy and security standards;</w:t>
      </w:r>
    </w:p>
    <w:p>
      <w:pPr>
        <w:spacing w:after="0" w:line="4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timing and success of new products, features, and functionality by us or our competitors;</w:t>
      </w:r>
    </w:p>
    <w:p>
      <w:pPr>
        <w:spacing w:after="0" w:line="130"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interruptions or delays in our service, network outages, or actual, alleged, or perceived privacy violations or issues or security vulnerabilities, incidents, or breaches;</w:t>
      </w:r>
    </w:p>
    <w:p>
      <w:pPr>
        <w:spacing w:after="0" w:line="47"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lawsuits, regulatory actions or investigations, legislator scrutiny, or negative publicity arising from actual, alleged, or perceived privacy violations or issues or security vulnerabilities, incidents, or breaches;</w:t>
      </w:r>
    </w:p>
    <w:p>
      <w:pPr>
        <w:spacing w:after="0" w:line="4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competitive dynamics of our industry, including consolidation among competitors;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laws and regulations that impact our business;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large indemnification payments to our users or other third parties;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timing of expenses related to any future acquisitions; and</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economic and market conditions.</w:t>
      </w:r>
    </w:p>
    <w:p>
      <w:pPr>
        <w:spacing w:after="0" w:line="239"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Our business may be significantly affected by changes in the economy, including any resulting effect on consumer or business spending.</w:t>
      </w:r>
    </w:p>
    <w:p>
      <w:pPr>
        <w:spacing w:after="0" w:line="46"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Our business may be significantly affected by changes in the economy, such as high inflation and the responses by central banking authorities to control such inflation, recessionary or uncertain environments, U.S. federal debt ceiling negotiations and the risk of a U.S. government shutdown, fluctuations in the foreign currency exchange rates and global impacts, including the Russian invasion of Ukraine, the conflict in Israel and the surrounding area and the United States' ongoing trade disputes with China and other countries. While some customers may view a subscription to our platform as a cost-saving purchase, decreasing the need for business travel, others may view a subscription to our platform as a discretionary purchase, and our customers may reduce their information technology spending on our platform during an economic downturn or during times of economic uncertainty. Given current economic conditions, including inflation, we have experienced and may continue to experience a loss of users and customers, as well as a reduction in demand for our platform, especially if the effects of the current economic environment have a prolonged impact on various industries that our unified communications and collaboration platform addresses.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Moreover, we have lost and may continue to lose customers as a result of such customers ceasing to do business, and we have experienced and may continue to experience a material increase in longer payment cycles and greater difficulty in collecting accounts receivable from certain customers. These issues may continue in the future if current economic conditions continue or worsen.</w:t>
      </w:r>
    </w:p>
    <w:p>
      <w:pPr>
        <w:spacing w:after="0" w:line="200" w:lineRule="exact"/>
        <w:rPr>
          <w:sz w:val="20"/>
          <w:szCs w:val="20"/>
          <w:color w:val="auto"/>
        </w:rPr>
      </w:pPr>
    </w:p>
    <w:p>
      <w:pPr>
        <w:spacing w:after="0" w:line="225"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As we increase sales to large organizations, our sales cycles have and could continue to lengthen, and we could experience greater deployment challenges.</w:t>
      </w:r>
    </w:p>
    <w:p>
      <w:pPr>
        <w:spacing w:after="0" w:line="46"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We invest significant resources into sales to large organizations. Large organizations typically undertake a significant evaluation and negotiation process due to their leverage, size, organizational structure, and approval requirements, all of which have and may continue to lengthen our sales cycle. We have also faced and may in the future face unexpected deployment challenges with large organizations or more complicated deployment of our some or all aspects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1880" w:h="15480" w:orient="portrait"/>
          <w:cols w:equalWidth="0" w:num="1">
            <w:col w:w="9960"/>
          </w:cols>
          <w:pgMar w:left="960" w:top="821" w:right="960" w:bottom="0" w:gutter="0" w:footer="0" w:header="0"/>
          <w:type w:val="continuous"/>
        </w:sectPr>
      </w:pPr>
    </w:p>
    <w:bookmarkStart w:id="21" w:name="page22"/>
    <w:bookmarkEnd w:id="21"/>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46"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72"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72" w:lineRule="exact"/>
        <w:rPr>
          <w:sz w:val="20"/>
          <w:szCs w:val="20"/>
          <w:color w:val="auto"/>
        </w:rPr>
      </w:pPr>
    </w:p>
    <w:p>
      <w:pPr>
        <w:ind w:left="700" w:hanging="35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awareness of the communications and collaboration technologies category;</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availability of products and services that compete with ours;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modes of communications and collaboration that may be developed in the future;</w:t>
      </w:r>
    </w:p>
    <w:p>
      <w:pPr>
        <w:spacing w:after="0" w:line="130"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reduction in customer information technology spending budgets, or a consolidation of spending budgets on our competitors' platforms, especially during periods of inflation or recessionary or uncertain economic environments;</w:t>
      </w:r>
    </w:p>
    <w:p>
      <w:pPr>
        <w:spacing w:after="0" w:line="4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ease of adoption and use;</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features and platform experience;</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reliability of our platform, including frequency of outages;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performance;</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brand;</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user support; and</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pricing.</w:t>
      </w:r>
    </w:p>
    <w:p>
      <w:pPr>
        <w:spacing w:after="0" w:line="131"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73"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We have incurred net losses in the past and there are no assurances we will be able to maintain or increase profitability in the future.</w:t>
      </w:r>
    </w:p>
    <w:p>
      <w:pPr>
        <w:spacing w:after="0" w:line="46"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We have incurred net losses in the past and could incur net losses in the future. We intend to continue to expend significant funds on our sales and marketing efforts to attract new customers, expand the number of licenses and services used by our customers and develop and enhance our products. We also intend to continue investing in general corporate purposes, including operations, hiring additional personnel, including through acquisitions of other businesses, upgrading our infrastructure, addressing security and privacy issues, and expanding into new geographies and markets. To the extent we are successful in increasing our customer base, we may also incur increased losses because, other than sales commissions, the costs associated with acquiring customers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While free users continue to be a meaningful portion of the user base, we have directed marketing programs focused on converting free users to paid subscriptions. Some of these users have upgraded to a paid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customer adoption and renewal of our platform, the entry of competitive products and services, or the success of existing competitive products and services. As a result, we may not increase or maintain profitability in future periods. If we fail to grow our revenue sufficiently to keep pace with our investments and other expenses, our business would be harmed.</w:t>
      </w:r>
    </w:p>
    <w:p>
      <w:pPr>
        <w:spacing w:after="0" w:line="190" w:lineRule="exact"/>
        <w:rPr>
          <w:sz w:val="20"/>
          <w:szCs w:val="20"/>
          <w:color w:val="auto"/>
        </w:rPr>
      </w:pPr>
    </w:p>
    <w:p>
      <w:pPr>
        <w:jc w:val="both"/>
        <w:ind w:firstLine="524"/>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ectPr>
          <w:pgSz w:w="11880" w:h="15480" w:orient="portrait"/>
          <w:cols w:equalWidth="0" w:num="1">
            <w:col w:w="9960"/>
          </w:cols>
          <w:pgMar w:left="960" w:top="81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880" w:h="15480" w:orient="portrait"/>
          <w:cols w:equalWidth="0" w:num="1">
            <w:col w:w="9960"/>
          </w:cols>
          <w:pgMar w:left="960" w:top="813" w:right="960" w:bottom="0" w:gutter="0" w:footer="0" w:header="0"/>
          <w:type w:val="continuous"/>
        </w:sectPr>
      </w:pPr>
    </w:p>
    <w:bookmarkStart w:id="22" w:name="page23"/>
    <w:bookmarkEnd w:id="22"/>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and some of these third parties can make it more difficult for our platform to interoperate with their systems in favor of competitive platforms.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83"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83"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In addition, we provide, develop, and create applications for our platform partners that integrate our platform with our partners’ various offerings. For example, our Zoom One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75"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We may not be able to respond to rapid technological changes, extend our platform, or develop new features.</w:t>
      </w:r>
    </w:p>
    <w:p>
      <w:pPr>
        <w:spacing w:after="0" w:line="139"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The communications and collaboration technologies market is characterized by rapid technological change and frequent new product and service introductions. Our ability to grow our customer base and increase our revenue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In particular, advancements in technology such as AI and machine learning are changing the way people work, and businesses that are slow to adopt these new technologies may face a competitive disadvantage. We invest significantly in research and development, and our goal is to focus our spending on measures that improve quality and ease of adoption, enhance privacy and security, and create organic demand for our platform. There is no assurance that new additions or other future enhancements to our platform or new product experiences, features, or capabilities will be compelling to our customers or gain market acceptance, or that they will perform as expected. If our research and development investments do not accurately anticipate demand or if we fail to develop our platform in a manner that satisfies customer preferences and requirements in a timely and cost-effective manner, we may fail to retain our existing customers or increase demand for our platform.</w:t>
      </w:r>
    </w:p>
    <w:p>
      <w:pPr>
        <w:spacing w:after="0" w:line="315"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The introduction of new products and services by competitors or the development of entirely new technologies to replace existing offerings, such as AI-powered communication and collaboration tools,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users do not widely adopt our</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880" w:h="15480" w:orient="portrait"/>
          <w:cols w:equalWidth="0" w:num="1">
            <w:col w:w="9960"/>
          </w:cols>
          <w:pgMar w:left="960" w:top="821" w:right="960" w:bottom="0" w:gutter="0" w:footer="0" w:header="0"/>
          <w:type w:val="continuous"/>
        </w:sectPr>
      </w:pPr>
    </w:p>
    <w:bookmarkStart w:id="23" w:name="page24"/>
    <w:bookmarkEnd w:id="23"/>
    <w:p>
      <w:pPr>
        <w:jc w:val="both"/>
        <w:spacing w:after="0" w:line="275" w:lineRule="auto"/>
        <w:rPr>
          <w:sz w:val="20"/>
          <w:szCs w:val="20"/>
          <w:color w:val="auto"/>
        </w:rPr>
      </w:pPr>
      <w:r>
        <w:rPr>
          <w:rFonts w:ascii="Times New Roman" w:cs="Times New Roman" w:eastAsia="Times New Roman" w:hAnsi="Times New Roman"/>
          <w:sz w:val="19"/>
          <w:szCs w:val="19"/>
          <w:color w:val="auto"/>
        </w:rPr>
        <w:t>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56" w:lineRule="exact"/>
        <w:rPr>
          <w:sz w:val="20"/>
          <w:szCs w:val="20"/>
          <w:color w:val="auto"/>
        </w:rPr>
      </w:pPr>
    </w:p>
    <w:p>
      <w:pPr>
        <w:jc w:val="both"/>
        <w:ind w:firstLine="524"/>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use generative AI including in our products and services, which may result in operational challenges, legal liability, reputational concerns, competitive risks and regulatory concerns that could adversely affect our business and results of operations.</w:t>
      </w:r>
    </w:p>
    <w:p>
      <w:pPr>
        <w:spacing w:after="0" w:line="67"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We use generative AI processes and algorithms, including by deploying generative AI features in our products and services, which may result in adverse effects to our operations, legal liability, reputation and competitive risks. The use of generative AI at scale is relatively new, and may lead to challenges, concerns and risks that are significant or that we may not be able to predict. For example, AI algorithms use machine learning (“ML”) and predictive analytics which may be insufficient, biased, inaccurate or of poor quality, which could result in customer rejection or skepticism of our products, adversely impact the rights of individuals, affect our reputation or brand, and negatively affect our financial results. Additionally, we could face claims from third parties claiming infringement of their intellectual property or other proprietary rights with respect to materials used or created by generative AI tools or features that we believed to be available for use and not subject to such rights. The investment required to bring AI features to market and the costs associated with providing these features to our customers may be significant, and we may be unable to recover these costs if customers and users do not widely adopt these features. Further, use of generative AI tools by our employees or others could result in disclosure of confidential or sensitive company and customer data, reputational harm, and legal liability.</w:t>
      </w:r>
    </w:p>
    <w:p>
      <w:pPr>
        <w:spacing w:after="0" w:line="191"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46"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Our ability to increase our customer base and achieve broader market acceptance of our products and services will depend to a significant extent on our ability to expand our marketing and sales operations. We plan to continue expanding our sales and marketing capabilities, including through strategic partners, both domestically and internationally. If we are unable to expand our sales and marketing operations, our future revenue growth and business could be adversely impacted.</w:t>
      </w:r>
    </w:p>
    <w:p>
      <w:pPr>
        <w:spacing w:after="0" w:line="72"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as the cost to acquire customers through these efforts is high. Our business will be harmed if our efforts do not generate a correspondingly significant increase in revenue.</w:t>
      </w:r>
    </w:p>
    <w:p>
      <w:pPr>
        <w:spacing w:after="0" w:line="184" w:lineRule="exact"/>
        <w:rPr>
          <w:sz w:val="20"/>
          <w:szCs w:val="20"/>
          <w:color w:val="auto"/>
        </w:rPr>
      </w:pPr>
    </w:p>
    <w:p>
      <w:pPr>
        <w:jc w:val="both"/>
        <w:ind w:firstLine="524"/>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Failures in internet infrastructure or interference with broadband access could cause current or potential users to believe that our systems are unreliable, possibly leading our customers to switch to our competitors, or to cancel their subscriptions to our platform.</w:t>
      </w:r>
    </w:p>
    <w:p>
      <w:pPr>
        <w:spacing w:after="0" w:line="67"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has grown and their usage of communications capacity has increased, we have been required to make additional investments in network capacity to maintain adequate data transmission speeds, the availability of which may be limited, or the cost of which may be on terms unacceptable to us. If adequate capacity does not continue to be available to us to support our user base in the future,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80"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ectPr>
          <w:pgSz w:w="11880" w:h="15480" w:orient="portrait"/>
          <w:cols w:equalWidth="0" w:num="1">
            <w:col w:w="9960"/>
          </w:cols>
          <w:pgMar w:left="960" w:top="821" w:right="960" w:bottom="0" w:gutter="0" w:footer="0" w:header="0"/>
        </w:sect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1880" w:h="15480" w:orient="portrait"/>
          <w:cols w:equalWidth="0" w:num="1">
            <w:col w:w="9960"/>
          </w:cols>
          <w:pgMar w:left="960" w:top="821" w:right="960" w:bottom="0" w:gutter="0" w:footer="0" w:header="0"/>
          <w:type w:val="continuous"/>
        </w:sectPr>
      </w:pPr>
    </w:p>
    <w:bookmarkStart w:id="24" w:name="page25"/>
    <w:bookmarkEnd w:id="24"/>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On January 4, 2018, the Federal Communications Commission (“FCC”) released an order reclassifying broadband internet access as an information service, a regulatory regime generally referred to as network neutrality,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October 27, 2020, the FCC adopted an order concluding that the three issues remanded by the court did not provide a basis to alter its conclusions in the 2018 order. On October 19, 2023, the FCC adopted a notice of proposed rulemaking that would reinstate the 2018 rules and asked for comment on that proposal and on potential changes to those rules. We cannot predict whether or when the FCC will adopt new rules or the impact of any rules that may be adopted on our operations or business.</w:t>
      </w:r>
    </w:p>
    <w:p>
      <w:pPr>
        <w:spacing w:after="0" w:line="88"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In addition, a number of states have adopted or are adopting or considering legislation or executive actions that would regulate the conduct of broadband providers. After a federal court judge denied a request for a preliminary injunction against California’s state-specific network neutrality law, California began enforcing that law on March 25, 2021. A number of other states have adopted or are adopting or considering legislation or executive actions that would regulate the conduct of broadband providers. A similar law in Vermont is subject to a pending challenge, but went into effect on April 20, 2022 and the challenge has been suspended until an appeal in another case addressing state powers to adopt internet regulation is resolved. We cannot predict whether the FCC order or other state initiatives will be enforced, modified, overturned, or vacated by legal action of the court, federal legislation, or the FCC. In addition, the status of state regimes may be affected by the FCC's action in its new network neutrality proceeding. Under the FCC’s current rules, broadband internet access providers may be able to charge web-based services such as ours for priority access or favor services offered by our competitors or by the internet access providers themselves, which could result in increased costs and a loss of existing customers, impair our ability to attract new customers, and harm our business.</w:t>
      </w:r>
    </w:p>
    <w:p>
      <w:pPr>
        <w:spacing w:after="0" w:line="83"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181"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Our security measures, and those of third parties upon which we rely,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users curtailing or ceasing their use of our products, our incurring significant liabilities, and our business being harmed.</w:t>
      </w:r>
    </w:p>
    <w:p>
      <w:pPr>
        <w:spacing w:after="0" w:line="78"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In the ordinary course of our business, we and the third parties upon which we rely collect, receive, store, process, generate, use, transfer, disclose, make accessible, protect, secure, dispose of, transmit, and share confidential, proprietary, and sensitive data, including data of ours, our customers, and our users, the data which includes personal information, customer and user content, health-related data, intellectual property, trade secrets, business plans, and financial information. We and the third parties upon which we rely face a variety of evolving threats, including but not limited to ransomware attacks, which could cause security incidents. Security incidents have occurred in the past and may occur in the future, resulting in unauthorized access to, loss or unauthorized disclosure of, or inadvertent disclosure of confidential, proprietary, and sensitive information.</w:t>
      </w:r>
    </w:p>
    <w:p>
      <w:pPr>
        <w:spacing w:after="0" w:line="78"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Cyberattacks, other malicious internet-based activity, online and offline fraud, and other similar activities threaten the confidentiality, integrity, and availability of our proprietary, confidential, and sensitive data and information technology systems, and those of the third parties upon which we rely. Cloud-based platform providers of products and services have been and are expected to continue to be targeted.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 and nation-state supported actors, and advanced persistent threat intrusions.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which could materially disrupt our systems and operations, supply chain, and ability to provide our services. We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w:t>
      </w:r>
    </w:p>
    <w:p>
      <w:pPr>
        <w:sectPr>
          <w:pgSz w:w="11880" w:h="15480" w:orient="portrait"/>
          <w:cols w:equalWidth="0" w:num="1">
            <w:col w:w="9960"/>
          </w:cols>
          <w:pgMar w:left="960" w:top="821" w:right="960" w:bottom="0"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1880" w:h="15480" w:orient="portrait"/>
          <w:cols w:equalWidth="0" w:num="1">
            <w:col w:w="9960"/>
          </w:cols>
          <w:pgMar w:left="960" w:top="821" w:right="960" w:bottom="0" w:gutter="0" w:footer="0" w:header="0"/>
          <w:type w:val="continuous"/>
        </w:sectPr>
      </w:pPr>
    </w:p>
    <w:bookmarkStart w:id="25" w:name="page26"/>
    <w:bookmarkEnd w:id="25"/>
    <w:p>
      <w:pPr>
        <w:jc w:val="both"/>
        <w:spacing w:after="0" w:line="259" w:lineRule="auto"/>
        <w:rPr>
          <w:sz w:val="20"/>
          <w:szCs w:val="20"/>
          <w:color w:val="auto"/>
        </w:rPr>
      </w:pPr>
      <w:r>
        <w:rPr>
          <w:rFonts w:ascii="Times New Roman" w:cs="Times New Roman" w:eastAsia="Times New Roman" w:hAnsi="Times New Roman"/>
          <w:sz w:val="19"/>
          <w:szCs w:val="19"/>
          <w:color w:val="auto"/>
        </w:rPr>
        <w:t>personnel misconduct or error, supply-chain attacks, software bugs, server malfunctions, software or hardware failures, loss of data or other information technology assets, adware, telecommunications failures, attacks enhanced or facilitated by AI, earthquakes, fires, floods, and other similar threats. Ransomware attacks, including those perpetrated by organized criminal threat actors, nation-states, and nation-state-supported actors, are becoming increasingly prevalent and severe and can lead to significant interruptions in our operations or our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Additionally, our platform, products, and services are relied on by a large number of companies worldwide and as a result, if our platform, products, or solutions are compromised, a significant number or all of our customers and their data could be simultaneously affected. The potential liability and associated consequences we could suffer as a result of such a large-scale event could be catastrophic and result in irreparable harm.</w:t>
      </w:r>
    </w:p>
    <w:p>
      <w:pPr>
        <w:spacing w:after="0" w:line="85"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5"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confidential, proprietary, and sensitive data in a variety of contexts, including, without limitation, cloud-based infrastructure, data center facilities, encryption and authentication technology, employee email, content delivery to customers, and other functions. We also rely on third-party service providers to provide other products, services and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83"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If our security measures are compromised, our reputation could be damaged; our data, information or intellectual property, or that of our customers, may be destroyed, stolen, or otherwise compromised; our business may be harmed; and we could incur significant liability. We take steps designed to detect and remediate vulnerabilities in our information systems and those of third parties upon whom we rely, but we may not detect or remediate all such vulnerabilities or do so in a timely manner. The threats and techniques used to exploit vulnerabilities change frequently and are often sophisticated in nature, and may be difficult to detect by security tools. Vulnerabilities could be exploited and result in a security incident. We have limited budgetary and human resources for detecting and remediating vulnerabilities and have experienced difficulties in hiring and retaining qualified security personnel, especially after our recent restructuring actions. We may experience delays in developing and deploying remedial measures, including patches, designed to address identified vulnerabilities, and our remedial measures may require action by our customers such as installing patches or updates, which may increase the amount of time a vulnerability remains unremediated. We have not always been able in the past and may be unable in the future to anticipate or prevent threats or techniques used to detect or exploit vulnerabilities in our information systems or third-party software, or obtain unauthorized access to or compromise our systems.</w:t>
      </w:r>
    </w:p>
    <w:p>
      <w:pPr>
        <w:spacing w:after="0" w:line="80"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and collaboration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Given the nature of our business and operations, our products and services will inevitably contain vulnerabilities or critical security defects that have not been identified or remediated and cannot be disclosed without compromising security. We have identified high or critical vulnerabilities in our products, services and information systems in the past, and we expect that we will continue to identify such vulnerabilities in the future. We cannot be certain that we will be able to address any vulnerabilities in our products,</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1880" w:h="15480" w:orient="portrait"/>
          <w:cols w:equalWidth="0" w:num="1">
            <w:col w:w="9960"/>
          </w:cols>
          <w:pgMar w:left="960" w:top="821" w:right="960" w:bottom="0" w:gutter="0" w:footer="0" w:header="0"/>
          <w:type w:val="continuous"/>
        </w:sectPr>
      </w:pPr>
    </w:p>
    <w:bookmarkStart w:id="26" w:name="page27"/>
    <w:bookmarkEnd w:id="26"/>
    <w:p>
      <w:pPr>
        <w:jc w:val="both"/>
        <w:spacing w:after="0" w:line="294" w:lineRule="auto"/>
        <w:rPr>
          <w:sz w:val="20"/>
          <w:szCs w:val="20"/>
          <w:color w:val="auto"/>
        </w:rPr>
      </w:pPr>
      <w:r>
        <w:rPr>
          <w:rFonts w:ascii="Times New Roman" w:cs="Times New Roman" w:eastAsia="Times New Roman" w:hAnsi="Times New Roman"/>
          <w:sz w:val="19"/>
          <w:szCs w:val="19"/>
          <w:color w:val="auto"/>
        </w:rPr>
        <w:t>services and information systems that we may become aware of in the future, or there may be delays in developing patches that can be effectively deployed to address vulnerabilities.</w:t>
      </w:r>
    </w:p>
    <w:p>
      <w:pPr>
        <w:spacing w:after="0" w:line="47"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We will continue to make prioritization decisions based on, among other things, our available resources, the efficacy of our security tools, and the increasing workload to meet certain security obligations, to determine which vulnerabilities or security defects to fix and the timing of these fixes, which could result in an exploit that compromises security. In some cases, customers are responsible for installing our software updates, and until they do so, their service remains subject to the vulnerabilities 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 Security incidents and vulnerabilities, and concerns regarding privacy, data protection, and information security may also prevent some of our customers and users from using or cause some of our customers and users to stop using our solutions and fail to upgrade or renew their subscriptions. Failures to meet customers’ and users’ expectations with respect to security and confidentiality of their data and information could damage our reputation and affect our ability to retain customers and users, attract new customers and users,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82"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Any of the previously identified or similar threats could cause a security incident or other interruption that could result in unauthorized, unlawful, or accidental acquisition, modification, destruction, loss, alteration, encryption, disclosure of, or access to confidential, proprietary, or sensitive data or our information technology systems, or those of the third parties upon whom we rely. A security incident or other interruption could disrupt our ability (and that of third parties upon whom we rely) to provide our services. We may expend significant resources or modify our business activities to try to protect against security incidents. Additionally, certain privacy, data protection, and information security obligations may require us to implement and maintain specific security measures or industry-standard or reasonable security measures to protect our information technology systems and sensitive data.</w:t>
      </w:r>
    </w:p>
    <w:p>
      <w:pPr>
        <w:spacing w:after="0" w:line="79"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Many governments have enacted laws requiring companies to provide notice of data security incidents, including those recently promulgated by the SEC. Such laws are inconsistent, and compliance in the event of a widespread data breach is costly. In addition, some of our customers require us to notify them of data security breaches.</w:t>
      </w:r>
    </w:p>
    <w:p>
      <w:pPr>
        <w:spacing w:after="0" w:line="64"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Actual or perceived security gaps or security compromises experienced in our industry or by our competitors, our customers, a third party upon whom we rely, or us could cause us to experience adverse consequences, such as government enforcement actions (for example, investigations, fines, penalties, audits, and inspections); additional reporting requirements and/or oversight; restrictions on processing sensitive data (including personal information);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7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In addition, while more than half of our employees are based in the United States, like many similarly situated technology companies, we have a sizable number of research and development personnel outside of the United States, including in China, which has exposed and could continue to expose us to governmental and regulatory as well as market and media scrutiny regarding the actual or perceived integrity of our platform or data security and privacy features.</w:t>
      </w:r>
    </w:p>
    <w:p>
      <w:pPr>
        <w:spacing w:after="0" w:line="72"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Increased usage of our services, novel uses of our services, and additional awareness of Zoom and our brand has led and could in the future lead to greater public scrutiny of, press related to, or a negative perception of our information security and potential vulnerabilities associated with our platform. For example, during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7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ectPr>
          <w:pgSz w:w="11880" w:h="15480" w:orient="portrait"/>
          <w:cols w:equalWidth="0" w:num="1">
            <w:col w:w="9960"/>
          </w:cols>
          <w:pgMar w:left="960" w:top="821" w:right="960" w:bottom="0" w:gutter="0" w:footer="0" w:header="0"/>
          <w:type w:val="continuous"/>
        </w:sectPr>
      </w:pPr>
    </w:p>
    <w:bookmarkStart w:id="27" w:name="page28"/>
    <w:bookmarkEnd w:id="27"/>
    <w:p>
      <w:pPr>
        <w:jc w:val="both"/>
        <w:spacing w:after="0" w:line="268" w:lineRule="auto"/>
        <w:rPr>
          <w:sz w:val="20"/>
          <w:szCs w:val="20"/>
          <w:color w:val="auto"/>
        </w:rPr>
      </w:pPr>
      <w:r>
        <w:rPr>
          <w:rFonts w:ascii="Times New Roman" w:cs="Times New Roman" w:eastAsia="Times New Roman" w:hAnsi="Times New Roman"/>
          <w:sz w:val="19"/>
          <w:szCs w:val="19"/>
          <w:color w:val="auto"/>
        </w:rPr>
        <w:t>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72"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73"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46"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We believe that maintaining and enhancing the Zoom brand is critical to expanding our base of customers and users and, in particular, conveying to users and the public that the Zoom brand consists of a broad communications and collaboration platform, rather than just one distinct product. For example, if users view the Zoom brand primarily as a video conferencing point solution or utility rather than as a platform that connects people through video, voice, chat and content sharing, or have a negative perception of our privacy and security, then our market position may be detrimentally impacted. We anticipate that, as our market becomes increasingly competitive, maintaining and enhancing our brand may become increasingly difficult and expensive. Any unfavorable publicity or perception of our platform, including from any delays or interruptions in service due to capacity constraints stemming from increased usage, from our privacy or security features, because of sentiment towards the providers of communication and collaboration technologies generally, or from our integration of new product functionalities using technologies with heightened public interest, could adversely affect our reputation and our ability to attract and retain customers.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196" w:lineRule="exact"/>
        <w:rPr>
          <w:sz w:val="20"/>
          <w:szCs w:val="20"/>
          <w:color w:val="auto"/>
        </w:rPr>
      </w:pPr>
    </w:p>
    <w:p>
      <w:pPr>
        <w:jc w:val="both"/>
        <w:ind w:firstLine="524"/>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If we fail to manage our growth effectively, our business, financial condition and results of operations may be harmed.</w:t>
      </w:r>
    </w:p>
    <w:p>
      <w:pPr>
        <w:spacing w:after="0" w:line="345"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While our employee headcount both in the United States and internationally has generally increased over time, we have undertaken, and may undertake from time to time in the future, restructuring actions to better align our financial model and. For example, in February 2023, we commenced certain restructuring actions, designed to reduce operating costs and continue advancing our ongoing commitment to profitable growth.</w:t>
      </w:r>
    </w:p>
    <w:p>
      <w:pPr>
        <w:spacing w:after="0" w:line="72"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These organizational changes may not achieve or sustain the targeted benefits, or the benefits, even if achieved, may not be adequate to meet our long-term profitability and operational expectations. Steps we take to manage our business operations, including workplace policies for employees, and to align our operations with our strategies for future growth, may adversely affect our reputation and brand, our ability to recruit, retain and motivate highly skilled personnel. Additionally, while we expect to continue to grow our business and operations over time, we have encountered in the past, and may encounter in the future, risks and uncertainties frequently experienced by growing companies in rapidly changing industries. Our ability to manage our growth and business operations effectively and to integrate new employees, technologies and acquisitions into our existing business will require us to continue to expend resources to continue to support our global user-base and to retain, attract, train, motivate and manage employees. This places a continuous, significant strain on our management, operational, and financial resources. If we fail to achieve the necessary level of efficiency in our organization as it grows, or if we are not able to accurately forecast future growth, our business would be harmed.</w:t>
      </w:r>
    </w:p>
    <w:p>
      <w:pPr>
        <w:spacing w:after="0" w:line="194"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Our ability to sell subscriptions to our platform could be harmed by real or perceived material defects or errors in our platform.</w:t>
      </w:r>
    </w:p>
    <w:p>
      <w:pPr>
        <w:spacing w:after="0" w:line="46"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ectPr>
          <w:pgSz w:w="11880" w:h="15480" w:orient="portrait"/>
          <w:cols w:equalWidth="0" w:num="1">
            <w:col w:w="9960"/>
          </w:cols>
          <w:pgMar w:left="960" w:top="821" w:right="960" w:bottom="0" w:gutter="0" w:footer="0" w:header="0"/>
          <w:type w:val="continuous"/>
        </w:sectPr>
      </w:pPr>
    </w:p>
    <w:bookmarkStart w:id="28" w:name="page29"/>
    <w:bookmarkEnd w:id="28"/>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64" w:lineRule="exact"/>
        <w:rPr>
          <w:sz w:val="20"/>
          <w:szCs w:val="20"/>
          <w:color w:val="auto"/>
        </w:rPr>
      </w:pPr>
    </w:p>
    <w:p>
      <w:pPr>
        <w:ind w:left="700" w:hanging="350"/>
        <w:spacing w:after="0"/>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a reduction in revenue or delay in market acceptance of our platform;</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 us to issue refunds to our customers or expose us to claims for damages;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us to lose existing customers and make it more difficult to attract new customers;</w:t>
      </w:r>
    </w:p>
    <w:p>
      <w:pPr>
        <w:spacing w:after="0" w:line="130"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divert our development resources or require us to make extensive changes to our platform, which would increase our expenses;</w:t>
      </w:r>
    </w:p>
    <w:p>
      <w:pPr>
        <w:spacing w:after="0" w:line="4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 our technical support costs; and</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harm our reputation and brand.</w:t>
      </w:r>
    </w:p>
    <w:p>
      <w:pPr>
        <w:spacing w:after="0" w:line="239"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If we were to lose the services of our Chief Executive Officer or other members of our senior management team, we may not be able to execute our business strategy.</w:t>
      </w:r>
    </w:p>
    <w:p>
      <w:pPr>
        <w:spacing w:after="0" w:line="46"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may be disruptive to our business.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191"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46"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which may be exacerbated by our recent restructuring actions and any similar future actions. In addition, our recruiting personnel, methodology, and approach may need to be altered to address a changing candidate pool and profile. We may not be able to identify or implement such changes in a timely manner. In addition, we have experienced and may continue to experience employee turnover as a result of our recent restructuring actions.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spacing w:after="0" w:line="83"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79"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1880" w:h="15480" w:orient="portrait"/>
          <w:cols w:equalWidth="0" w:num="1">
            <w:col w:w="9960"/>
          </w:cols>
          <w:pgMar w:left="960" w:top="821" w:right="960" w:bottom="0" w:gutter="0" w:footer="0" w:header="0"/>
          <w:type w:val="continuous"/>
        </w:sectPr>
      </w:pPr>
    </w:p>
    <w:bookmarkStart w:id="29" w:name="page30"/>
    <w:bookmarkEnd w:id="29"/>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In addition, as our stock price has fluctuated since our initial public offering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 volatility of our stock price may make our equity compensation less attractive to current and potential employees, and could contribute to increased turnover or difficulties in hiring.</w:t>
      </w:r>
    </w:p>
    <w:p>
      <w:pPr>
        <w:spacing w:after="0" w:line="184"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We have significant and expanding operations outside the United States, which may subject us to increased business, regulatory and economic risks that could harm our business.</w:t>
      </w:r>
    </w:p>
    <w:p>
      <w:pPr>
        <w:spacing w:after="0" w:line="46" w:lineRule="exact"/>
        <w:rPr>
          <w:sz w:val="20"/>
          <w:szCs w:val="20"/>
          <w:color w:val="auto"/>
        </w:rPr>
      </w:pPr>
    </w:p>
    <w:p>
      <w:pPr>
        <w:jc w:val="both"/>
        <w:ind w:firstLine="524"/>
        <w:spacing w:after="0" w:line="257" w:lineRule="auto"/>
        <w:rPr>
          <w:sz w:val="20"/>
          <w:szCs w:val="20"/>
          <w:color w:val="auto"/>
        </w:rPr>
      </w:pPr>
      <w:r>
        <w:rPr>
          <w:rFonts w:ascii="Times New Roman" w:cs="Times New Roman" w:eastAsia="Times New Roman" w:hAnsi="Times New Roman"/>
          <w:sz w:val="19"/>
          <w:szCs w:val="19"/>
          <w:color w:val="auto"/>
        </w:rPr>
        <w:t>Our platform addresses the communications and collaboration needs of users worldwide, and we see international expansion as a major opportunity. Our revenue from APAC and EMEA collectively represented 28.7% and 30.5%, and 33.3% of our revenue for the fiscal years ended January 31, 2024, 2023, and 2022, respectively. We plan to add local sales support in further select international markets over time. Our customers include multinational corporations with global users, and we expect to continue to expand our international operations, which includes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If we are not able to satisfy certain government- and industry-specific requirements, we have in the past and may in the future experience service outages or other adverse consequences, including interference with our local operations or restrictions on our ability to continue our operations in certain jurisdictions, that would impair our ability to operate or expand further into certain markets.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services, would be adversely impacted as a significant portion of our research and development organization resides in China. In addition, our ability to manage our business and conduct our operations internationally in the future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3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Operating internationally subjects us to new risks and increases risks that we currently face, including risks associated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w:t>
      </w:r>
    </w:p>
    <w:p>
      <w:pPr>
        <w:spacing w:after="0" w:line="131" w:lineRule="exact"/>
        <w:rPr>
          <w:sz w:val="20"/>
          <w:szCs w:val="20"/>
          <w:color w:val="auto"/>
        </w:rPr>
      </w:pPr>
    </w:p>
    <w:p>
      <w:pPr>
        <w:jc w:val="both"/>
        <w:ind w:left="700" w:hanging="350"/>
        <w:spacing w:after="0" w:line="275"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64" w:lineRule="exact"/>
        <w:rPr>
          <w:rFonts w:ascii="Times New Roman" w:cs="Times New Roman" w:eastAsia="Times New Roman" w:hAnsi="Times New Roman"/>
          <w:sz w:val="19"/>
          <w:szCs w:val="19"/>
          <w:color w:val="auto"/>
        </w:rPr>
      </w:pPr>
    </w:p>
    <w:p>
      <w:pPr>
        <w:jc w:val="both"/>
        <w:ind w:left="700" w:hanging="350"/>
        <w:spacing w:after="0" w:line="268"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compliance with applicable international laws and regulations, including laws and regulations with respect to privacy, information security, telecommunications requirements, data protection, consumer protection, automatic renewals, and unsolicited email, and the risk of penalties to us and individual members of management or employees if our practices are deemed to be out of compliance;</w:t>
      </w:r>
    </w:p>
    <w:p>
      <w:pPr>
        <w:spacing w:after="0" w:line="72"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operating in foreign jurisdictions where the government may impede or interrupt our ability to provide our services or develop new products, features, and functionality;</w:t>
      </w:r>
    </w:p>
    <w:p>
      <w:pPr>
        <w:spacing w:after="0" w:line="47"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 of an employee base in jurisdictions that may not give us the same employment and retention flexibility as the United States;</w:t>
      </w:r>
    </w:p>
    <w:p>
      <w:pPr>
        <w:spacing w:after="0" w:line="47"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operating in jurisdictions that do not protect intellectual property rights to the same extent as the United States and the practical enforcement of such intellectual property rights outside of the United States;</w:t>
      </w:r>
    </w:p>
    <w:p>
      <w:pPr>
        <w:spacing w:after="0" w:line="47" w:lineRule="exact"/>
        <w:rPr>
          <w:rFonts w:ascii="Times New Roman" w:cs="Times New Roman" w:eastAsia="Times New Roman" w:hAnsi="Times New Roman"/>
          <w:sz w:val="19"/>
          <w:szCs w:val="19"/>
          <w:color w:val="auto"/>
        </w:rPr>
      </w:pPr>
    </w:p>
    <w:p>
      <w:pPr>
        <w:jc w:val="both"/>
        <w:ind w:left="700" w:hanging="350"/>
        <w:spacing w:after="0" w:line="275"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foreign government interference with our intellectual property that resides outside of the United States, such as the risk of changes in foreign laws that could restrict our ability to use our intellectual property outside of the foreign jurisdiction in which we developed it;</w:t>
      </w:r>
    </w:p>
    <w:p>
      <w:pPr>
        <w:spacing w:after="0" w:line="64"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integration with partners outside of the United States;</w:t>
      </w:r>
    </w:p>
    <w:p>
      <w:pPr>
        <w:spacing w:after="0" w:line="130" w:lineRule="exact"/>
        <w:rPr>
          <w:rFonts w:ascii="Times New Roman" w:cs="Times New Roman" w:eastAsia="Times New Roman" w:hAnsi="Times New Roman"/>
          <w:sz w:val="19"/>
          <w:szCs w:val="19"/>
          <w:color w:val="auto"/>
        </w:rPr>
      </w:pPr>
    </w:p>
    <w:p>
      <w:pPr>
        <w:jc w:val="both"/>
        <w:ind w:left="700" w:hanging="350"/>
        <w:spacing w:after="0" w:line="275"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ectPr>
          <w:pgSz w:w="11880" w:h="15480" w:orient="portrait"/>
          <w:cols w:equalWidth="0" w:num="1">
            <w:col w:w="9960"/>
          </w:cols>
          <w:pgMar w:left="960" w:top="821" w:right="960" w:bottom="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1880" w:h="15480" w:orient="portrait"/>
          <w:cols w:equalWidth="0" w:num="1">
            <w:col w:w="9960"/>
          </w:cols>
          <w:pgMar w:left="960" w:top="821" w:right="960" w:bottom="0" w:gutter="0" w:footer="0" w:header="0"/>
          <w:type w:val="continuous"/>
        </w:sectPr>
      </w:pPr>
    </w:p>
    <w:bookmarkStart w:id="30" w:name="page31"/>
    <w:bookmarkEnd w:id="30"/>
    <w:p>
      <w:pPr>
        <w:ind w:left="700" w:hanging="350"/>
        <w:spacing w:after="0" w:line="294" w:lineRule="auto"/>
        <w:tabs>
          <w:tab w:leader="none" w:pos="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foreign exchange controls that might require significant lead time in setting up operations in certain geographic territories and might prevent us from repatriating cash earned outside the United States;</w:t>
      </w:r>
    </w:p>
    <w:p>
      <w:pPr>
        <w:spacing w:after="0" w:line="4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political and economic instability and other political tensions between countries in which we do business;</w:t>
      </w:r>
    </w:p>
    <w:p>
      <w:pPr>
        <w:spacing w:after="0" w:line="130" w:lineRule="exact"/>
        <w:rPr>
          <w:rFonts w:ascii="Times New Roman" w:cs="Times New Roman" w:eastAsia="Times New Roman" w:hAnsi="Times New Roman"/>
          <w:sz w:val="19"/>
          <w:szCs w:val="19"/>
          <w:color w:val="auto"/>
        </w:rPr>
      </w:pPr>
    </w:p>
    <w:p>
      <w:pPr>
        <w:jc w:val="both"/>
        <w:ind w:left="700" w:hanging="350"/>
        <w:spacing w:after="0" w:line="275" w:lineRule="auto"/>
        <w:tabs>
          <w:tab w:leader="none" w:pos="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diplomatic and trade relationships, including the continuing deterioration in diplomatic relations between the United States and China, the conflict in Israel and the surrounding area, and the continuing war between Russia and Ukraine;</w:t>
      </w:r>
    </w:p>
    <w:p>
      <w:pPr>
        <w:spacing w:after="0" w:line="64" w:lineRule="exact"/>
        <w:rPr>
          <w:rFonts w:ascii="Times New Roman" w:cs="Times New Roman" w:eastAsia="Times New Roman" w:hAnsi="Times New Roman"/>
          <w:sz w:val="19"/>
          <w:szCs w:val="19"/>
          <w:color w:val="auto"/>
        </w:rPr>
      </w:pPr>
    </w:p>
    <w:p>
      <w:pPr>
        <w:jc w:val="both"/>
        <w:ind w:left="700" w:hanging="350"/>
        <w:spacing w:after="0" w:line="268" w:lineRule="auto"/>
        <w:tabs>
          <w:tab w:leader="none" w:pos="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generally longer payment cycles and greater difficulty in collecting accounts receivable, a risk that may increase as a result of recent macroeconomic conditions, such as high inflation, recessionary environments, recent bank failures and related uncertainties, and fluctuations in foreign currency exchange rates, weighing on our customers' ability to pay for our service on a timely basis;</w:t>
      </w:r>
    </w:p>
    <w:p>
      <w:pPr>
        <w:spacing w:after="0" w:line="72" w:lineRule="exact"/>
        <w:rPr>
          <w:rFonts w:ascii="Times New Roman" w:cs="Times New Roman" w:eastAsia="Times New Roman" w:hAnsi="Times New Roman"/>
          <w:sz w:val="19"/>
          <w:szCs w:val="19"/>
          <w:color w:val="auto"/>
        </w:rPr>
      </w:pPr>
    </w:p>
    <w:p>
      <w:pPr>
        <w:jc w:val="both"/>
        <w:ind w:left="700" w:hanging="350"/>
        <w:spacing w:after="0" w:line="275" w:lineRule="auto"/>
        <w:tabs>
          <w:tab w:leader="none" w:pos="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64"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higher costs of doing business internationally, including increased accounting, travel, infrastructure, and legal compliance costs.</w:t>
      </w:r>
    </w:p>
    <w:p>
      <w:pPr>
        <w:spacing w:after="0" w:line="47"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As described above, following Russia’s military invasion of Ukraine in February 2022, the United States, European Union, and other nations announced various sanctions against Russia and export restrictions against Russia and Belarus. Such restrictions include blocking sanctions on some of the largest state-owned and private Russian financial institutions, and their removal from the Society for Worldwide Interbank Financial Telecommunication, or the SWIFT, payment system. The invasion of Ukraine and the retaliatory measures that have been taken, and could be taken in future, by the United States, NATO, and other countries have created global security concerns that could result in a regional conflict and otherwise have a lasting impact on regional and global economies, any or all of which could adversely affect our business, including preventing us from performing existing contracts, pursuing new business opportunities, or receiving payments for services already provided to customers.</w:t>
      </w:r>
    </w:p>
    <w:p>
      <w:pPr>
        <w:spacing w:after="0" w:line="312"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In addition, legal requirements in the United States and other countries may come into conflict with each other making it challenging or impossible to comply with both countries’ legal requirements simultaneously.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w:t>
      </w:r>
    </w:p>
    <w:p>
      <w:pPr>
        <w:spacing w:after="0" w:line="75"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We are subject to various U.S. and international anti-corruption laws, and any failure to comply with such laws could harm our business, financial condition, and results of operations.</w:t>
      </w:r>
    </w:p>
    <w:p>
      <w:pPr>
        <w:spacing w:after="0" w:line="46"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We are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devise and maintain an adequate system of internal accounting controls. Although we take precautions to prevent violations of anti-corruption laws, our exposure for violating these laws increases as we continue to expand our international presence, and any failure to comply with such laws could harm our business, financial condition, and results of operations.</w:t>
      </w:r>
    </w:p>
    <w:p>
      <w:pPr>
        <w:spacing w:after="0" w:line="191"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Geopolitical tension between the United States and China, or between other countries, such as Taiwan, and China, may intensify and lead to increased scrutiny of our business operations in China.</w:t>
      </w:r>
    </w:p>
    <w:p>
      <w:pPr>
        <w:spacing w:after="0" w:line="46"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We have a significant number of employees, primarily engineers, in China, where personnel costs are less expensive than in many other geographies. The number or proportion of our employees in China has fluctuated in the past and may fluctuate in the future due to a number of factors, including macroeconomic changes and internal restructuring. Geopolitical and national security tensions between the United States and China, or between other countries and China, have in the past, currently are and could in the future lead to increased scrutiny of our business operations in China and a negative perception among current and potential customers regarding our collection, use, storage, disclosure, and processing of personal information, and our privacy policies, any of which may harm our reputation and business. Additionally, we may face certain adverse consequences, as a</w:t>
      </w:r>
    </w:p>
    <w:p>
      <w:pPr>
        <w:sectPr>
          <w:pgSz w:w="11880" w:h="15480" w:orient="portrait"/>
          <w:cols w:equalWidth="0" w:num="1">
            <w:col w:w="9960"/>
          </w:cols>
          <w:pgMar w:left="960" w:top="821" w:right="960" w:bottom="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1880" w:h="15480" w:orient="portrait"/>
          <w:cols w:equalWidth="0" w:num="1">
            <w:col w:w="9960"/>
          </w:cols>
          <w:pgMar w:left="960" w:top="821" w:right="960" w:bottom="0" w:gutter="0" w:footer="0" w:header="0"/>
          <w:type w:val="continuous"/>
        </w:sectPr>
      </w:pPr>
    </w:p>
    <w:bookmarkStart w:id="31" w:name="page32"/>
    <w:bookmarkEnd w:id="31"/>
    <w:p>
      <w:pPr>
        <w:jc w:val="both"/>
        <w:spacing w:after="0" w:line="265" w:lineRule="auto"/>
        <w:rPr>
          <w:sz w:val="20"/>
          <w:szCs w:val="20"/>
          <w:color w:val="auto"/>
        </w:rPr>
      </w:pPr>
      <w:r>
        <w:rPr>
          <w:rFonts w:ascii="Times New Roman" w:cs="Times New Roman" w:eastAsia="Times New Roman" w:hAnsi="Times New Roman"/>
          <w:sz w:val="19"/>
          <w:szCs w:val="19"/>
          <w:color w:val="auto"/>
        </w:rPr>
        <w:t>result of geopolitical and national security tensions between the United States and China, including interference with, or restrictions on, our local operations that would impair our ability to operate in China.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 would be adversely impacted as a significant portion of our research and development organization resides in China.</w:t>
      </w:r>
    </w:p>
    <w:p>
      <w:pPr>
        <w:spacing w:after="0" w:line="75"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responding to law enforcement requests from the Chinese government.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198" w:lineRule="exact"/>
        <w:rPr>
          <w:sz w:val="20"/>
          <w:szCs w:val="20"/>
          <w:color w:val="auto"/>
        </w:rPr>
      </w:pPr>
    </w:p>
    <w:p>
      <w:pPr>
        <w:jc w:val="both"/>
        <w:ind w:firstLine="524"/>
        <w:spacing w:after="0" w:line="247" w:lineRule="auto"/>
        <w:rPr>
          <w:sz w:val="20"/>
          <w:szCs w:val="20"/>
          <w:color w:val="auto"/>
        </w:rPr>
      </w:pPr>
      <w:r>
        <w:rPr>
          <w:rFonts w:ascii="Times New Roman" w:cs="Times New Roman" w:eastAsia="Times New Roman" w:hAnsi="Times New Roman"/>
          <w:sz w:val="19"/>
          <w:szCs w:val="19"/>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286"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users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plan must be recognized over the applicable subscription term.</w:t>
      </w:r>
    </w:p>
    <w:p>
      <w:pPr>
        <w:spacing w:after="0" w:line="200" w:lineRule="exact"/>
        <w:rPr>
          <w:sz w:val="20"/>
          <w:szCs w:val="20"/>
          <w:color w:val="auto"/>
        </w:rPr>
      </w:pPr>
    </w:p>
    <w:p>
      <w:pPr>
        <w:spacing w:after="0" w:line="227"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Any failure to offer high-quality support for our customers and users may harm our relationships with our customers and users and, consequently, our business.</w:t>
      </w:r>
    </w:p>
    <w:p>
      <w:pPr>
        <w:spacing w:after="0" w:line="46"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Increased user demand for support may result in increased costs that may harm our results of operations. For example, during the COVID-19 pandemic we saw surging demand requiring us to allocate additional resources to support our expanded customer and user base, including many who were using our platform for the first time, placing additional pressure on our support organization. In addition, as we continue to support our global user base, we need to be able to continue to provide efficient support that meets our customers and users’ needs globally at scale. If we are unable to provide efficient user support globally at scale or if we need to hire additional support personnel, our business may be harmed. Our new customer signups are highly dependent on our business reputation and on recommendations from our existing customers and users. Any failure to maintain high-quality support, or a market perception that we do not maintain high-quality support for our customers and users, would harm our business.</w:t>
      </w:r>
    </w:p>
    <w:p>
      <w:pPr>
        <w:spacing w:after="0" w:line="191"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46"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resellers or potential resellers to favor their products and services or prevent or reduce sales of our products and services. Recruiting and retaining qualified resellers in our network and training them in our technology, product</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1880" w:h="15480" w:orient="portrait"/>
          <w:cols w:equalWidth="0" w:num="1">
            <w:col w:w="9960"/>
          </w:cols>
          <w:pgMar w:left="960" w:top="821" w:right="960" w:bottom="0" w:gutter="0" w:footer="0" w:header="0"/>
          <w:type w:val="continuous"/>
        </w:sectPr>
      </w:pPr>
    </w:p>
    <w:bookmarkStart w:id="32" w:name="page33"/>
    <w:bookmarkEnd w:id="32"/>
    <w:p>
      <w:pPr>
        <w:jc w:val="both"/>
        <w:spacing w:after="0" w:line="260" w:lineRule="auto"/>
        <w:rPr>
          <w:sz w:val="20"/>
          <w:szCs w:val="20"/>
          <w:color w:val="auto"/>
        </w:rPr>
      </w:pPr>
      <w:r>
        <w:rPr>
          <w:rFonts w:ascii="Times New Roman" w:cs="Times New Roman" w:eastAsia="Times New Roman" w:hAnsi="Times New Roman"/>
          <w:sz w:val="19"/>
          <w:szCs w:val="19"/>
          <w:color w:val="auto"/>
        </w:rPr>
        <w:t>offerings and processes requires significant time and resources. For resellers in certain emerging markets, we may be unable to effectively oversee and quality check certain processes, such as customer due diligence, which has and may continue to impact such resellers’ ability to implement robust customer verification protocols and mitigate fraud risk.If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develop relationships with new resellers in new markets, expand the number of resellers in existing markets, or manage, train, or provide appropriate incentives to our existing resellers, our ability to increase the number of new customers and increase sales to existing customers could be adversely impacted, which would harm our business.</w:t>
      </w:r>
    </w:p>
    <w:p>
      <w:pPr>
        <w:spacing w:after="0" w:line="191"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Our results of operations, which are reported in U.S. dollars, could be adversely affected if currency exchange rates fluctuate substantially in the future.</w:t>
      </w:r>
    </w:p>
    <w:p>
      <w:pPr>
        <w:spacing w:after="0" w:line="46"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portion of our revenue is denominated in foreign currencies, and our expenses are generally denominated in the currencies of the jurisdictions in which we conduct our operations. For the fiscal years ended January 31, 2024, 2023, and 2022, 19.3%, 20.0%, and 22.6% of our revenue, respectively, and 13.7%, 10.8%, and 16.8%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For example, for the fiscal year ended January 31, 2024, our total revenue was lower than anticipated in part due to the strengthening of the U.S. dollar. We do not currently maintain a program to hedge exposures to non-U.S. dollar currencies.</w:t>
      </w:r>
    </w:p>
    <w:p>
      <w:pPr>
        <w:spacing w:after="0" w:line="194"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Our sales to government entities and other government contractors are subject to a number of additional challenges and risks.</w:t>
      </w:r>
    </w:p>
    <w:p>
      <w:pPr>
        <w:spacing w:after="0" w:line="46"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We expect to continue selling our products and services to U.S. federal and state and foreign governmental agency customers, which may occur through sales to other companies that re-sell our services to government customers and/or through direct sales to government entities. While we are a U.S. Federal Risk and Authorization Management Program (“FedRAMP”) authorized SaaS service, selling to government entities and other government contractors presents a number of unique challenges and risks including the following:</w:t>
      </w:r>
    </w:p>
    <w:p>
      <w:pPr>
        <w:spacing w:after="0" w:line="75" w:lineRule="exact"/>
        <w:rPr>
          <w:sz w:val="20"/>
          <w:szCs w:val="20"/>
          <w:color w:val="auto"/>
        </w:rPr>
      </w:pPr>
    </w:p>
    <w:p>
      <w:pPr>
        <w:jc w:val="both"/>
        <w:ind w:left="700" w:hanging="350"/>
        <w:spacing w:after="0" w:line="275" w:lineRule="auto"/>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spacing w:after="0" w:line="64" w:lineRule="exact"/>
        <w:rPr>
          <w:rFonts w:ascii="Times New Roman" w:cs="Times New Roman" w:eastAsia="Times New Roman" w:hAnsi="Times New Roman"/>
          <w:sz w:val="19"/>
          <w:szCs w:val="19"/>
          <w:color w:val="auto"/>
        </w:rPr>
      </w:pPr>
    </w:p>
    <w:p>
      <w:pPr>
        <w:jc w:val="both"/>
        <w:ind w:left="700" w:hanging="350"/>
        <w:spacing w:after="0" w:line="275" w:lineRule="auto"/>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government certification requirements may change, or we may be unable to achieve or sustain one or more government certifications, including FedRAMP, which may restrict our ability to sell into the government sector until we have attained such certificates;</w:t>
      </w:r>
    </w:p>
    <w:p>
      <w:pPr>
        <w:spacing w:after="0" w:line="64" w:lineRule="exact"/>
        <w:rPr>
          <w:rFonts w:ascii="Times New Roman" w:cs="Times New Roman" w:eastAsia="Times New Roman" w:hAnsi="Times New Roman"/>
          <w:sz w:val="19"/>
          <w:szCs w:val="19"/>
          <w:color w:val="auto"/>
        </w:rPr>
      </w:pPr>
    </w:p>
    <w:p>
      <w:pPr>
        <w:jc w:val="both"/>
        <w:ind w:left="700" w:hanging="350"/>
        <w:spacing w:after="0" w:line="275" w:lineRule="auto"/>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contracts with governmental entities and other government contractors, including resellers in the government market, contain terms that are less favorable than what we generally agree to in our standard agreements, including, terms and conditions required by regulation that are not negotiable with the customer;</w:t>
      </w:r>
    </w:p>
    <w:p>
      <w:pPr>
        <w:spacing w:after="0" w:line="64" w:lineRule="exact"/>
        <w:rPr>
          <w:rFonts w:ascii="Times New Roman" w:cs="Times New Roman" w:eastAsia="Times New Roman" w:hAnsi="Times New Roman"/>
          <w:sz w:val="19"/>
          <w:szCs w:val="19"/>
          <w:color w:val="auto"/>
        </w:rPr>
      </w:pPr>
    </w:p>
    <w:p>
      <w:pPr>
        <w:jc w:val="both"/>
        <w:ind w:left="700" w:hanging="350"/>
        <w:spacing w:after="0" w:line="268" w:lineRule="auto"/>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 and</w:t>
      </w:r>
    </w:p>
    <w:p>
      <w:pPr>
        <w:spacing w:after="0" w:line="72" w:lineRule="exact"/>
        <w:rPr>
          <w:rFonts w:ascii="Times New Roman" w:cs="Times New Roman" w:eastAsia="Times New Roman" w:hAnsi="Times New Roman"/>
          <w:sz w:val="19"/>
          <w:szCs w:val="19"/>
          <w:color w:val="auto"/>
        </w:rPr>
      </w:pPr>
    </w:p>
    <w:p>
      <w:pPr>
        <w:jc w:val="both"/>
        <w:ind w:left="700" w:hanging="350"/>
        <w:spacing w:after="0" w:line="275" w:lineRule="auto"/>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government demand and payment for our products may be influenced, among other things, by public sector budgetary cycles and funding authorizations, with funding reductions or delays having an adverse impact on public sector demand for our products.</w:t>
      </w:r>
    </w:p>
    <w:p>
      <w:pPr>
        <w:spacing w:after="0" w:line="64"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To the extent that we become more reliant on contracts with government entities and/or other government contractors in the future, our exposure to such risks and challenges could increase, which in turn could adversely impact our business.</w:t>
      </w:r>
    </w:p>
    <w:p>
      <w:pPr>
        <w:spacing w:after="0" w:line="47"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1880" w:h="15480" w:orient="portrait"/>
          <w:cols w:equalWidth="0" w:num="1">
            <w:col w:w="9960"/>
          </w:cols>
          <w:pgMar w:left="960" w:top="821" w:right="960" w:bottom="0" w:gutter="0" w:footer="0" w:header="0"/>
          <w:type w:val="continuous"/>
        </w:sectPr>
      </w:pPr>
    </w:p>
    <w:bookmarkStart w:id="33" w:name="page34"/>
    <w:bookmarkEnd w:id="33"/>
    <w:p>
      <w:pPr>
        <w:jc w:val="both"/>
        <w:spacing w:after="0" w:line="268" w:lineRule="auto"/>
        <w:rPr>
          <w:sz w:val="20"/>
          <w:szCs w:val="20"/>
          <w:color w:val="auto"/>
        </w:rPr>
      </w:pPr>
      <w:r>
        <w:rPr>
          <w:rFonts w:ascii="Times New Roman" w:cs="Times New Roman" w:eastAsia="Times New Roman" w:hAnsi="Times New Roman"/>
          <w:sz w:val="19"/>
          <w:szCs w:val="19"/>
          <w:color w:val="auto"/>
        </w:rPr>
        <w:t>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81" w:lineRule="exact"/>
        <w:rPr>
          <w:sz w:val="20"/>
          <w:szCs w:val="20"/>
          <w:color w:val="auto"/>
        </w:rPr>
      </w:pPr>
    </w:p>
    <w:p>
      <w:pPr>
        <w:jc w:val="both"/>
        <w:ind w:firstLine="524"/>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Our current platform, as well as products, features, and functionality that we may introduce in the future, may not be widely accepted by our customers and users or may receive negative attention or may require us to compensate or reimburse third parties, any of which may lower our margins and harm our business.</w:t>
      </w:r>
    </w:p>
    <w:p>
      <w:pPr>
        <w:spacing w:after="0" w:line="67"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Our ability to engage, retain, and increase our base of customers and users and to increase our revenue will depend on our ability to successfully create new products, features, and functionality, both independently and together with third parties. We may introduce significant changes to our existing platform or develop and introduce new and unproven products, including technologies with which we have little or no prior development or operating experience. These new products and updates may not perform as expected, have attracted and may in the future attract negative attention if they involve technologies with heightened public interest, may fail to engage, retain, and increase our base of customers and users or may create lag in adoption of such new products. New products may initially suffer from performance and quality issues that may negatively impact our ability to market and sell such products to new and existing customers. The short- and long-term impact of any major change to our products, or the introduction of new products, is particularly difficult to predict. If new or enhanced products fail to engage, retain, and increase our base of customers, or do not perform as expected, we may fail to generate sufficient revenue, operating margin, or other value to justify our investments in such products, any of which may harm our business in the short term, long term, or both. In addition, our current platform,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200" w:lineRule="exact"/>
        <w:rPr>
          <w:sz w:val="20"/>
          <w:szCs w:val="20"/>
          <w:color w:val="auto"/>
        </w:rPr>
      </w:pPr>
    </w:p>
    <w:p>
      <w:pPr>
        <w:spacing w:after="0" w:line="223" w:lineRule="exact"/>
        <w:rPr>
          <w:sz w:val="20"/>
          <w:szCs w:val="20"/>
          <w:color w:val="auto"/>
        </w:rPr>
      </w:pPr>
    </w:p>
    <w:p>
      <w:pPr>
        <w:jc w:val="both"/>
        <w:ind w:firstLine="524"/>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user base to decline significantly.</w:t>
      </w:r>
    </w:p>
    <w:p>
      <w:pPr>
        <w:spacing w:after="0" w:line="67"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We may have exposure to greater than anticipated tax liabilities, which could harm our business.</w:t>
      </w:r>
    </w:p>
    <w:p>
      <w:pPr>
        <w:spacing w:after="0" w:line="139"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tax benefits of stock-based compensation expense; changes in the valuation of, or our ability to use, deferred tax assets; the applicability of withholding taxes; and effects from acquisitions.</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1880" w:h="15480" w:orient="portrait"/>
          <w:cols w:equalWidth="0" w:num="1">
            <w:col w:w="9960"/>
          </w:cols>
          <w:pgMar w:left="960" w:top="821" w:right="960" w:bottom="0" w:gutter="0" w:footer="0" w:header="0"/>
          <w:type w:val="continuous"/>
        </w:sectPr>
      </w:pPr>
    </w:p>
    <w:bookmarkStart w:id="34" w:name="page35"/>
    <w:bookmarkEnd w:id="34"/>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The provision for taxes on our consolidated financial statements could also be impacted by changes in accounting principles, changes in U.S. federal, state, or foreign tax laws applicable to corporate multinationals,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spacing w:after="0" w:line="78"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The Tax Cuts and Jobs Act of 2017 requires the capitalization and amortization of research and development expenses effective for years beginning after December 31, 2021. The mandatory capitalization requirement increased our cash tax liabilities but also decreased our effective tax rate due to increasing the foreign-derived intangible income deduction. Although Congress is considering legislation that would defer the amortization requirement to later years, we have no assurance that the provision will be repealed or otherwise modified. Absent a change in legislation, we expect the mandatory capitalization requirement will continue to have a material impact on our cash flows.</w:t>
      </w:r>
    </w:p>
    <w:p>
      <w:pPr>
        <w:spacing w:after="0" w:line="78"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 derived from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spacing w:after="0" w:line="79"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The OECD has also been working on a Base Erosion and Profits Shifting project that, upon implementation, would change various aspects of the existing framework under which our tax obligations are determined in many of the countries in which we operate. In this regard, the OECD has proposed policies aiming to modernize global tax systems, including a country-by-country 15% minimum effective tax rate (“Pillar Two”) for multinational companies. Numerous countries have enacted, or are in the process of enacting, legislation to implement the Pillar Two model rules with a subset of the rules becoming effective during our fiscal year ending January 31, 2025, and the remaining rules becoming effective for our fiscal year ending January 31, 2026, or in later periods. At this point in time, we do not expect material tax impacts associated with Pillar Two rules in the countries where we operate for the fiscal year ending January 31, 2025. As these rules continue to evolve with new legislation and guidance, we will continue to monitor and account for the enactment of Pillar Two rules in the countries where we operate, and the potential impacts such rules may have on our effective tax rate and cash flows in future years.</w:t>
      </w:r>
    </w:p>
    <w:p>
      <w:pPr>
        <w:spacing w:after="0" w:line="188"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46"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due to, among other things, possible delays and challenges in obtaining regulatory approvals.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The process of acquiring a business, including any integration efforts, requires significant time and resources, requires significant attention from management, and can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83"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81"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We have a limited operating history at the current scale of our business, which makes it difficult to evaluate our prospects and future results of operations.</w:t>
      </w:r>
    </w:p>
    <w:p>
      <w:pPr>
        <w:spacing w:after="0" w:line="46"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During fiscal year 2021, we experienced rapid growth in usage of our unified communications and collaboration platform largely due to the COVID-19 pandemic. This usage dramatically changed the scale of our business, and we have a</w:t>
      </w:r>
    </w:p>
    <w:p>
      <w:pPr>
        <w:sectPr>
          <w:pgSz w:w="11880" w:h="15480" w:orient="portrait"/>
          <w:cols w:equalWidth="0" w:num="1">
            <w:col w:w="9960"/>
          </w:cols>
          <w:pgMar w:left="960" w:top="821" w:right="960" w:bottom="0" w:gutter="0" w:footer="0" w:header="0"/>
        </w:sect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ectPr>
          <w:pgSz w:w="11880" w:h="15480" w:orient="portrait"/>
          <w:cols w:equalWidth="0" w:num="1">
            <w:col w:w="9960"/>
          </w:cols>
          <w:pgMar w:left="960" w:top="821" w:right="960" w:bottom="0" w:gutter="0" w:footer="0" w:header="0"/>
          <w:type w:val="continuous"/>
        </w:sectPr>
      </w:pPr>
    </w:p>
    <w:bookmarkStart w:id="35" w:name="page36"/>
    <w:bookmarkEnd w:id="35"/>
    <w:p>
      <w:pPr>
        <w:jc w:val="both"/>
        <w:spacing w:after="0" w:line="259" w:lineRule="auto"/>
        <w:rPr>
          <w:sz w:val="20"/>
          <w:szCs w:val="20"/>
          <w:color w:val="auto"/>
        </w:rPr>
      </w:pPr>
      <w:r>
        <w:rPr>
          <w:rFonts w:ascii="Times New Roman" w:cs="Times New Roman" w:eastAsia="Times New Roman" w:hAnsi="Times New Roman"/>
          <w:sz w:val="19"/>
          <w:szCs w:val="19"/>
          <w:color w:val="auto"/>
        </w:rPr>
        <w:t>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continue to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or to adapt and respond to inflationary factors affecting our business or future economic recession. The changes the COVID-19 pandemic fostered on the way companies operate, including the shifts to remote and hybrid work have limited our ability to forecast revenue, costs, and expenses due to the uncertainty around how companies choose to operate in the future, including the impacts of a remote and hybrid workplace.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188"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We rely on data from tools to calculate certain of our key business metrics. Real or perceived inaccuracies in such metrics may harm our reputation and negatively affect our business.</w:t>
      </w:r>
    </w:p>
    <w:p>
      <w:pPr>
        <w:spacing w:after="0" w:line="46"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spacing w:after="0" w:line="75"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We are continually seeking to improve our ability to measure our key business metrics, and regularly review our processes to assess potential improvements.</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color w:val="auto"/>
        </w:rPr>
        <w:t>Risks Related to Laws and Regulations</w:t>
      </w:r>
    </w:p>
    <w:p>
      <w:pPr>
        <w:spacing w:after="0" w:line="246" w:lineRule="exact"/>
        <w:rPr>
          <w:sz w:val="20"/>
          <w:szCs w:val="20"/>
          <w:color w:val="auto"/>
        </w:rPr>
      </w:pPr>
    </w:p>
    <w:p>
      <w:pPr>
        <w:jc w:val="both"/>
        <w:ind w:firstLine="524"/>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The actual or perceived failure by us, our customers, partners or vendors to comply with stringent and evolving laws and regulations, industry standards, policies, and contractual obligations relating to privacy, data protection, information security, and other matters could harm our reputation and business and subject us to significant fines and liability.</w:t>
      </w:r>
    </w:p>
    <w:p>
      <w:pPr>
        <w:spacing w:after="0" w:line="67"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In the ordinary course of business, we collect, receive, store, process, generate, use, transfer, disclose, make accessible, protect, secure, dispose of, transmit, and share confidential, proprietary, and sensitive information, including personal data, customer and user content, business data, trade secrets, intellectual property, third-party data, business plans, transactions, financial information Our data processing activities subject us to numerous privacy, data protection, and information security obligations, such as various laws, regulations, guidance, industry standards, external and internal privacy and security policies, and contractual requirements.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Laws in the United States</w:t>
      </w:r>
    </w:p>
    <w:p>
      <w:pPr>
        <w:spacing w:after="0" w:line="134"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In the United States, federal, state, and local governments have enacted numerous privacy, data protection, and information security laws, including data breach notification laws, personal data privacy laws, consumer protection laws (e.g., Section 5 of the Federal Trade Commission Act), and other similar laws (e.g., wiretapping laws). For example, the California Consumer Privacy Act of 2018, as amended by the California Privacy Rights Act of 2020 (“CPRA”) (collectively, “CCPA”) applies to personal information of consumers, business representatives, and employees, and requires businesses to provide specific disclosures in privacy notices and honor requests of California residents to exercise certain privacy rights, such as those noted below. The CCPA provides for fines of up to $7,500 per intentional violation and allows private litigants affected by certain data breaches to recover significant statutory damages. 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 Under various laws and other obligations related to privacy, data protection, and information security, we may be required to obtain certain consents to process personal information. For example, some of our data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Laws Outside of the United States</w:t>
      </w:r>
    </w:p>
    <w:p>
      <w:pPr>
        <w:spacing w:after="0" w:line="134"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Outside the United States, an increasing number of laws, regulations, and industry standards related to privacy, data protection, and information security may govern. For example, the European Union’s General Data Protection Regulation (“EU</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1880" w:h="15480" w:orient="portrait"/>
          <w:cols w:equalWidth="0" w:num="1">
            <w:col w:w="9960"/>
          </w:cols>
          <w:pgMar w:left="960" w:top="821" w:right="960" w:bottom="0" w:gutter="0" w:footer="0" w:header="0"/>
          <w:type w:val="continuous"/>
        </w:sectPr>
      </w:pPr>
    </w:p>
    <w:bookmarkStart w:id="36" w:name="page37"/>
    <w:bookmarkEnd w:id="36"/>
    <w:p>
      <w:pPr>
        <w:jc w:val="both"/>
        <w:spacing w:after="0" w:line="259" w:lineRule="auto"/>
        <w:rPr>
          <w:sz w:val="20"/>
          <w:szCs w:val="20"/>
          <w:color w:val="auto"/>
        </w:rPr>
      </w:pPr>
      <w:r>
        <w:rPr>
          <w:rFonts w:ascii="Times New Roman" w:cs="Times New Roman" w:eastAsia="Times New Roman" w:hAnsi="Times New Roman"/>
          <w:sz w:val="19"/>
          <w:szCs w:val="19"/>
          <w:color w:val="auto"/>
        </w:rPr>
        <w:t>GDPR”), the United Kingdom’s GDPR (“UK GDPR”), Brazil’s General Data Protection Law (Lei Geral de Proteção de Dados Pessoais, or “LGPD”) (Law No. 13,709/2018), and China’s Personal Information Protection Law (“PIPL”) impose strict requirements for processing personal information. For example, under the EU GDPR, companies may face temporary or definitive bans on data processing and other corrective actions; fines of up to 20 million Euros under the EU GDPR and 17.5 million pounds sterling under the UK GDPR, or 4% of annual global revenue, in each case, whichever is greater; or private litigation related to processing of personal information brought by classes of data subjects or consumer protection organizations authorized at law to represent their interests. The Swiss Federal Act on Data Protection (“FADP”), also applies to the collection and processing of personal information, including health-related information, by companies located in Switzerland, or in certain circumstances, by companies located outside of Switzerland. The FADP has been revised and adopted by the Swiss Parliament. Companies must comply with the revised version of the FADP and its revised ordinances from September 1, 2023, which may result in an increase of costs of compliance, risks of noncompliance and penalties for noncompliance.</w:t>
      </w:r>
    </w:p>
    <w:p>
      <w:pPr>
        <w:spacing w:after="0" w:line="85" w:lineRule="exact"/>
        <w:rPr>
          <w:sz w:val="20"/>
          <w:szCs w:val="20"/>
          <w:color w:val="auto"/>
        </w:rPr>
      </w:pPr>
    </w:p>
    <w:p>
      <w:pPr>
        <w:jc w:val="both"/>
        <w:ind w:firstLine="524"/>
        <w:spacing w:after="0" w:line="251" w:lineRule="auto"/>
        <w:rPr>
          <w:sz w:val="20"/>
          <w:szCs w:val="20"/>
          <w:color w:val="auto"/>
        </w:rPr>
      </w:pPr>
      <w:r>
        <w:rPr>
          <w:rFonts w:ascii="Times New Roman" w:cs="Times New Roman" w:eastAsia="Times New Roman" w:hAnsi="Times New Roman"/>
          <w:sz w:val="19"/>
          <w:szCs w:val="19"/>
          <w:color w:val="auto"/>
        </w:rPr>
        <w:t>We also target customers in Asia and have operations in Japan, Singapore and India, and may be subject to new and emerging privacy, data protection, and information security regimes in the region, including Japan’s Act on the Protection of Personal Information, Singapore’s Personal Data Protection Act, and India's new privacy legislation, the Digital Personal Data Protection Act.</w:t>
      </w:r>
    </w:p>
    <w:p>
      <w:pPr>
        <w:spacing w:after="0" w:line="72"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In addition, we may be unable to transfer personal information from Europe and other jurisdictions to the United States or other countries due to data localization requirements or limitations on cross-border data flows. Europe and other jurisdictions have enacted laws requiring data to be localized or limiting the transfer of personal information to other countries. In particular, the European Economic Area (“EEA”) and the United Kingdom (“UK”) have significantly restricted the transfer of personal information to the United States and other countries whose privacy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and UK to the United States in compliance with law, such as the EEA’s standard contractual clause, and the EU-U.S. Data Privacy Framework and the UK extension thereto (which allow for transfers to relevant U.S.-based organizations who self-certify compliance and participate in the Framework), these mechanisms can be subject to legal challenges, and there is no assurance that we can satisfy or rely on these measures to lawfully transfer personal information to the United States.</w:t>
      </w:r>
    </w:p>
    <w:p>
      <w:pPr>
        <w:spacing w:after="0" w:line="85"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If there is no lawful manner for us to transfer personal information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information out of Europe for allegedly violating the EU GDPR’s cross-border data transfer limitations. For example, in May 2023, the Irish Data Protection Commission determined that a major social media company’s use of the standard contractual clauses to transfer personal information from Europe to the United States was insufficient and levied a 1.2 billion Euro fine against the company and prohibited the company from transferring personal information to the United States.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Artificial Intelligence</w:t>
      </w:r>
    </w:p>
    <w:p>
      <w:pPr>
        <w:spacing w:after="0" w:line="134" w:lineRule="exact"/>
        <w:rPr>
          <w:sz w:val="20"/>
          <w:szCs w:val="20"/>
          <w:color w:val="auto"/>
        </w:rPr>
      </w:pPr>
    </w:p>
    <w:p>
      <w:pPr>
        <w:jc w:val="both"/>
        <w:ind w:firstLine="575"/>
        <w:spacing w:after="0" w:line="258" w:lineRule="auto"/>
        <w:rPr>
          <w:sz w:val="20"/>
          <w:szCs w:val="20"/>
          <w:color w:val="auto"/>
        </w:rPr>
      </w:pPr>
      <w:r>
        <w:rPr>
          <w:rFonts w:ascii="Times New Roman" w:cs="Times New Roman" w:eastAsia="Times New Roman" w:hAnsi="Times New Roman"/>
          <w:sz w:val="19"/>
          <w:szCs w:val="19"/>
          <w:color w:val="auto"/>
        </w:rPr>
        <w:t>Our development and use of AI and machine learning (“ML”) technologies is subject to privacy, data protection, IP, and information security laws, industry standards, external and internal privacy and security policies, and contractual requirements, as well as increasing regulation and scrutiny. Several jurisdictions around the globe, including the EU, the UK and certain U.S. states, have proposed, enacted, or are considering laws governing the development and use of AI/ML. In the EU, regulators have reached political agreement on the text of the Artificial Intelligence Act, which, when adopted and in force, will have a direct effect across all EU jurisdictions and could impose onerous obligations related to the use of AI-related systems. Obligations on AI/ML may make it harder for us to conduct our business using, or build products incorporating, AI/ML, require us to change our business practices, require us to retrain our algorithms, or prevent or limit our use of AI/ML. For example, the FTC has required other companies to turn over (or disgorge) valuable insights or trainings generated through the use of AI/ML where they allege the company has violated privacy and consumer protection laws. Additionally, certain privacy laws extend rights to consumers (such as the right to delete certain personal information) and regulate automated decision making, which may be incompatible with our use of AI/ML. If we do not develop or incorporate AI/ML in a manner consistent with these factors, and consistent with customer expectations, it may result in an adverse impact to our reputation, our business may be less efficient, or we may be at a competitive disadvantage. Similarly, if customers and users do not widely adopt our new product AI/ML experiences, features, and capabilities, or they do not perform as expected, we may not be able to realize a return on our investment.</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1880" w:h="15480" w:orient="portrait"/>
          <w:cols w:equalWidth="0" w:num="1">
            <w:col w:w="9960"/>
          </w:cols>
          <w:pgMar w:left="960" w:top="821" w:right="960" w:bottom="0" w:gutter="0" w:footer="0" w:header="0"/>
          <w:type w:val="continuous"/>
        </w:sectPr>
      </w:pPr>
    </w:p>
    <w:bookmarkStart w:id="37" w:name="page38"/>
    <w:bookmarkEnd w:id="37"/>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Laws Relating to Minors</w:t>
      </w:r>
    </w:p>
    <w:p>
      <w:pPr>
        <w:spacing w:after="0" w:line="134" w:lineRule="exact"/>
        <w:rPr>
          <w:sz w:val="20"/>
          <w:szCs w:val="20"/>
          <w:color w:val="auto"/>
        </w:rPr>
      </w:pPr>
    </w:p>
    <w:p>
      <w:pPr>
        <w:jc w:val="both"/>
        <w:ind w:firstLine="524"/>
        <w:spacing w:after="0" w:line="257" w:lineRule="auto"/>
        <w:rPr>
          <w:sz w:val="20"/>
          <w:szCs w:val="20"/>
          <w:color w:val="auto"/>
        </w:rPr>
      </w:pPr>
      <w:r>
        <w:rPr>
          <w:rFonts w:ascii="Times New Roman" w:cs="Times New Roman" w:eastAsia="Times New Roman" w:hAnsi="Times New Roman"/>
          <w:sz w:val="19"/>
          <w:szCs w:val="19"/>
          <w:color w:val="auto"/>
        </w:rPr>
        <w:t>Additionally, regulators are increasingly scrutinizing companies that process minors' data and/or provide online services or other interactive platforms used by minors. Numerous laws, regulations, and legally-binding codes, such as the Children’s Online Privacy Protection Act (“COPPA”), California’s Age Appropriate Design Code, the CCPA, other U.S. state comprehensive privacy laws, the EU and UK GDPR, the EU's Digital Services Act ("DSA"), the UK's Online Safety Act ("OSA") and the UK Age Appropriate Design Code, impose various obligations on companies that process minors' data and/or provide online services, or other interactive platforms used by children, including prohibiting showing minors advertising, requiring age verification, limiting the use of minors’ personal information, requiring certain consents to process such data and extending certain rights to children and their parents with respect to that data. These laws may, or in some cases already have been subject to legal challenges and changing interpretations which may further complicate our efforts to comply with laws applicable to us. Some of these obligations have wide ranging applications, including for services that do not intentionally target child users (defined in some circumstances as a user under the age of 18 years old). In particular,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and collaboration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If we fail to accurately anticipate the application, interpretation, or legislative expansion of these laws, regulations, and legally-binding codes,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3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Consumer Preferences and Protection</w:t>
      </w:r>
    </w:p>
    <w:p>
      <w:pPr>
        <w:spacing w:after="0" w:line="134" w:lineRule="exact"/>
        <w:rPr>
          <w:sz w:val="20"/>
          <w:szCs w:val="20"/>
          <w:color w:val="auto"/>
        </w:rPr>
      </w:pPr>
    </w:p>
    <w:p>
      <w:pPr>
        <w:jc w:val="both"/>
        <w:ind w:firstLine="524"/>
        <w:spacing w:after="0" w:line="257" w:lineRule="auto"/>
        <w:rPr>
          <w:sz w:val="20"/>
          <w:szCs w:val="20"/>
          <w:color w:val="auto"/>
        </w:rPr>
      </w:pPr>
      <w:r>
        <w:rPr>
          <w:rFonts w:ascii="Times New Roman" w:cs="Times New Roman" w:eastAsia="Times New Roman" w:hAnsi="Times New Roman"/>
          <w:sz w:val="19"/>
          <w:szCs w:val="19"/>
          <w:color w:val="auto"/>
        </w:rPr>
        <w:t>Individuals are increasingly resistant to the collection, use, and sharing of personal information to deliver targeted advertising. Third-party platforms have introduced (or plan to introduce) measures to provide users with more privacy controls over targeted advertising activities, and regulators (including in the EEA/UK) are heavily scrutinizing the use of technologies used to deliver such advertisements. Major technology platforms on which we rely to gather information about consumers have adopted or proposed measures to provide consumers with additional control over the collection, use, and sharing of their personal information for targeted advertising or other purposes. For example, in 2021, Apple began allowing users to more easily opt-out of activity tracking across devices.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In the EU,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information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information to deliver targeted advertising or other types of tracking. Individuals are now more aware of options related to consent, “do not track” mechanisms (such as browser signals from the Global Privacy Control), and “ad-blocking” software to prevent the collection of their personal information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spacing w:after="0" w:line="91"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ectPr>
          <w:pgSz w:w="11880" w:h="15480" w:orient="portrait"/>
          <w:cols w:equalWidth="0" w:num="1">
            <w:col w:w="9960"/>
          </w:cols>
          <w:pgMar w:left="960" w:top="818" w:right="960" w:bottom="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1880" w:h="15480" w:orient="portrait"/>
          <w:cols w:equalWidth="0" w:num="1">
            <w:col w:w="9960"/>
          </w:cols>
          <w:pgMar w:left="960" w:top="818" w:right="960" w:bottom="0" w:gutter="0" w:footer="0" w:header="0"/>
          <w:type w:val="continuous"/>
        </w:sectPr>
      </w:pPr>
    </w:p>
    <w:bookmarkStart w:id="38" w:name="page39"/>
    <w:bookmarkEnd w:id="38"/>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Industry Standards</w:t>
      </w:r>
    </w:p>
    <w:p>
      <w:pPr>
        <w:spacing w:after="0" w:line="134"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In addition to privacy, data protection and information security laws, we are contractually subject to industry standards adopted by industry groups and may become subject to such obligations in the future. We may also have privacy, data protection, information security obligations arising from the practices in our industry or of companies similar to us. We are also bound by other contractual obligations related to privacy, data protection, and information security, and our efforts to comply with such obligations may not be successful. If we fall below such industry standard or cannot comply with such contractual obligations, our reputation and business may be harmed. We also publish privacy policies, marketing materials, and other statements, such as compliance with certain certifications or self-regulatory principles, regarding privacy, data protection, and information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Government Inquiries and Investigations</w:t>
      </w:r>
    </w:p>
    <w:p>
      <w:pPr>
        <w:spacing w:after="0" w:line="134"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 Item 3 “Legal Proceedings” for additional information.</w:t>
      </w:r>
    </w:p>
    <w:p>
      <w:pPr>
        <w:spacing w:after="0" w:line="316"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86"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We were also the subject of an investigation by the FTC relating to our privacy and security representations and practices. We have reached a settlement agreement with the FTC, which the FTC voted to make final on January 19, 2021.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Consents</w:t>
      </w:r>
    </w:p>
    <w:p>
      <w:pPr>
        <w:spacing w:after="0" w:line="134"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w:t>
      </w:r>
    </w:p>
    <w:p>
      <w:pPr>
        <w:sectPr>
          <w:pgSz w:w="11880" w:h="15480" w:orient="portrait"/>
          <w:cols w:equalWidth="0" w:num="1">
            <w:col w:w="9960"/>
          </w:cols>
          <w:pgMar w:left="960" w:top="818" w:right="960" w:bottom="0"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ectPr>
          <w:pgSz w:w="11880" w:h="15480" w:orient="portrait"/>
          <w:cols w:equalWidth="0" w:num="1">
            <w:col w:w="9960"/>
          </w:cols>
          <w:pgMar w:left="960" w:top="818" w:right="960" w:bottom="0" w:gutter="0" w:footer="0" w:header="0"/>
          <w:type w:val="continuous"/>
        </w:sectPr>
      </w:pPr>
    </w:p>
    <w:bookmarkStart w:id="39" w:name="page40"/>
    <w:bookmarkEnd w:id="39"/>
    <w:p>
      <w:pPr>
        <w:jc w:val="both"/>
        <w:spacing w:after="0" w:line="294" w:lineRule="auto"/>
        <w:rPr>
          <w:sz w:val="20"/>
          <w:szCs w:val="20"/>
          <w:color w:val="auto"/>
        </w:rPr>
      </w:pPr>
      <w:r>
        <w:rPr>
          <w:rFonts w:ascii="Times New Roman" w:cs="Times New Roman" w:eastAsia="Times New Roman" w:hAnsi="Times New Roman"/>
          <w:sz w:val="19"/>
          <w:szCs w:val="19"/>
          <w:color w:val="auto"/>
        </w:rPr>
        <w:t>services and features, possibly in a material manner, which we may be unable to complete and may limit our ability to store and process user data or provide or develop new services and features.</w:t>
      </w:r>
    </w:p>
    <w:p>
      <w:pPr>
        <w:spacing w:after="0" w:line="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Public Perception</w:t>
      </w:r>
    </w:p>
    <w:p>
      <w:pPr>
        <w:spacing w:after="0" w:line="134"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Increased usage of our services and additional awareness of Zoom and our brand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Failure to Comply with our Obligations</w:t>
      </w:r>
    </w:p>
    <w:p>
      <w:pPr>
        <w:spacing w:after="0" w:line="134"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Obligations related to privacy, data protection, information security, the use of AI, the provision of online services and other interactive platforms (and consumers' expectations regarding them)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information on our behalf.</w:t>
      </w:r>
    </w:p>
    <w:p>
      <w:pPr>
        <w:spacing w:after="0" w:line="78"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We may at times fail (or be perceived to have failed) in our efforts to comply with our obligations relating to privacy, data protection, information security, the use of AI and the provision of online services and other interactive platforms.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data protection, and information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information; and orders to destroy or not use personal information.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spacing w:after="0" w:line="196"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46"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The U.S. or foreign governments may take administrative, legislative, or regulatory action that could materially interfere with our ability to sell products in certain countries. For example, the Trump administration had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Biden administration or future administration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1880" w:h="15480" w:orient="portrait"/>
          <w:cols w:equalWidth="0" w:num="1">
            <w:col w:w="9960"/>
          </w:cols>
          <w:pgMar w:left="960" w:top="821" w:right="960" w:bottom="0" w:gutter="0" w:footer="0" w:header="0"/>
          <w:type w:val="continuous"/>
        </w:sectPr>
      </w:pPr>
    </w:p>
    <w:bookmarkStart w:id="40" w:name="page41"/>
    <w:bookmarkEnd w:id="40"/>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Further, in recent years, the U.S. Government has expressed concerns with the security of information and communications technology and services (“ICTS”) sourced from providers in China, Russia, and other jurisdictions. In May 2019, former President Trump issued an executive order that invoked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We may be subject to additional liabilities on past sales for taxes, surcharges, and fees.</w:t>
      </w:r>
    </w:p>
    <w:p>
      <w:pPr>
        <w:spacing w:after="0" w:line="139"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that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spacing w:after="0" w:line="194"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46"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customers’ ability to implement our platform in those countries.</w:t>
      </w:r>
    </w:p>
    <w:p>
      <w:pPr>
        <w:spacing w:after="0" w:line="312"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have in the past inadvertently made and may inadvertently make our software products available to some customers in potential violation of the EAR. Therefore, as warranted, we may submit voluntary self-disclosures regarding compliance with U.S. sanctions and export control laws and regulations to OFAC and to the U.S. Department of Commerce’s Bureau of Industry and Security (“BIS”). For instance, in March 2022, we submitted a voluntary self-disclosure to BIS regarding our compliance with certain U.S. export control laws and regulations, which BIS closed out with a warning letter with no referral for criminal or administrative prosecution, and no imposition of monetary fines or penalties.</w:t>
      </w:r>
    </w:p>
    <w:p>
      <w:pPr>
        <w:spacing w:after="0" w:line="83"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spacing w:after="0" w:line="72"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ectPr>
          <w:pgSz w:w="11880" w:h="15480" w:orient="portrait"/>
          <w:cols w:equalWidth="0" w:num="1">
            <w:col w:w="9960"/>
          </w:cols>
          <w:pgMar w:left="960" w:top="821" w:right="960" w:bottom="0" w:gutter="0" w:footer="0" w:header="0"/>
          <w:type w:val="continuous"/>
        </w:sectPr>
      </w:pPr>
    </w:p>
    <w:bookmarkStart w:id="41" w:name="page42"/>
    <w:bookmarkEnd w:id="41"/>
    <w:p>
      <w:pPr>
        <w:jc w:val="both"/>
        <w:spacing w:after="0" w:line="268" w:lineRule="auto"/>
        <w:rPr>
          <w:sz w:val="20"/>
          <w:szCs w:val="20"/>
          <w:color w:val="auto"/>
        </w:rPr>
      </w:pPr>
      <w:r>
        <w:rPr>
          <w:rFonts w:ascii="Times New Roman" w:cs="Times New Roman" w:eastAsia="Times New Roman" w:hAnsi="Times New Roman"/>
          <w:sz w:val="19"/>
          <w:szCs w:val="19"/>
          <w:color w:val="auto"/>
        </w:rPr>
        <w:t>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181" w:lineRule="exact"/>
        <w:rPr>
          <w:sz w:val="20"/>
          <w:szCs w:val="20"/>
          <w:color w:val="auto"/>
        </w:rPr>
      </w:pPr>
    </w:p>
    <w:p>
      <w:pPr>
        <w:jc w:val="both"/>
        <w:ind w:firstLine="524"/>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3"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We may be subject to, or respond to requests from law enforcement that are legally valid, appropriately scoped, and sufficiently detailed in connection with enforcement of, various civil and criminal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protect user safety and prevent conduct that is illegal, violent, or harmful to others, we enforce our terms of service through use of a mix of tools that suggest when such activity may be occurring on our platform. Our trust and safety team may take further action as appropriate, including suspension or termination of the participant's account or referral to law enforcement.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98" w:lineRule="exact"/>
        <w:rPr>
          <w:sz w:val="20"/>
          <w:szCs w:val="20"/>
          <w:color w:val="auto"/>
        </w:rPr>
      </w:pPr>
    </w:p>
    <w:p>
      <w:pPr>
        <w:jc w:val="both"/>
        <w:ind w:firstLine="699"/>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Changes in law or policy could compel us or limit our ability to engage in content moderation, or otherwise limit the ability of users to engage in inappropriate or harmful behavior, and could expose us to liability.</w:t>
      </w:r>
    </w:p>
    <w:p>
      <w:pPr>
        <w:spacing w:after="0" w:line="46" w:lineRule="exact"/>
        <w:rPr>
          <w:sz w:val="20"/>
          <w:szCs w:val="20"/>
          <w:color w:val="auto"/>
        </w:rPr>
      </w:pPr>
    </w:p>
    <w:p>
      <w:pPr>
        <w:jc w:val="both"/>
        <w:ind w:firstLine="699"/>
        <w:spacing w:after="0" w:line="258" w:lineRule="auto"/>
        <w:rPr>
          <w:sz w:val="20"/>
          <w:szCs w:val="20"/>
          <w:color w:val="auto"/>
        </w:rPr>
      </w:pPr>
      <w:r>
        <w:rPr>
          <w:rFonts w:ascii="Times New Roman" w:cs="Times New Roman" w:eastAsia="Times New Roman" w:hAnsi="Times New Roman"/>
          <w:sz w:val="19"/>
          <w:szCs w:val="19"/>
          <w:color w:val="auto"/>
        </w:rPr>
        <w:t>There have been various Congressional and executive efforts to eliminate or modify Section 230 of the Communications Act of 1934, enacted as part of the Communications Decency Act of 1996. Section 230 provides protection for providers of online service from liability for content produced by third parties and protects the right to engage in moderation of user content. President Biden and many Members of Congress from both parties support the reform or repeal of Section 230, so the possibility of Congressional action remains. In addition, the FCC is considering a petition, filed by the Trump Administration,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 Democratic members of the FCC have indicated that they are opposed to the petition and now control the agenda of the FCC.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by former President Trump that, if successful, would greatly limit the scope of Section 230. The U.S. Supreme Court recently declined to limit the applicability of Section 230 in certain circumstances, but future cases may not yield the same results.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315" w:lineRule="exact"/>
        <w:rPr>
          <w:sz w:val="20"/>
          <w:szCs w:val="20"/>
          <w:color w:val="auto"/>
        </w:rPr>
      </w:pPr>
    </w:p>
    <w:p>
      <w:pPr>
        <w:jc w:val="both"/>
        <w:ind w:firstLine="699"/>
        <w:spacing w:after="0" w:line="259" w:lineRule="auto"/>
        <w:rPr>
          <w:sz w:val="20"/>
          <w:szCs w:val="20"/>
          <w:color w:val="auto"/>
        </w:rPr>
      </w:pPr>
      <w:r>
        <w:rPr>
          <w:rFonts w:ascii="Times New Roman" w:cs="Times New Roman" w:eastAsia="Times New Roman" w:hAnsi="Times New Roman"/>
          <w:sz w:val="19"/>
          <w:szCs w:val="19"/>
          <w:color w:val="auto"/>
        </w:rPr>
        <w:t>Legislation has been adopted in Florida and Texas that is intended to reduce or eliminate the power of businesses operating on the Internet to moderate user-generated content, implicitly eliminating the federal protections granted under Section 230. Similar legislation has been introduced in other states in 2022, including a bill that has passed the Georgia State Senate and is pending before the Georgia House. Implementation of the Florida and Texas statutes has been stayed by various federal courts, including the U.S. Supreme Court. On August 18, the parties in the Florida case requested, and were granted, a stay of the appeals court mandate pending Supreme Court review. On September 16, 2022, the U.S. Court of Appeals for the Fifth Circuit issued a decision upholding the Texas law. On September 30, the parties in that case filed an unopposed motion to stay the Fifth Circuit decision pending Supreme Court review, and the Fifth Circuit granted that request on October 13, 2022. On September 29, 2023, the Supreme Court announced that would review both the Florida and Texas decisions. A Supreme Court decision is expected during the first half of 2024. Florida recently amended its statute in an effort to address issues that led the court to issue the stay. It is likely that any other such state legislation also would be challenged under the First</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ectPr>
          <w:pgSz w:w="11880" w:h="15480" w:orient="portrait"/>
          <w:cols w:equalWidth="0" w:num="1">
            <w:col w:w="9960"/>
          </w:cols>
          <w:pgMar w:left="960" w:top="821" w:right="960" w:bottom="0" w:gutter="0" w:footer="0" w:header="0"/>
          <w:type w:val="continuous"/>
        </w:sectPr>
      </w:pPr>
    </w:p>
    <w:bookmarkStart w:id="42" w:name="page43"/>
    <w:bookmarkEnd w:id="42"/>
    <w:p>
      <w:pPr>
        <w:jc w:val="both"/>
        <w:spacing w:after="0" w:line="294" w:lineRule="auto"/>
        <w:rPr>
          <w:sz w:val="20"/>
          <w:szCs w:val="20"/>
          <w:color w:val="auto"/>
        </w:rPr>
      </w:pPr>
      <w:r>
        <w:rPr>
          <w:rFonts w:ascii="Times New Roman" w:cs="Times New Roman" w:eastAsia="Times New Roman" w:hAnsi="Times New Roman"/>
          <w:sz w:val="19"/>
          <w:szCs w:val="19"/>
          <w:color w:val="auto"/>
        </w:rPr>
        <w:t>Amendment to the U.S. Constitution and on the ground that it is preempted by Section 230. We cannot predict whether any such state legislation will be adopted, enforced, modified, overturned, or vacated.</w:t>
      </w:r>
    </w:p>
    <w:p>
      <w:pPr>
        <w:spacing w:after="0" w:line="47" w:lineRule="exact"/>
        <w:rPr>
          <w:sz w:val="20"/>
          <w:szCs w:val="20"/>
          <w:color w:val="auto"/>
        </w:rPr>
      </w:pPr>
    </w:p>
    <w:p>
      <w:pPr>
        <w:jc w:val="both"/>
        <w:ind w:firstLine="699"/>
        <w:spacing w:after="0" w:line="262" w:lineRule="auto"/>
        <w:rPr>
          <w:sz w:val="20"/>
          <w:szCs w:val="20"/>
          <w:color w:val="auto"/>
        </w:rPr>
      </w:pPr>
      <w:r>
        <w:rPr>
          <w:rFonts w:ascii="Times New Roman" w:cs="Times New Roman" w:eastAsia="Times New Roman" w:hAnsi="Times New Roman"/>
          <w:sz w:val="19"/>
          <w:szCs w:val="19"/>
          <w:color w:val="auto"/>
        </w:rPr>
        <w:t>Furthermore, new laws and regulations have been enacted or are being considered that impose extensive obligations regarding online safety and the operation of online services or platforms, such as the OSA and DSA, which may increase our compliance costs, require changes to our processes, operations, and business practices. For example, these new laws and regulations may seek to regulate the sharing of user</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generated content and require us to identify, mitigate, and manage the risks of harm to users from illegal or harmful content. Violating these obligations could carry significant consequences. For example, violating the DSA can result in fines of up to 6% of total annual worldwide revenue and violating the OSA can result in audits, inspections, and fines of up to £18 million or 10% of worldwide revenue, whichever is higher.</w:t>
      </w:r>
    </w:p>
    <w:p>
      <w:pPr>
        <w:spacing w:after="0" w:line="185" w:lineRule="exact"/>
        <w:rPr>
          <w:sz w:val="20"/>
          <w:szCs w:val="20"/>
          <w:color w:val="auto"/>
        </w:rPr>
      </w:pPr>
    </w:p>
    <w:p>
      <w:pPr>
        <w:jc w:val="both"/>
        <w:ind w:firstLine="524"/>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Federal Regulation</w:t>
      </w:r>
    </w:p>
    <w:p>
      <w:pPr>
        <w:spacing w:after="0" w:line="134"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 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318"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As described above, the FCC could reinstate its prior network neutrality regulations or adopt new regulations. See Part 1A. Failures in internet infrastructure or interference with broadband access could cause current or potential users to believe that our systems are unreliable, possibly leading our customers to switch to our competitors, or to cancel their subscriptions to our platform. Changes in FCC regulation of the internet and internet-based services also could impose new regulatory obligations on our other services.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79" w:lineRule="exact"/>
        <w:rPr>
          <w:sz w:val="20"/>
          <w:szCs w:val="20"/>
          <w:color w:val="auto"/>
        </w:rPr>
      </w:pPr>
    </w:p>
    <w:p>
      <w:pPr>
        <w:jc w:val="both"/>
        <w:ind w:firstLine="524"/>
        <w:spacing w:after="0" w:line="264" w:lineRule="auto"/>
        <w:rPr>
          <w:sz w:val="20"/>
          <w:szCs w:val="20"/>
          <w:color w:val="auto"/>
        </w:rPr>
      </w:pPr>
      <w:r>
        <w:rPr>
          <w:rFonts w:ascii="Times New Roman" w:cs="Times New Roman" w:eastAsia="Times New Roman" w:hAnsi="Times New Roman"/>
          <w:sz w:val="19"/>
          <w:szCs w:val="19"/>
          <w:color w:val="auto"/>
        </w:rPr>
        <w:t>On December 13, 2023, the FCC adopted revised rules on reporting of breaches of private customer information, known as CPNI. The revised rules could broaden the types of CPNI breaches that must be reported, but also could limit the number of reports that must be filed by adopting a minimum threshold for the number of customers affected and not requiring reporting in certain circumstances when customers are not harmed. The rules also require that breach reports be provided directly to the FCC, which could increase the risk of enforcement action, including fines and behavioral remedies. These rules are not yet in effect.</w:t>
      </w:r>
    </w:p>
    <w:p>
      <w:pPr>
        <w:spacing w:after="0" w:line="313"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The FCC has adopted rules that prohibit Chinese companies that are deemed to be a national security risk by other federal agencies from obtaining new authorizations and placed on a list known as the Covered List to sell telecommunications equipment in the U.S. and is considering proposed rules that would ban those companies from selling previously-authorized equipment or could prohibit use of their equipment in the U.S. Zoom does not currently have any equipment from the companies subject to the ban in its network, but if other companies are added to the Covered List and the FCC adopts rules that ban sales or use of equipment from such companies, we could be required to find new sources for similar equipment or replace existing equipment entirely.</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State Regulation</w:t>
      </w:r>
    </w:p>
    <w:p>
      <w:pPr>
        <w:spacing w:after="0" w:line="134"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The California Public Utilities Commission is now taking the position that it can require VoIP providers like Zoom Phone to obtain authority to operate in that state. We generally pass USF, E-911 fees, and other surcharges through to our customers where we are permitted to do so, which may result in our products becoming more expensive. We expect that state</w:t>
      </w:r>
    </w:p>
    <w:p>
      <w:pPr>
        <w:sectPr>
          <w:pgSz w:w="11880" w:h="15480" w:orient="portrait"/>
          <w:cols w:equalWidth="0" w:num="1">
            <w:col w:w="9960"/>
          </w:cols>
          <w:pgMar w:left="960" w:top="821" w:right="960" w:bottom="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1880" w:h="15480" w:orient="portrait"/>
          <w:cols w:equalWidth="0" w:num="1">
            <w:col w:w="9960"/>
          </w:cols>
          <w:pgMar w:left="960" w:top="821" w:right="960" w:bottom="0" w:gutter="0" w:footer="0" w:header="0"/>
          <w:type w:val="continuous"/>
        </w:sectPr>
      </w:pPr>
    </w:p>
    <w:bookmarkStart w:id="43" w:name="page44"/>
    <w:bookmarkEnd w:id="43"/>
    <w:p>
      <w:pPr>
        <w:jc w:val="both"/>
        <w:spacing w:after="0" w:line="268" w:lineRule="auto"/>
        <w:rPr>
          <w:sz w:val="20"/>
          <w:szCs w:val="20"/>
          <w:color w:val="auto"/>
        </w:rPr>
      </w:pPr>
      <w:r>
        <w:rPr>
          <w:rFonts w:ascii="Times New Roman" w:cs="Times New Roman" w:eastAsia="Times New Roman" w:hAnsi="Times New Roman"/>
          <w:sz w:val="19"/>
          <w:szCs w:val="19"/>
          <w:color w:val="auto"/>
        </w:rPr>
        <w:t>public utility commissions will continue their attempts to apply state telecommunications regulations to services like Zoom Phone. If we do not comply with any current or future state regulations that apply to our business, we could be subject to substantial fines and penalties, and we may have to restructure our product offerings, exit certain markets, or raise the price of our products, any of which could harm our business.</w:t>
      </w:r>
    </w:p>
    <w:p>
      <w:pPr>
        <w:spacing w:after="0" w:line="173" w:lineRule="exact"/>
        <w:rPr>
          <w:sz w:val="20"/>
          <w:szCs w:val="20"/>
          <w:color w:val="auto"/>
        </w:rPr>
      </w:pPr>
    </w:p>
    <w:p>
      <w:pPr>
        <w:jc w:val="both"/>
        <w:ind w:firstLine="524"/>
        <w:spacing w:after="0" w:line="251" w:lineRule="auto"/>
        <w:rPr>
          <w:sz w:val="20"/>
          <w:szCs w:val="20"/>
          <w:color w:val="auto"/>
        </w:rPr>
      </w:pPr>
      <w:r>
        <w:rPr>
          <w:rFonts w:ascii="Times New Roman" w:cs="Times New Roman" w:eastAsia="Times New Roman" w:hAnsi="Times New Roman"/>
          <w:sz w:val="19"/>
          <w:szCs w:val="19"/>
          <w:color w:val="auto"/>
        </w:rPr>
        <w:t>Certain states have adopted or are adopting or considering legislation or executive actions that would regulate the conduct of broadband providers. California’s state-specific network neutrality law has taken effect and Vermont’s law took effect, but a challenge to that law remains pending. We cannot predict whether other state initiatives will be enforced, modified, overturned, or vacated.</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International Regulation</w:t>
      </w:r>
    </w:p>
    <w:p>
      <w:pPr>
        <w:spacing w:after="0" w:line="134"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color w:val="auto"/>
        </w:rPr>
        <w:t>Risks Related to Our Intellectual Property</w:t>
      </w:r>
    </w:p>
    <w:p>
      <w:pPr>
        <w:spacing w:after="0" w:line="246"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We are currently, and may be in the future, party to intellectual property rights claims and other litigation matters, which, if resolved adversely, could harm our business.</w:t>
      </w:r>
    </w:p>
    <w:p>
      <w:pPr>
        <w:spacing w:after="0" w:line="46" w:lineRule="exact"/>
        <w:rPr>
          <w:sz w:val="20"/>
          <w:szCs w:val="20"/>
          <w:color w:val="auto"/>
        </w:rPr>
      </w:pPr>
    </w:p>
    <w:p>
      <w:pPr>
        <w:jc w:val="both"/>
        <w:ind w:firstLine="524"/>
        <w:spacing w:after="0" w:line="257" w:lineRule="auto"/>
        <w:rPr>
          <w:sz w:val="20"/>
          <w:szCs w:val="20"/>
          <w:color w:val="auto"/>
        </w:rPr>
      </w:pPr>
      <w:r>
        <w:rPr>
          <w:rFonts w:ascii="Times New Roman" w:cs="Times New Roman" w:eastAsia="Times New Roman" w:hAnsi="Times New Roman"/>
          <w:sz w:val="19"/>
          <w:szCs w:val="19"/>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203"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Our failure to protect our intellectual property rights and proprietary information could diminish our brand and other intangible assets.</w:t>
      </w:r>
    </w:p>
    <w:p>
      <w:pPr>
        <w:spacing w:after="0" w:line="46"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our pending and future patent, trademark, and copyright applications may not be approved; and we may not be able to prevent infringement without incurring substantial expense. We have also devoted substantial resources to the development of our proprietary</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ectPr>
          <w:pgSz w:w="11880" w:h="15480" w:orient="portrait"/>
          <w:cols w:equalWidth="0" w:num="1">
            <w:col w:w="9960"/>
          </w:cols>
          <w:pgMar w:left="960" w:top="821" w:right="960" w:bottom="0" w:gutter="0" w:footer="0" w:header="0"/>
          <w:type w:val="continuous"/>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19"/>
          <w:szCs w:val="19"/>
          <w:color w:val="auto"/>
        </w:rPr>
        <w:t>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200" w:lineRule="exact"/>
        <w:rPr>
          <w:sz w:val="20"/>
          <w:szCs w:val="20"/>
          <w:color w:val="auto"/>
        </w:rPr>
      </w:pPr>
    </w:p>
    <w:p>
      <w:pPr>
        <w:spacing w:after="0" w:line="225"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Our use of third-party open source software could negatively affect our ability to offer and sell subscriptions to our platform and subject us to possible litigation.</w:t>
      </w:r>
    </w:p>
    <w:p>
      <w:pPr>
        <w:spacing w:after="0" w:line="46" w:lineRule="exact"/>
        <w:rPr>
          <w:sz w:val="20"/>
          <w:szCs w:val="20"/>
          <w:color w:val="auto"/>
        </w:rPr>
      </w:pPr>
    </w:p>
    <w:p>
      <w:pPr>
        <w:jc w:val="both"/>
        <w:ind w:firstLine="524"/>
        <w:spacing w:after="0" w:line="257" w:lineRule="auto"/>
        <w:rPr>
          <w:sz w:val="20"/>
          <w:szCs w:val="20"/>
          <w:color w:val="auto"/>
        </w:rPr>
      </w:pPr>
      <w:r>
        <w:rPr>
          <w:rFonts w:ascii="Times New Roman" w:cs="Times New Roman" w:eastAsia="Times New Roman" w:hAnsi="Times New Roman"/>
          <w:sz w:val="19"/>
          <w:szCs w:val="19"/>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our source code that incorporates or is a modification of such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publicly release certain portions of our proprietary source code. We could also be required to expend substantial time and resources to re-engineer some of our software. Any of the foregoing could disrupt and harm our business.</w:t>
      </w:r>
    </w:p>
    <w:p>
      <w:pPr>
        <w:spacing w:after="0" w:line="96"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color w:val="auto"/>
        </w:rPr>
        <w:t>Risks Related to Ownership of Our Class A Common Stock</w:t>
      </w:r>
    </w:p>
    <w:p>
      <w:pPr>
        <w:spacing w:after="0" w:line="2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The trading price of our Class A common stock may be volatile, and you could lose all or part of your investment.</w:t>
      </w:r>
    </w:p>
    <w:p>
      <w:pPr>
        <w:spacing w:after="0" w:line="13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following:</w:t>
      </w:r>
    </w:p>
    <w:p>
      <w:pPr>
        <w:spacing w:after="0" w:line="72" w:lineRule="exact"/>
        <w:rPr>
          <w:sz w:val="20"/>
          <w:szCs w:val="20"/>
          <w:color w:val="auto"/>
        </w:rPr>
      </w:pPr>
    </w:p>
    <w:p>
      <w:pPr>
        <w:ind w:left="700" w:hanging="350"/>
        <w:spacing w:after="0"/>
        <w:tabs>
          <w:tab w:leader="none" w:pos="7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price and volume fluctuations in the overall stock market from time to time;</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ectPr>
          <w:pgSz w:w="11880" w:h="15480" w:orient="portrait"/>
          <w:cols w:equalWidth="0" w:num="1">
            <w:col w:w="9960"/>
          </w:cols>
          <w:pgMar w:left="960" w:top="821" w:right="960" w:bottom="0" w:gutter="0" w:footer="0" w:header="0"/>
          <w:type w:val="continuous"/>
        </w:sectPr>
      </w:pPr>
    </w:p>
    <w:bookmarkStart w:id="45" w:name="page46"/>
    <w:bookmarkEnd w:id="45"/>
    <w:p>
      <w:pPr>
        <w:ind w:left="700" w:hanging="350"/>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volatility in the trading prices and trading volumes of technology stocks;</w:t>
      </w:r>
    </w:p>
    <w:p>
      <w:pPr>
        <w:spacing w:after="0" w:line="130"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operating performance and stock market valuations of other technology companies generally, or those in our industry in particular;</w:t>
      </w:r>
    </w:p>
    <w:p>
      <w:pPr>
        <w:spacing w:after="0" w:line="4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of shares of our Class A common stock by us or our stockholders;</w:t>
      </w:r>
    </w:p>
    <w:p>
      <w:pPr>
        <w:spacing w:after="0" w:line="130"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of securities analysts to maintain coverage of us, changes in financial estimates by securities analysts who follow our company, or our failure to meet these estimates or the expectations of investors;</w:t>
      </w:r>
    </w:p>
    <w:p>
      <w:pPr>
        <w:spacing w:after="0" w:line="47"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financial projections we may provide to the public, any changes in those projections, or our failure to meet those projections;</w:t>
      </w:r>
    </w:p>
    <w:p>
      <w:pPr>
        <w:spacing w:after="0" w:line="4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announcements by us or our competitors of new products, features, or services;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public’s reaction to our press releases, other public announcements, and filings with the SEC;</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rumors and market speculation involving us or other companies in our industry;</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changes in our results of operations or fluctuations in our results of operations;</w:t>
      </w:r>
    </w:p>
    <w:p>
      <w:pPr>
        <w:spacing w:after="0" w:line="130" w:lineRule="exact"/>
        <w:rPr>
          <w:rFonts w:ascii="Times New Roman" w:cs="Times New Roman" w:eastAsia="Times New Roman" w:hAnsi="Times New Roman"/>
          <w:sz w:val="19"/>
          <w:szCs w:val="19"/>
          <w:color w:val="auto"/>
        </w:rPr>
      </w:pPr>
    </w:p>
    <w:p>
      <w:pPr>
        <w:ind w:left="700" w:hanging="350"/>
        <w:spacing w:after="0" w:line="267" w:lineRule="auto"/>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developments in our business, our competitors’ businesses, or the competitive landscape generally;</w:t>
      </w:r>
    </w:p>
    <w:p>
      <w:pPr>
        <w:spacing w:after="0" w:line="339"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litigation involving us, our industry, or both, or investigations by regulators into our operations or those of our competitors;</w:t>
      </w:r>
    </w:p>
    <w:p>
      <w:pPr>
        <w:spacing w:after="0" w:line="4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developments or disputes concerning our intellectual property or other proprietary rights;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announced or completed acquisitions of businesses, products, services, or technologies by us or our competitors;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laws or regulations or new interpretations of existing laws or regulations applicable to our business;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accounting standards, policies, guidelines, interpretations, or principles;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significant change in our management; and</w:t>
      </w:r>
    </w:p>
    <w:p>
      <w:pPr>
        <w:spacing w:after="0" w:line="130" w:lineRule="exact"/>
        <w:rPr>
          <w:rFonts w:ascii="Times New Roman" w:cs="Times New Roman" w:eastAsia="Times New Roman" w:hAnsi="Times New Roman"/>
          <w:sz w:val="19"/>
          <w:szCs w:val="19"/>
          <w:color w:val="auto"/>
        </w:rPr>
      </w:pPr>
    </w:p>
    <w:p>
      <w:pPr>
        <w:ind w:left="700" w:hanging="350"/>
        <w:spacing w:after="0" w:line="294" w:lineRule="auto"/>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political, social, economic and market conditions, in both domestic and our foreign markets, including effects of increased interest rates and inflationary pressures.</w:t>
      </w:r>
    </w:p>
    <w:p>
      <w:pPr>
        <w:spacing w:after="0" w:line="47"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Securities litigation against us could result in substantial costs and divert our management’s time and attention from other business concerns, which could harm our business. We may be the target of additional litigation of this type in the future as well.</w:t>
      </w:r>
    </w:p>
    <w:p>
      <w:pPr>
        <w:spacing w:after="0" w:line="186" w:lineRule="exact"/>
        <w:rPr>
          <w:sz w:val="20"/>
          <w:szCs w:val="20"/>
          <w:color w:val="auto"/>
        </w:rPr>
      </w:pPr>
    </w:p>
    <w:p>
      <w:pPr>
        <w:jc w:val="both"/>
        <w:ind w:firstLine="524"/>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spacing w:after="0" w:line="67"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Our Class B common stock has 10 votes per share and our Class A common stock has one vote per share. As of January 31, 2024, the holders of our outstanding Class B common stock held 64.1% of the voting power of our outstanding capital stock, with our directors, executive officers and 5% stockholders and their respective affiliates holding 56.8% of such voting power in the aggregate. As of January 31, 2024, our founder, President and Chief Executive Officer, Eric S. Yuan, together with his affiliates, held approximately 7.4% of our outstanding capital stock but controlled approximately 31.0%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spacing w:after="0" w:line="315"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In addition, the holders of Class B common stock collectively will continue to be able to control all matters submitted to our stockholders for approval even if their stock holdings represent less than a majority of the outstanding shares of our</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ectPr>
          <w:pgSz w:w="11880" w:h="15480" w:orient="portrait"/>
          <w:cols w:equalWidth="0" w:num="1">
            <w:col w:w="9960"/>
          </w:cols>
          <w:pgMar w:left="960" w:top="821" w:right="960" w:bottom="0" w:gutter="0" w:footer="0" w:header="0"/>
          <w:type w:val="continuous"/>
        </w:sectPr>
      </w:pPr>
    </w:p>
    <w:bookmarkStart w:id="46" w:name="page47"/>
    <w:bookmarkEnd w:id="46"/>
    <w:p>
      <w:pPr>
        <w:jc w:val="both"/>
        <w:spacing w:after="0" w:line="294" w:lineRule="auto"/>
        <w:rPr>
          <w:sz w:val="20"/>
          <w:szCs w:val="20"/>
          <w:color w:val="auto"/>
        </w:rPr>
      </w:pPr>
      <w:r>
        <w:rPr>
          <w:rFonts w:ascii="Times New Roman" w:cs="Times New Roman" w:eastAsia="Times New Roman" w:hAnsi="Times New Roman"/>
          <w:sz w:val="19"/>
          <w:szCs w:val="19"/>
          <w:color w:val="auto"/>
        </w:rPr>
        <w:t>common stock. This concentrated control will limit your ability to influence corporate matters for the foreseeable future, and, as a result, the market price of our Class A common stock could be adversely affected.</w:t>
      </w:r>
    </w:p>
    <w:p>
      <w:pPr>
        <w:spacing w:after="0" w:line="47"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200" w:lineRule="exact"/>
        <w:rPr>
          <w:sz w:val="20"/>
          <w:szCs w:val="20"/>
          <w:color w:val="auto"/>
        </w:rPr>
      </w:pPr>
    </w:p>
    <w:p>
      <w:pPr>
        <w:spacing w:after="0" w:line="225"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46"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84"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Substantial future sales of shares of our Class A common stock and Class B common stock could cause the market price of our Class A common stock to decline.</w:t>
      </w:r>
    </w:p>
    <w:p>
      <w:pPr>
        <w:spacing w:after="0" w:line="46"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64"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spacing w:after="0" w:line="75"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73" w:lineRule="exact"/>
        <w:rPr>
          <w:sz w:val="20"/>
          <w:szCs w:val="20"/>
          <w:color w:val="auto"/>
        </w:rPr>
      </w:pPr>
    </w:p>
    <w:p>
      <w:pPr>
        <w:jc w:val="both"/>
        <w:ind w:firstLine="524"/>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67"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Our charter documents also contain other provisions that could have an anti-takeover effect, such as:</w:t>
      </w:r>
    </w:p>
    <w:p>
      <w:pPr>
        <w:spacing w:after="0" w:line="131" w:lineRule="exact"/>
        <w:rPr>
          <w:sz w:val="20"/>
          <w:szCs w:val="20"/>
          <w:color w:val="auto"/>
        </w:rPr>
      </w:pPr>
    </w:p>
    <w:p>
      <w:pPr>
        <w:ind w:left="1400" w:hanging="526"/>
        <w:spacing w:after="0"/>
        <w:tabs>
          <w:tab w:leader="none" w:pos="14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establishing a classified board of directors so that not all members of our board of directors are elected at one</w:t>
      </w:r>
    </w:p>
    <w:p>
      <w:pPr>
        <w:spacing w:after="0" w:line="14" w:lineRule="exact"/>
        <w:rPr>
          <w:rFonts w:ascii="Times New Roman" w:cs="Times New Roman" w:eastAsia="Times New Roman" w:hAnsi="Times New Roman"/>
          <w:sz w:val="19"/>
          <w:szCs w:val="19"/>
          <w:color w:val="auto"/>
        </w:rPr>
      </w:pPr>
    </w:p>
    <w:p>
      <w:pPr>
        <w:ind w:left="7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time;</w:t>
      </w:r>
    </w:p>
    <w:p>
      <w:pPr>
        <w:spacing w:after="0" w:line="130" w:lineRule="exact"/>
        <w:rPr>
          <w:rFonts w:ascii="Times New Roman" w:cs="Times New Roman" w:eastAsia="Times New Roman" w:hAnsi="Times New Roman"/>
          <w:sz w:val="19"/>
          <w:szCs w:val="19"/>
          <w:color w:val="auto"/>
        </w:rPr>
      </w:pPr>
    </w:p>
    <w:p>
      <w:pPr>
        <w:ind w:left="700" w:firstLine="174"/>
        <w:spacing w:after="0" w:line="294" w:lineRule="auto"/>
        <w:tabs>
          <w:tab w:leader="none" w:pos="139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permitting the board of directors to establish the number of directors and fill any vacancies and newly created directorships;</w:t>
      </w:r>
    </w:p>
    <w:p>
      <w:pPr>
        <w:spacing w:after="0" w:line="47" w:lineRule="exact"/>
        <w:rPr>
          <w:rFonts w:ascii="Times New Roman" w:cs="Times New Roman" w:eastAsia="Times New Roman" w:hAnsi="Times New Roman"/>
          <w:sz w:val="19"/>
          <w:szCs w:val="19"/>
          <w:color w:val="auto"/>
        </w:rPr>
      </w:pPr>
    </w:p>
    <w:p>
      <w:pPr>
        <w:ind w:left="1400" w:hanging="526"/>
        <w:spacing w:after="0"/>
        <w:tabs>
          <w:tab w:leader="none" w:pos="14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providing that directors may only be removed for cause;</w:t>
      </w:r>
    </w:p>
    <w:p>
      <w:pPr>
        <w:spacing w:after="0" w:line="130" w:lineRule="exact"/>
        <w:rPr>
          <w:rFonts w:ascii="Times New Roman" w:cs="Times New Roman" w:eastAsia="Times New Roman" w:hAnsi="Times New Roman"/>
          <w:sz w:val="19"/>
          <w:szCs w:val="19"/>
          <w:color w:val="auto"/>
        </w:rPr>
      </w:pPr>
    </w:p>
    <w:p>
      <w:pPr>
        <w:ind w:left="1400" w:hanging="526"/>
        <w:spacing w:after="0"/>
        <w:tabs>
          <w:tab w:leader="none" w:pos="14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prohibiting cumulative voting for directors;</w:t>
      </w:r>
    </w:p>
    <w:p>
      <w:pPr>
        <w:spacing w:after="0" w:line="130" w:lineRule="exact"/>
        <w:rPr>
          <w:rFonts w:ascii="Times New Roman" w:cs="Times New Roman" w:eastAsia="Times New Roman" w:hAnsi="Times New Roman"/>
          <w:sz w:val="19"/>
          <w:szCs w:val="19"/>
          <w:color w:val="auto"/>
        </w:rPr>
      </w:pPr>
    </w:p>
    <w:p>
      <w:pPr>
        <w:ind w:left="1400" w:hanging="526"/>
        <w:spacing w:after="0"/>
        <w:tabs>
          <w:tab w:leader="none" w:pos="14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requiring super-majority voting to amend some provisions in our certificate of incorporation and bylaws;</w:t>
      </w:r>
    </w:p>
    <w:p>
      <w:pPr>
        <w:spacing w:after="0" w:line="130" w:lineRule="exact"/>
        <w:rPr>
          <w:rFonts w:ascii="Times New Roman" w:cs="Times New Roman" w:eastAsia="Times New Roman" w:hAnsi="Times New Roman"/>
          <w:sz w:val="19"/>
          <w:szCs w:val="19"/>
          <w:color w:val="auto"/>
        </w:rPr>
      </w:pPr>
    </w:p>
    <w:p>
      <w:pPr>
        <w:ind w:left="700" w:firstLine="174"/>
        <w:spacing w:after="0" w:line="294" w:lineRule="auto"/>
        <w:tabs>
          <w:tab w:leader="none" w:pos="139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authorizing the issuance of “blank check” preferred stock that our board of directors could use to implement a stockholder rights plan;</w:t>
      </w:r>
    </w:p>
    <w:p>
      <w:pPr>
        <w:spacing w:after="0" w:line="47" w:lineRule="exact"/>
        <w:rPr>
          <w:rFonts w:ascii="Times New Roman" w:cs="Times New Roman" w:eastAsia="Times New Roman" w:hAnsi="Times New Roman"/>
          <w:sz w:val="19"/>
          <w:szCs w:val="19"/>
          <w:color w:val="auto"/>
        </w:rPr>
      </w:pPr>
    </w:p>
    <w:p>
      <w:pPr>
        <w:ind w:left="1400" w:hanging="526"/>
        <w:spacing w:after="0"/>
        <w:tabs>
          <w:tab w:leader="none" w:pos="14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eliminating the ability of stockholders to call special meetings of stockholders;</w:t>
      </w:r>
    </w:p>
    <w:p>
      <w:pPr>
        <w:spacing w:after="0" w:line="130" w:lineRule="exact"/>
        <w:rPr>
          <w:rFonts w:ascii="Times New Roman" w:cs="Times New Roman" w:eastAsia="Times New Roman" w:hAnsi="Times New Roman"/>
          <w:sz w:val="19"/>
          <w:szCs w:val="19"/>
          <w:color w:val="auto"/>
        </w:rPr>
      </w:pPr>
    </w:p>
    <w:p>
      <w:pPr>
        <w:ind w:left="700" w:firstLine="174"/>
        <w:spacing w:after="0" w:line="294" w:lineRule="auto"/>
        <w:tabs>
          <w:tab w:leader="none" w:pos="139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prohibiting stockholder action by written consent, which requires all stockholder actions to be taken at a meeting of our stockholders; and</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ectPr>
          <w:pgSz w:w="11880" w:h="15480" w:orient="portrait"/>
          <w:cols w:equalWidth="0" w:num="1">
            <w:col w:w="9960"/>
          </w:cols>
          <w:pgMar w:left="960" w:top="821" w:right="960" w:bottom="0" w:gutter="0" w:footer="0" w:header="0"/>
          <w:type w:val="continuous"/>
        </w:sectPr>
      </w:pPr>
    </w:p>
    <w:bookmarkStart w:id="47" w:name="page48"/>
    <w:bookmarkEnd w:id="47"/>
    <w:p>
      <w:pPr>
        <w:ind w:left="1400" w:hanging="526"/>
        <w:spacing w:after="0"/>
        <w:tabs>
          <w:tab w:leader="none" w:pos="14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dual-class common stock structure as described above.</w:t>
      </w:r>
    </w:p>
    <w:p>
      <w:pPr>
        <w:spacing w:after="0" w:line="131"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86" w:lineRule="exact"/>
        <w:rPr>
          <w:sz w:val="20"/>
          <w:szCs w:val="20"/>
          <w:color w:val="auto"/>
        </w:rPr>
      </w:pPr>
    </w:p>
    <w:p>
      <w:pPr>
        <w:jc w:val="both"/>
        <w:ind w:firstLine="524"/>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73"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80"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We do not intend to pay dividends for the foreseeable future.</w:t>
      </w:r>
    </w:p>
    <w:p>
      <w:pPr>
        <w:spacing w:after="0" w:line="13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color w:val="auto"/>
        </w:rPr>
        <w:t>General Risk Factors</w:t>
      </w:r>
    </w:p>
    <w:p>
      <w:pPr>
        <w:spacing w:after="0" w:line="246"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46"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and collaboration platforms, and some or many of those organizations may choose to continue using legacy communication methods or point solutions offered by our competitors. It is impossible to build every product feature that every customer or user wants, and our competitors may develop and offer features that our platform does not provide. The variables that go into</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ectPr>
          <w:pgSz w:w="11880" w:h="15480" w:orient="portrait"/>
          <w:cols w:equalWidth="0" w:num="1">
            <w:col w:w="9960"/>
          </w:cols>
          <w:pgMar w:left="960" w:top="821" w:right="960" w:bottom="0" w:gutter="0" w:footer="0" w:header="0"/>
          <w:type w:val="continuous"/>
        </w:sectPr>
      </w:pPr>
    </w:p>
    <w:bookmarkStart w:id="48" w:name="page49"/>
    <w:bookmarkEnd w:id="48"/>
    <w:p>
      <w:pPr>
        <w:jc w:val="both"/>
        <w:spacing w:after="0" w:line="265" w:lineRule="auto"/>
        <w:rPr>
          <w:sz w:val="20"/>
          <w:szCs w:val="20"/>
          <w:color w:val="auto"/>
        </w:rPr>
      </w:pPr>
      <w:r>
        <w:rPr>
          <w:rFonts w:ascii="Times New Roman" w:cs="Times New Roman" w:eastAsia="Times New Roman" w:hAnsi="Times New Roman"/>
          <w:sz w:val="19"/>
          <w:szCs w:val="19"/>
          <w:color w:val="auto"/>
        </w:rPr>
        <w:t>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Our business could be disrupted by catastrophic events.</w:t>
      </w:r>
    </w:p>
    <w:p>
      <w:pPr>
        <w:spacing w:after="0" w:line="139"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7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We also face risks related to health epidemics.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We are subject to risks associated with our strategic investments, including partial or complete loss of invested capital.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Significant changes in the fair value of our investment portfolio could negatively impact our financial results.</w:t>
      </w:r>
    </w:p>
    <w:p>
      <w:pPr>
        <w:spacing w:after="0" w:line="139"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 extent on liquidity events. The capital markets for public offerings and acquisitions are currently depressed and the likelihood of successful liquidity events for the companies we have invested in could significantly worsen. In addition, valuations of privately held companies are inherently complex due to the lack of readily available market data.</w:t>
      </w:r>
    </w:p>
    <w:p>
      <w:pPr>
        <w:spacing w:after="0" w:line="79"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We record all fair value adjustments of our publicly traded and privately held non-marketable securities through the consolidated statement of operations. As a result, we may experience additional volatility to our statements of operations due to 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86"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Our reported results of operations may be adversely affected by changes in accounting principles generally accepted in the United States.</w:t>
      </w:r>
    </w:p>
    <w:p>
      <w:pPr>
        <w:spacing w:after="0" w:line="46"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184"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We may need additional capital, and we cannot be certain that additional financing will be available on favorable terms, or at all.</w:t>
      </w:r>
    </w:p>
    <w:p>
      <w:pPr>
        <w:spacing w:after="0" w:line="46"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particularly</w:t>
      </w:r>
    </w:p>
    <w:p>
      <w:pPr>
        <w:sectPr>
          <w:pgSz w:w="11880" w:h="15480" w:orient="portrait"/>
          <w:cols w:equalWidth="0" w:num="1">
            <w:col w:w="9960"/>
          </w:cols>
          <w:pgMar w:left="960" w:top="821" w:right="960" w:bottom="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ectPr>
          <w:pgSz w:w="11880" w:h="15480" w:orient="portrait"/>
          <w:cols w:equalWidth="0" w:num="1">
            <w:col w:w="9960"/>
          </w:cols>
          <w:pgMar w:left="960" w:top="821" w:right="960" w:bottom="0" w:gutter="0" w:footer="0" w:header="0"/>
          <w:type w:val="continuous"/>
        </w:sectPr>
      </w:pPr>
    </w:p>
    <w:bookmarkStart w:id="49" w:name="page50"/>
    <w:bookmarkEnd w:id="49"/>
    <w:p>
      <w:pPr>
        <w:jc w:val="both"/>
        <w:spacing w:after="0" w:line="268" w:lineRule="auto"/>
        <w:rPr>
          <w:sz w:val="20"/>
          <w:szCs w:val="20"/>
          <w:color w:val="auto"/>
        </w:rPr>
      </w:pPr>
      <w:r>
        <w:rPr>
          <w:rFonts w:ascii="Times New Roman" w:cs="Times New Roman" w:eastAsia="Times New Roman" w:hAnsi="Times New Roman"/>
          <w:sz w:val="19"/>
          <w:szCs w:val="19"/>
          <w:color w:val="auto"/>
        </w:rPr>
        <w:t>during times of market volatility and general economic instability. The need for additional liquidity may also be affected by the federal government’s potential failure to raise the debt ceiling or correct a prolonged banking or financial crisis.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81" w:lineRule="exact"/>
        <w:rPr>
          <w:sz w:val="20"/>
          <w:szCs w:val="20"/>
          <w:color w:val="auto"/>
        </w:rPr>
      </w:pPr>
    </w:p>
    <w:p>
      <w:pPr>
        <w:jc w:val="both"/>
        <w:ind w:firstLine="524"/>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295" w:lineRule="exact"/>
        <w:rPr>
          <w:sz w:val="20"/>
          <w:szCs w:val="20"/>
          <w:color w:val="auto"/>
        </w:rPr>
      </w:pPr>
    </w:p>
    <w:p>
      <w:pPr>
        <w:jc w:val="both"/>
        <w:ind w:firstLine="524"/>
        <w:spacing w:after="0" w:line="267" w:lineRule="auto"/>
        <w:rPr>
          <w:sz w:val="20"/>
          <w:szCs w:val="20"/>
          <w:color w:val="auto"/>
        </w:rPr>
      </w:pPr>
      <w:r>
        <w:rPr>
          <w:rFonts w:ascii="Times New Roman" w:cs="Times New Roman" w:eastAsia="Times New Roman" w:hAnsi="Times New Roman"/>
          <w:sz w:val="19"/>
          <w:szCs w:val="19"/>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309"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 our accounting, legal and IT organizations.</w:t>
      </w:r>
    </w:p>
    <w:p>
      <w:pPr>
        <w:spacing w:after="0" w:line="79"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79"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Recently, the SEC has alleged violations of internal controls at other public companies, even in the absence of an underlying accounting or disclosure violation, which significantly increases the enforcement risk faced by us and other public companies for any weaknesses in disclosure controls and internal control over financial reporting.</w:t>
      </w:r>
    </w:p>
    <w:p>
      <w:pPr>
        <w:spacing w:after="0" w:line="79"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spacing w:after="0" w:line="75"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84"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Our Class A common stock market price and trading volume could decline if securities or industry analysts do not publish research or publish inaccurate or unfavorable research about our business.</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ectPr>
          <w:pgSz w:w="11880" w:h="15480" w:orient="portrait"/>
          <w:cols w:equalWidth="0" w:num="1">
            <w:col w:w="9960"/>
          </w:cols>
          <w:pgMar w:left="960" w:top="821" w:right="960" w:bottom="0" w:gutter="0" w:footer="0" w:header="0"/>
          <w:type w:val="continuous"/>
        </w:sectPr>
      </w:pPr>
    </w:p>
    <w:bookmarkStart w:id="50" w:name="page51"/>
    <w:bookmarkEnd w:id="50"/>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186"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We incur costs and demands upon management as a result of complying with the laws and regulations affecting public companies in the United States, which may harm our business.</w:t>
      </w:r>
    </w:p>
    <w:p>
      <w:pPr>
        <w:spacing w:after="0" w:line="46"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83"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84"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Regulators', investors’ and other stakeholders’ expectations of our performance relating to environmental, social and governance factors may impose additional costs and expose us to new risks.</w:t>
      </w:r>
    </w:p>
    <w:p>
      <w:pPr>
        <w:spacing w:after="0" w:line="46"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There is an increasing focus from regulators, investors, customers and other stakeholders concerning environmental, social and governance matters (“ESG”). Regulators are driving legislation to bring consistency and transparency to ESG disclosures. Some investors may use these ESG performance factors to guide their investment strategies and, in some cases, may choose not to invest in us if they believe our policies and actions relating to ESG are inadequate. We may face reputational damage in the event that we do not meet the ESG standards set by various constituencies.</w:t>
      </w:r>
    </w:p>
    <w:p>
      <w:pPr>
        <w:spacing w:after="0" w:line="75"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Our voluntary ESG and climate disclosures, as well as our reporting under related disclosure regulations, or a failure to meet evolving stakeholder expectations for ESG reporting and practices, may potentially harm our reputation and customer relationships or expose us to liability. Due to new regulatory standards and market standards, certain new or existing customers may impose stricter ESG guidelines or contractual language for, and may scrutinize relationships more closely with, their counterparties, including us, which may lengthen sales cycles or increase our costs.</w:t>
      </w:r>
    </w:p>
    <w:p>
      <w:pPr>
        <w:spacing w:after="0" w:line="75"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Furthermore, if our competitors’ ESG performance is perceived to be better than ours, potential or current investors may elect to invest with our competitors instead. In addition, in the event that we communicate certain initiatives or goals regarding ESG matters, we could fail, or be perceived to fail, in our achievement of such initiatives or goals, or we could be criticized for the scope of such initiatives or goals.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Climate change may have an impact on our business.</w:t>
      </w:r>
    </w:p>
    <w:p>
      <w:pPr>
        <w:spacing w:after="0" w:line="139"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While we seek to mitigate our business risks associated with climate change (such as drought, wildfires, hurricanes, increased storm severity and sea level rise), we recognize that there are inherent climate-related risks wherever business is conducted. Our primary locations may be vulnerable to the adverse effects of climate change. For example, certain of our offices have experienced, and are projected to continue to experience, climate-related events at an increasing frequency, including drought, heat waves, wildfires and resultant air quality impacts and power shutoffs associated with wildfire prevention. Changing market dynamics, global policy developments and the increasing frequency and impact of extreme weather events on critical infrastructure in the U.S. and elsewhere have the potential to disrupt our business, the business of our third-party suppliers and the business of our customers, and may cause us to experience losses and additional costs to maintain or resume operations. In addition, we may be subject to increased regulations, reporting requirements, standards or expectations regarding the environmental impacts of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1B. UNRESOLVED STAFF COMMENTS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None.</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ectPr>
          <w:pgSz w:w="11880" w:h="15480" w:orient="portrait"/>
          <w:cols w:equalWidth="0" w:num="1">
            <w:col w:w="9960"/>
          </w:cols>
          <w:pgMar w:left="960" w:top="821" w:right="96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9"/>
          <w:szCs w:val="19"/>
          <w:b w:val="1"/>
          <w:bCs w:val="1"/>
          <w:color w:val="auto"/>
        </w:rPr>
        <w:t>Item 1C. CYBERSECURITY</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Risk Management and Strategy</w:t>
      </w:r>
    </w:p>
    <w:p>
      <w:pPr>
        <w:spacing w:after="0" w:line="139"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We have designed and implemented an information security program that is tailored to our operations and infrastructure, the nature of our products and services, and the sensitivity of data. Our information security program consists of processes that are designed to identify, assess, and manage material risks from cybersecurity threats.</w:t>
      </w:r>
    </w:p>
    <w:p>
      <w:pPr>
        <w:spacing w:after="0" w:line="64"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We have implemented cybersecurity risk management processes that include, for example, vulnerability assessments, application security assessments, penetration testing, third party security assessments, security audits, and ongoing risk assessments. In addition, we have implemented technical, physical, and organizational safeguards designed to mitigate material risks from cybersecurity threats, including, for example, depending on the environment or system: information security policies and standards, data protection policies and standards, security training and awareness campaigns, information protection processes, and systems monitoring for cybersecurity threats. We have also implemented an Incident Response Plan and procedures that provide a framework for responding to cybersecurity incidents. The Incident Response Plan and procedures provide protocols for incident evaluation, including the use of third-party service providers, processes for notification, and internal escalation of information to our senior management and the appropriate Board committee(s). The Incident Response Plan is reviewed and updated, as necessary, under the leadership of Zoom’s Chief Information Security Officer (“CISO”).</w:t>
      </w:r>
    </w:p>
    <w:p>
      <w:pPr>
        <w:spacing w:after="0" w:line="79"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Further, our assessment and management of material risks from cybersecurity threats are an important element of our overall enterprise risk management program and included in our annual enterprise risk assessment which we provide to senior management and the Board.</w:t>
      </w:r>
    </w:p>
    <w:p>
      <w:pPr>
        <w:spacing w:after="0" w:line="64"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We use third-party service providers to assist us from time to time to identify, assess, and manage material risks from cybersecurity threats, including for example: professional services firms (including legal counsel), threat intelligence service providers, cybersecurity consultants, cybersecurity software and managed service providers, penetration testing firms, and forensic investigators.</w:t>
      </w:r>
    </w:p>
    <w:p>
      <w:pPr>
        <w:spacing w:after="0" w:line="72"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We have a third party risk management program designed to oversee, identify, and mitigate material risks from cybersecurity threats associated with our use of third-party service providers. We perform risk-based due diligence and ongoing monitoring of third parties, which may include, for example: reviewing the third party’s relevant security audits and assessments; conducting our own security assessments, and imposing contractual obligations related to information security.</w:t>
      </w:r>
    </w:p>
    <w:p>
      <w:pPr>
        <w:spacing w:after="0" w:line="72"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For a description of the risks from cybersecurity threats that may materially affect us, see “Part I, Item 1A. Risk Factors” of this Annual Report on Form 10-K.</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Governance</w:t>
      </w:r>
    </w:p>
    <w:p>
      <w:pPr>
        <w:spacing w:after="0" w:line="139"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Our Board addresses our cybersecurity risk management as part of its general oversight function. As outlined in its committee charter, the Cybersecurity Risk Management Committee of the Board (“Cybersecurity Risk Committee”) assists the Board in fulfilling its oversight responsibility. Our CISO, Michael Adams, leads the team responsible for implementing and maintaining our information security program and reports directly to the Chief Operating Officer (“COO”), who reports directly to our Chief Executive Officer (“CEO”). Mr. Adams is a graduate of the United States Naval Academy and brings nearly 30 years of security and leadership experience, including serving as Deputy General Counsel of NATO's International Security Assistance Force Joint Command, Deputy General Counsel of the United States' Military's Pacific Command, and Deputy General Counsel for two Chairmen of the Joint Chiefs of Staff of the United States, as well as an executive at a leading technology company. Mr. Adams previously also served as Zoom's Chief Counsel to the COO and CISO.</w:t>
      </w:r>
    </w:p>
    <w:p>
      <w:pPr>
        <w:spacing w:after="0" w:line="83"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The CISO provides regular briefings to our senior management and the Cybersecurity Risk Committee concerning relevant cybersecurity risks and the processes we have implemented to address them. The Cybersecurity Risk Committee and the Board also receive various reports, summaries, and presentations related to cybersecurity threats, risks, and mitigations.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 PROPERTIES</w:t>
      </w:r>
    </w:p>
    <w:p>
      <w:pPr>
        <w:spacing w:after="0" w:line="138"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Our corporate headquarters is located in San Jose, California, where we lease approximately 103,000 square feet of commercial space pursuant to operating leases that expire in the fiscal year ending January 31, 2030. In addition, we maintain additional offices in the United States and internationally in APAC and EMEA.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LEGAL PROCEEDINGS</w:t>
      </w:r>
    </w:p>
    <w:p>
      <w:pPr>
        <w:spacing w:after="0" w:line="138" w:lineRule="exact"/>
        <w:rPr>
          <w:sz w:val="20"/>
          <w:szCs w:val="20"/>
          <w:color w:val="auto"/>
        </w:rPr>
      </w:pPr>
    </w:p>
    <w:p>
      <w:pPr>
        <w:jc w:val="both"/>
        <w:ind w:firstLine="524"/>
        <w:spacing w:after="0" w:line="272" w:lineRule="auto"/>
        <w:rPr>
          <w:sz w:val="20"/>
          <w:szCs w:val="20"/>
          <w:color w:val="auto"/>
        </w:rPr>
      </w:pPr>
      <w:r>
        <w:rPr>
          <w:rFonts w:ascii="Times New Roman" w:cs="Times New Roman" w:eastAsia="Times New Roman" w:hAnsi="Times New Roman"/>
          <w:sz w:val="19"/>
          <w:szCs w:val="19"/>
          <w:color w:val="auto"/>
        </w:rPr>
        <w:t>Information with respect to this item may be found in Note 9 - “Commitment and Contingencies” in the accompanying notes to the consolidated financial statements included in Part II, Item 8, “Consolidated Financial Statements and Supplementary Data” of this Annual Report on Form 10-K, under “Legal Proceedings,” which is incorporated herein by reference.</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ectPr>
          <w:pgSz w:w="11880" w:h="15480" w:orient="portrait"/>
          <w:cols w:equalWidth="0" w:num="1">
            <w:col w:w="9960"/>
          </w:cols>
          <w:pgMar w:left="960" w:top="815" w:right="96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Not applicable.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4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color w:val="auto"/>
        </w:rPr>
        <w:t>Item 5. MARKET FOR REGISTRANT'S COMMON EQUITY, RELATED STOCKHOLDER MATTERS, AND ISSUER PURCHASES OF EQUITY SECURITIES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Market Information</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Our Class A common stock is listed on the Nasdaq Global Select Market under the symbol “ZM.”</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Holders of Record</w:t>
      </w:r>
    </w:p>
    <w:p>
      <w:pPr>
        <w:spacing w:after="0" w:line="138"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As of January 31, 2024, we had 59 holders of record of our Class A common stock and 14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Dividend Policy</w:t>
      </w:r>
    </w:p>
    <w:p>
      <w:pPr>
        <w:spacing w:after="0" w:line="138"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Stock Performance Graph</w:t>
      </w:r>
    </w:p>
    <w:p>
      <w:pPr>
        <w:spacing w:after="0" w:line="135" w:lineRule="exact"/>
        <w:rPr>
          <w:sz w:val="20"/>
          <w:szCs w:val="20"/>
          <w:color w:val="auto"/>
        </w:rPr>
      </w:pPr>
    </w:p>
    <w:p>
      <w:pPr>
        <w:jc w:val="both"/>
        <w:ind w:firstLine="524"/>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64"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The following graph compares (i) the cumulative total stockholder return on our Class A common stock from April 18, 2019 (the date our Class A common stock commenced trading on the Nasdaq Global Select Market) through January 31, 2024 with (ii) the cumulative total return of the Russell 2000 Index (“RUT”) and the Nasdaq Computer Index (“IXCO”) over the same period, assuming the investment of $100 in our Class A common stock and in both of the other indices on April 18, 2019 and the reinvestment of dividends. The graph uses the closing market price on April 18, 2019 of $62.00 per share as the initial value of our Class A common stock. As discussed above, we have never declared or paid a cash dividend on our Class A common stock and do not anticipate declaring or paying a cash dividend in the foreseeable future.</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ectPr>
          <w:pgSz w:w="11880" w:h="15480" w:orient="portrait"/>
          <w:cols w:equalWidth="0" w:num="1">
            <w:col w:w="9960"/>
          </w:cols>
          <w:pgMar w:left="960" w:top="815" w:right="960" w:bottom="0" w:gutter="0" w:footer="0" w:header="0"/>
          <w:type w:val="continuous"/>
        </w:sectPr>
      </w:pPr>
    </w:p>
    <w:bookmarkStart w:id="53" w:name="page54"/>
    <w:bookmarkEnd w:id="53"/>
    <w:p>
      <w:pPr>
        <w:jc w:val="center"/>
        <w:ind w:right="20"/>
        <w:spacing w:after="0"/>
        <w:rPr>
          <w:sz w:val="20"/>
          <w:szCs w:val="20"/>
          <w:color w:val="auto"/>
        </w:rPr>
      </w:pPr>
      <w:r>
        <w:rPr>
          <w:rFonts w:ascii="Arial" w:cs="Arial" w:eastAsia="Arial" w:hAnsi="Arial"/>
          <w:sz w:val="23"/>
          <w:szCs w:val="23"/>
          <w:b w:val="1"/>
          <w:bCs w:val="1"/>
          <w:color w:val="595959"/>
        </w:rPr>
        <w:t>Indexed TSR</w:t>
      </w:r>
    </w:p>
    <w:p>
      <w:pPr>
        <w:spacing w:after="0" w:line="169" w:lineRule="exact"/>
        <w:rPr>
          <w:sz w:val="20"/>
          <w:szCs w:val="20"/>
          <w:color w:val="auto"/>
        </w:rPr>
      </w:pPr>
    </w:p>
    <w:tbl>
      <w:tblPr>
        <w:tblLayout w:type="fixed"/>
        <w:tblInd w:w="1080" w:type="dxa"/>
        <w:tblCellMar>
          <w:top w:w="0" w:type="dxa"/>
          <w:left w:w="0" w:type="dxa"/>
          <w:bottom w:w="0" w:type="dxa"/>
          <w:right w:w="0" w:type="dxa"/>
        </w:tblCellMar>
      </w:tblPr>
      <w:tr>
        <w:trPr>
          <w:trHeight w:val="109"/>
        </w:trPr>
        <w:tc>
          <w:tcPr>
            <w:tcW w:w="640" w:type="dxa"/>
            <w:vAlign w:val="bottom"/>
            <w:vMerge w:val="restart"/>
          </w:tcPr>
          <w:p>
            <w:pPr>
              <w:jc w:val="right"/>
              <w:ind w:right="132"/>
              <w:spacing w:after="0"/>
              <w:rPr>
                <w:sz w:val="20"/>
                <w:szCs w:val="20"/>
                <w:color w:val="auto"/>
              </w:rPr>
            </w:pPr>
            <w:r>
              <w:rPr>
                <w:rFonts w:ascii="Arial" w:cs="Arial" w:eastAsia="Arial" w:hAnsi="Arial"/>
                <w:sz w:val="19"/>
                <w:szCs w:val="19"/>
                <w:b w:val="1"/>
                <w:bCs w:val="1"/>
                <w:color w:val="595959"/>
                <w:w w:val="94"/>
              </w:rPr>
              <w:t>$800</w:t>
            </w:r>
          </w:p>
        </w:tc>
        <w:tc>
          <w:tcPr>
            <w:tcW w:w="200" w:type="dxa"/>
            <w:vAlign w:val="bottom"/>
            <w:tcBorders>
              <w:bottom w:val="single" w:sz="8" w:color="E6E6E6"/>
            </w:tcBorders>
          </w:tcPr>
          <w:p>
            <w:pPr>
              <w:spacing w:after="0"/>
              <w:rPr>
                <w:sz w:val="9"/>
                <w:szCs w:val="9"/>
                <w:color w:val="auto"/>
              </w:rPr>
            </w:pPr>
          </w:p>
        </w:tc>
        <w:tc>
          <w:tcPr>
            <w:tcW w:w="180" w:type="dxa"/>
            <w:vAlign w:val="bottom"/>
            <w:tcBorders>
              <w:bottom w:val="single" w:sz="8" w:color="E6E6E6"/>
            </w:tcBorders>
          </w:tcPr>
          <w:p>
            <w:pPr>
              <w:spacing w:after="0"/>
              <w:rPr>
                <w:sz w:val="9"/>
                <w:szCs w:val="9"/>
                <w:color w:val="auto"/>
              </w:rPr>
            </w:pPr>
          </w:p>
        </w:tc>
        <w:tc>
          <w:tcPr>
            <w:tcW w:w="20" w:type="dxa"/>
            <w:vAlign w:val="bottom"/>
            <w:tcBorders>
              <w:bottom w:val="single" w:sz="8" w:color="E6E6E6"/>
            </w:tcBorders>
          </w:tcPr>
          <w:p>
            <w:pPr>
              <w:spacing w:after="0"/>
              <w:rPr>
                <w:sz w:val="9"/>
                <w:szCs w:val="9"/>
                <w:color w:val="auto"/>
              </w:rPr>
            </w:pPr>
          </w:p>
        </w:tc>
        <w:tc>
          <w:tcPr>
            <w:tcW w:w="340" w:type="dxa"/>
            <w:vAlign w:val="bottom"/>
            <w:tcBorders>
              <w:bottom w:val="single" w:sz="8" w:color="E6E6E6"/>
            </w:tcBorders>
          </w:tcPr>
          <w:p>
            <w:pPr>
              <w:spacing w:after="0"/>
              <w:rPr>
                <w:sz w:val="9"/>
                <w:szCs w:val="9"/>
                <w:color w:val="auto"/>
              </w:rPr>
            </w:pPr>
          </w:p>
        </w:tc>
        <w:tc>
          <w:tcPr>
            <w:tcW w:w="20" w:type="dxa"/>
            <w:vAlign w:val="bottom"/>
            <w:tcBorders>
              <w:bottom w:val="single" w:sz="8" w:color="E6E6E6"/>
            </w:tcBorders>
          </w:tcPr>
          <w:p>
            <w:pPr>
              <w:spacing w:after="0"/>
              <w:rPr>
                <w:sz w:val="9"/>
                <w:szCs w:val="9"/>
                <w:color w:val="auto"/>
              </w:rPr>
            </w:pPr>
          </w:p>
        </w:tc>
        <w:tc>
          <w:tcPr>
            <w:tcW w:w="320" w:type="dxa"/>
            <w:vAlign w:val="bottom"/>
            <w:tcBorders>
              <w:bottom w:val="single" w:sz="8" w:color="E6E6E6"/>
            </w:tcBorders>
          </w:tcPr>
          <w:p>
            <w:pPr>
              <w:spacing w:after="0"/>
              <w:rPr>
                <w:sz w:val="9"/>
                <w:szCs w:val="9"/>
                <w:color w:val="auto"/>
              </w:rPr>
            </w:pPr>
          </w:p>
        </w:tc>
        <w:tc>
          <w:tcPr>
            <w:tcW w:w="20" w:type="dxa"/>
            <w:vAlign w:val="bottom"/>
            <w:tcBorders>
              <w:bottom w:val="single" w:sz="8" w:color="E6E6E6"/>
            </w:tcBorders>
          </w:tcPr>
          <w:p>
            <w:pPr>
              <w:spacing w:after="0"/>
              <w:rPr>
                <w:sz w:val="9"/>
                <w:szCs w:val="9"/>
                <w:color w:val="auto"/>
              </w:rPr>
            </w:pPr>
          </w:p>
        </w:tc>
        <w:tc>
          <w:tcPr>
            <w:tcW w:w="360" w:type="dxa"/>
            <w:vAlign w:val="bottom"/>
            <w:tcBorders>
              <w:bottom w:val="single" w:sz="8" w:color="E6E6E6"/>
            </w:tcBorders>
          </w:tcPr>
          <w:p>
            <w:pPr>
              <w:spacing w:after="0"/>
              <w:rPr>
                <w:sz w:val="9"/>
                <w:szCs w:val="9"/>
                <w:color w:val="auto"/>
              </w:rPr>
            </w:pPr>
          </w:p>
        </w:tc>
        <w:tc>
          <w:tcPr>
            <w:tcW w:w="340" w:type="dxa"/>
            <w:vAlign w:val="bottom"/>
            <w:tcBorders>
              <w:bottom w:val="single" w:sz="8" w:color="E6E6E6"/>
            </w:tcBorders>
          </w:tcPr>
          <w:p>
            <w:pPr>
              <w:spacing w:after="0"/>
              <w:rPr>
                <w:sz w:val="9"/>
                <w:szCs w:val="9"/>
                <w:color w:val="auto"/>
              </w:rPr>
            </w:pPr>
          </w:p>
        </w:tc>
        <w:tc>
          <w:tcPr>
            <w:tcW w:w="20" w:type="dxa"/>
            <w:vAlign w:val="bottom"/>
            <w:tcBorders>
              <w:bottom w:val="single" w:sz="8" w:color="E6E6E6"/>
            </w:tcBorders>
          </w:tcPr>
          <w:p>
            <w:pPr>
              <w:spacing w:after="0"/>
              <w:rPr>
                <w:sz w:val="9"/>
                <w:szCs w:val="9"/>
                <w:color w:val="auto"/>
              </w:rPr>
            </w:pPr>
          </w:p>
        </w:tc>
        <w:tc>
          <w:tcPr>
            <w:tcW w:w="340" w:type="dxa"/>
            <w:vAlign w:val="bottom"/>
            <w:tcBorders>
              <w:bottom w:val="single" w:sz="8" w:color="E6E6E6"/>
            </w:tcBorders>
          </w:tcPr>
          <w:p>
            <w:pPr>
              <w:spacing w:after="0"/>
              <w:rPr>
                <w:sz w:val="9"/>
                <w:szCs w:val="9"/>
                <w:color w:val="auto"/>
              </w:rPr>
            </w:pPr>
          </w:p>
        </w:tc>
        <w:tc>
          <w:tcPr>
            <w:tcW w:w="360" w:type="dxa"/>
            <w:vAlign w:val="bottom"/>
            <w:tcBorders>
              <w:bottom w:val="single" w:sz="8" w:color="E6E6E6"/>
            </w:tcBorders>
          </w:tcPr>
          <w:p>
            <w:pPr>
              <w:spacing w:after="0"/>
              <w:rPr>
                <w:sz w:val="9"/>
                <w:szCs w:val="9"/>
                <w:color w:val="auto"/>
              </w:rPr>
            </w:pPr>
          </w:p>
        </w:tc>
        <w:tc>
          <w:tcPr>
            <w:tcW w:w="20" w:type="dxa"/>
            <w:vAlign w:val="bottom"/>
            <w:tcBorders>
              <w:bottom w:val="single" w:sz="8" w:color="E6E6E6"/>
            </w:tcBorders>
          </w:tcPr>
          <w:p>
            <w:pPr>
              <w:spacing w:after="0"/>
              <w:rPr>
                <w:sz w:val="9"/>
                <w:szCs w:val="9"/>
                <w:color w:val="auto"/>
              </w:rPr>
            </w:pPr>
          </w:p>
        </w:tc>
        <w:tc>
          <w:tcPr>
            <w:tcW w:w="340" w:type="dxa"/>
            <w:vAlign w:val="bottom"/>
            <w:tcBorders>
              <w:bottom w:val="single" w:sz="8" w:color="E6E6E6"/>
            </w:tcBorders>
          </w:tcPr>
          <w:p>
            <w:pPr>
              <w:spacing w:after="0"/>
              <w:rPr>
                <w:sz w:val="9"/>
                <w:szCs w:val="9"/>
                <w:color w:val="auto"/>
              </w:rPr>
            </w:pPr>
          </w:p>
        </w:tc>
        <w:tc>
          <w:tcPr>
            <w:tcW w:w="120" w:type="dxa"/>
            <w:vAlign w:val="bottom"/>
            <w:tcBorders>
              <w:bottom w:val="single" w:sz="8" w:color="E6E6E6"/>
            </w:tcBorders>
          </w:tcPr>
          <w:p>
            <w:pPr>
              <w:spacing w:after="0"/>
              <w:rPr>
                <w:sz w:val="9"/>
                <w:szCs w:val="9"/>
                <w:color w:val="auto"/>
              </w:rPr>
            </w:pPr>
          </w:p>
        </w:tc>
        <w:tc>
          <w:tcPr>
            <w:tcW w:w="220" w:type="dxa"/>
            <w:vAlign w:val="bottom"/>
            <w:tcBorders>
              <w:bottom w:val="single" w:sz="8" w:color="E6E6E6"/>
            </w:tcBorders>
          </w:tcPr>
          <w:p>
            <w:pPr>
              <w:spacing w:after="0"/>
              <w:rPr>
                <w:sz w:val="9"/>
                <w:szCs w:val="9"/>
                <w:color w:val="auto"/>
              </w:rPr>
            </w:pPr>
          </w:p>
        </w:tc>
        <w:tc>
          <w:tcPr>
            <w:tcW w:w="20" w:type="dxa"/>
            <w:vAlign w:val="bottom"/>
            <w:tcBorders>
              <w:bottom w:val="single" w:sz="8" w:color="E6E6E6"/>
            </w:tcBorders>
          </w:tcPr>
          <w:p>
            <w:pPr>
              <w:spacing w:after="0"/>
              <w:rPr>
                <w:sz w:val="9"/>
                <w:szCs w:val="9"/>
                <w:color w:val="auto"/>
              </w:rPr>
            </w:pPr>
          </w:p>
        </w:tc>
        <w:tc>
          <w:tcPr>
            <w:tcW w:w="360" w:type="dxa"/>
            <w:vAlign w:val="bottom"/>
            <w:tcBorders>
              <w:bottom w:val="single" w:sz="8" w:color="E6E6E6"/>
            </w:tcBorders>
          </w:tcPr>
          <w:p>
            <w:pPr>
              <w:spacing w:after="0"/>
              <w:rPr>
                <w:sz w:val="9"/>
                <w:szCs w:val="9"/>
                <w:color w:val="auto"/>
              </w:rPr>
            </w:pPr>
          </w:p>
        </w:tc>
        <w:tc>
          <w:tcPr>
            <w:tcW w:w="340" w:type="dxa"/>
            <w:vAlign w:val="bottom"/>
            <w:tcBorders>
              <w:bottom w:val="single" w:sz="8" w:color="E6E6E6"/>
            </w:tcBorders>
          </w:tcPr>
          <w:p>
            <w:pPr>
              <w:spacing w:after="0"/>
              <w:rPr>
                <w:sz w:val="9"/>
                <w:szCs w:val="9"/>
                <w:color w:val="auto"/>
              </w:rPr>
            </w:pPr>
          </w:p>
        </w:tc>
        <w:tc>
          <w:tcPr>
            <w:tcW w:w="20" w:type="dxa"/>
            <w:vAlign w:val="bottom"/>
            <w:tcBorders>
              <w:bottom w:val="single" w:sz="8" w:color="E6E6E6"/>
            </w:tcBorders>
          </w:tcPr>
          <w:p>
            <w:pPr>
              <w:spacing w:after="0"/>
              <w:rPr>
                <w:sz w:val="9"/>
                <w:szCs w:val="9"/>
                <w:color w:val="auto"/>
              </w:rPr>
            </w:pPr>
          </w:p>
        </w:tc>
        <w:tc>
          <w:tcPr>
            <w:tcW w:w="320" w:type="dxa"/>
            <w:vAlign w:val="bottom"/>
            <w:tcBorders>
              <w:bottom w:val="single" w:sz="8" w:color="E6E6E6"/>
            </w:tcBorders>
          </w:tcPr>
          <w:p>
            <w:pPr>
              <w:spacing w:after="0"/>
              <w:rPr>
                <w:sz w:val="9"/>
                <w:szCs w:val="9"/>
                <w:color w:val="auto"/>
              </w:rPr>
            </w:pPr>
          </w:p>
        </w:tc>
        <w:tc>
          <w:tcPr>
            <w:tcW w:w="40" w:type="dxa"/>
            <w:vAlign w:val="bottom"/>
            <w:tcBorders>
              <w:bottom w:val="single" w:sz="8" w:color="E6E6E6"/>
            </w:tcBorders>
          </w:tcPr>
          <w:p>
            <w:pPr>
              <w:spacing w:after="0"/>
              <w:rPr>
                <w:sz w:val="9"/>
                <w:szCs w:val="9"/>
                <w:color w:val="auto"/>
              </w:rPr>
            </w:pPr>
          </w:p>
        </w:tc>
        <w:tc>
          <w:tcPr>
            <w:tcW w:w="340" w:type="dxa"/>
            <w:vAlign w:val="bottom"/>
            <w:tcBorders>
              <w:bottom w:val="single" w:sz="8" w:color="E6E6E6"/>
            </w:tcBorders>
          </w:tcPr>
          <w:p>
            <w:pPr>
              <w:spacing w:after="0"/>
              <w:rPr>
                <w:sz w:val="9"/>
                <w:szCs w:val="9"/>
                <w:color w:val="auto"/>
              </w:rPr>
            </w:pPr>
          </w:p>
        </w:tc>
        <w:tc>
          <w:tcPr>
            <w:tcW w:w="340" w:type="dxa"/>
            <w:vAlign w:val="bottom"/>
            <w:tcBorders>
              <w:bottom w:val="single" w:sz="8" w:color="E6E6E6"/>
            </w:tcBorders>
          </w:tcPr>
          <w:p>
            <w:pPr>
              <w:spacing w:after="0"/>
              <w:rPr>
                <w:sz w:val="9"/>
                <w:szCs w:val="9"/>
                <w:color w:val="auto"/>
              </w:rPr>
            </w:pPr>
          </w:p>
        </w:tc>
        <w:tc>
          <w:tcPr>
            <w:tcW w:w="20" w:type="dxa"/>
            <w:vAlign w:val="bottom"/>
            <w:tcBorders>
              <w:bottom w:val="single" w:sz="8" w:color="E6E6E6"/>
            </w:tcBorders>
          </w:tcPr>
          <w:p>
            <w:pPr>
              <w:spacing w:after="0"/>
              <w:rPr>
                <w:sz w:val="9"/>
                <w:szCs w:val="9"/>
                <w:color w:val="auto"/>
              </w:rPr>
            </w:pPr>
          </w:p>
        </w:tc>
        <w:tc>
          <w:tcPr>
            <w:tcW w:w="340" w:type="dxa"/>
            <w:vAlign w:val="bottom"/>
            <w:tcBorders>
              <w:bottom w:val="single" w:sz="8" w:color="E6E6E6"/>
            </w:tcBorders>
          </w:tcPr>
          <w:p>
            <w:pPr>
              <w:spacing w:after="0"/>
              <w:rPr>
                <w:sz w:val="9"/>
                <w:szCs w:val="9"/>
                <w:color w:val="auto"/>
              </w:rPr>
            </w:pPr>
          </w:p>
        </w:tc>
        <w:tc>
          <w:tcPr>
            <w:tcW w:w="360" w:type="dxa"/>
            <w:vAlign w:val="bottom"/>
            <w:tcBorders>
              <w:bottom w:val="single" w:sz="8" w:color="E6E6E6"/>
            </w:tcBorders>
          </w:tcPr>
          <w:p>
            <w:pPr>
              <w:spacing w:after="0"/>
              <w:rPr>
                <w:sz w:val="9"/>
                <w:szCs w:val="9"/>
                <w:color w:val="auto"/>
              </w:rPr>
            </w:pPr>
          </w:p>
        </w:tc>
        <w:tc>
          <w:tcPr>
            <w:tcW w:w="20" w:type="dxa"/>
            <w:vAlign w:val="bottom"/>
            <w:tcBorders>
              <w:bottom w:val="single" w:sz="8" w:color="E6E6E6"/>
            </w:tcBorders>
          </w:tcPr>
          <w:p>
            <w:pPr>
              <w:spacing w:after="0"/>
              <w:rPr>
                <w:sz w:val="9"/>
                <w:szCs w:val="9"/>
                <w:color w:val="auto"/>
              </w:rPr>
            </w:pPr>
          </w:p>
        </w:tc>
        <w:tc>
          <w:tcPr>
            <w:tcW w:w="160" w:type="dxa"/>
            <w:vAlign w:val="bottom"/>
            <w:tcBorders>
              <w:bottom w:val="single" w:sz="8" w:color="E6E6E6"/>
            </w:tcBorders>
          </w:tcPr>
          <w:p>
            <w:pPr>
              <w:spacing w:after="0"/>
              <w:rPr>
                <w:sz w:val="9"/>
                <w:szCs w:val="9"/>
                <w:color w:val="auto"/>
              </w:rPr>
            </w:pPr>
          </w:p>
        </w:tc>
        <w:tc>
          <w:tcPr>
            <w:tcW w:w="180" w:type="dxa"/>
            <w:vAlign w:val="bottom"/>
            <w:tcBorders>
              <w:bottom w:val="single" w:sz="8" w:color="E6E6E6"/>
            </w:tcBorders>
          </w:tcPr>
          <w:p>
            <w:pPr>
              <w:spacing w:after="0"/>
              <w:rPr>
                <w:sz w:val="9"/>
                <w:szCs w:val="9"/>
                <w:color w:val="auto"/>
              </w:rPr>
            </w:pPr>
          </w:p>
        </w:tc>
        <w:tc>
          <w:tcPr>
            <w:tcW w:w="340" w:type="dxa"/>
            <w:vAlign w:val="bottom"/>
            <w:tcBorders>
              <w:bottom w:val="single" w:sz="8" w:color="E6E6E6"/>
            </w:tcBorders>
          </w:tcPr>
          <w:p>
            <w:pPr>
              <w:spacing w:after="0"/>
              <w:rPr>
                <w:sz w:val="9"/>
                <w:szCs w:val="9"/>
                <w:color w:val="auto"/>
              </w:rPr>
            </w:pPr>
          </w:p>
        </w:tc>
        <w:tc>
          <w:tcPr>
            <w:tcW w:w="20" w:type="dxa"/>
            <w:vAlign w:val="bottom"/>
            <w:tcBorders>
              <w:bottom w:val="single" w:sz="8" w:color="E6E6E6"/>
            </w:tcBorders>
          </w:tcPr>
          <w:p>
            <w:pPr>
              <w:spacing w:after="0"/>
              <w:rPr>
                <w:sz w:val="9"/>
                <w:szCs w:val="9"/>
                <w:color w:val="auto"/>
              </w:rPr>
            </w:pPr>
          </w:p>
        </w:tc>
        <w:tc>
          <w:tcPr>
            <w:tcW w:w="360" w:type="dxa"/>
            <w:vAlign w:val="bottom"/>
            <w:tcBorders>
              <w:bottom w:val="single" w:sz="8" w:color="E6E6E6"/>
            </w:tcBorders>
          </w:tcPr>
          <w:p>
            <w:pPr>
              <w:spacing w:after="0"/>
              <w:rPr>
                <w:sz w:val="9"/>
                <w:szCs w:val="9"/>
                <w:color w:val="auto"/>
              </w:rPr>
            </w:pPr>
          </w:p>
        </w:tc>
        <w:tc>
          <w:tcPr>
            <w:tcW w:w="360" w:type="dxa"/>
            <w:vAlign w:val="bottom"/>
            <w:tcBorders>
              <w:bottom w:val="single" w:sz="8" w:color="E6E6E6"/>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40" w:type="dxa"/>
            <w:vAlign w:val="bottom"/>
            <w:vMerge w:val="restart"/>
          </w:tcPr>
          <w:p>
            <w:pPr>
              <w:jc w:val="right"/>
              <w:ind w:right="132"/>
              <w:spacing w:after="0"/>
              <w:rPr>
                <w:sz w:val="20"/>
                <w:szCs w:val="20"/>
                <w:color w:val="auto"/>
              </w:rPr>
            </w:pPr>
            <w:r>
              <w:rPr>
                <w:rFonts w:ascii="Arial" w:cs="Arial" w:eastAsia="Arial" w:hAnsi="Arial"/>
                <w:sz w:val="19"/>
                <w:szCs w:val="19"/>
                <w:b w:val="1"/>
                <w:bCs w:val="1"/>
                <w:color w:val="595959"/>
                <w:w w:val="94"/>
              </w:rPr>
              <w:t>$700</w:t>
            </w:r>
          </w:p>
        </w:tc>
        <w:tc>
          <w:tcPr>
            <w:tcW w:w="200" w:type="dxa"/>
            <w:vAlign w:val="bottom"/>
            <w:tcBorders>
              <w:bottom w:val="single" w:sz="8" w:color="E6E6E6"/>
            </w:tcBorders>
          </w:tcPr>
          <w:p>
            <w:pPr>
              <w:spacing w:after="0"/>
              <w:rPr>
                <w:sz w:val="17"/>
                <w:szCs w:val="17"/>
                <w:color w:val="auto"/>
              </w:rPr>
            </w:pPr>
          </w:p>
        </w:tc>
        <w:tc>
          <w:tcPr>
            <w:tcW w:w="1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120" w:type="dxa"/>
            <w:vAlign w:val="bottom"/>
            <w:tcBorders>
              <w:bottom w:val="single" w:sz="8" w:color="E6E6E6"/>
            </w:tcBorders>
          </w:tcPr>
          <w:p>
            <w:pPr>
              <w:spacing w:after="0"/>
              <w:rPr>
                <w:sz w:val="17"/>
                <w:szCs w:val="17"/>
                <w:color w:val="auto"/>
              </w:rPr>
            </w:pPr>
          </w:p>
        </w:tc>
        <w:tc>
          <w:tcPr>
            <w:tcW w:w="2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20" w:type="dxa"/>
            <w:vAlign w:val="bottom"/>
            <w:tcBorders>
              <w:bottom w:val="single" w:sz="8" w:color="E6E6E6"/>
            </w:tcBorders>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60" w:type="dxa"/>
            <w:vAlign w:val="bottom"/>
            <w:tcBorders>
              <w:bottom w:val="single" w:sz="8" w:color="E6E6E6"/>
            </w:tcBorders>
          </w:tcPr>
          <w:p>
            <w:pPr>
              <w:spacing w:after="0"/>
              <w:rPr>
                <w:sz w:val="17"/>
                <w:szCs w:val="17"/>
                <w:color w:val="auto"/>
              </w:rPr>
            </w:pPr>
          </w:p>
        </w:tc>
        <w:tc>
          <w:tcPr>
            <w:tcW w:w="18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640" w:type="dxa"/>
            <w:vAlign w:val="bottom"/>
            <w:vMerge w:val="restart"/>
          </w:tcPr>
          <w:p>
            <w:pPr>
              <w:jc w:val="right"/>
              <w:ind w:right="132"/>
              <w:spacing w:after="0"/>
              <w:rPr>
                <w:sz w:val="20"/>
                <w:szCs w:val="20"/>
                <w:color w:val="auto"/>
              </w:rPr>
            </w:pPr>
            <w:r>
              <w:rPr>
                <w:rFonts w:ascii="Arial" w:cs="Arial" w:eastAsia="Arial" w:hAnsi="Arial"/>
                <w:sz w:val="19"/>
                <w:szCs w:val="19"/>
                <w:b w:val="1"/>
                <w:bCs w:val="1"/>
                <w:color w:val="595959"/>
                <w:w w:val="94"/>
              </w:rPr>
              <w:t>$600</w:t>
            </w:r>
          </w:p>
        </w:tc>
        <w:tc>
          <w:tcPr>
            <w:tcW w:w="200" w:type="dxa"/>
            <w:vAlign w:val="bottom"/>
            <w:tcBorders>
              <w:bottom w:val="single" w:sz="8" w:color="E6E6E6"/>
            </w:tcBorders>
          </w:tcPr>
          <w:p>
            <w:pPr>
              <w:spacing w:after="0"/>
              <w:rPr>
                <w:sz w:val="17"/>
                <w:szCs w:val="17"/>
                <w:color w:val="auto"/>
              </w:rPr>
            </w:pPr>
          </w:p>
        </w:tc>
        <w:tc>
          <w:tcPr>
            <w:tcW w:w="1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120" w:type="dxa"/>
            <w:vAlign w:val="bottom"/>
            <w:tcBorders>
              <w:bottom w:val="single" w:sz="8" w:color="E6E6E6"/>
            </w:tcBorders>
          </w:tcPr>
          <w:p>
            <w:pPr>
              <w:spacing w:after="0"/>
              <w:rPr>
                <w:sz w:val="17"/>
                <w:szCs w:val="17"/>
                <w:color w:val="auto"/>
              </w:rPr>
            </w:pPr>
          </w:p>
        </w:tc>
        <w:tc>
          <w:tcPr>
            <w:tcW w:w="2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20" w:type="dxa"/>
            <w:vAlign w:val="bottom"/>
            <w:tcBorders>
              <w:bottom w:val="single" w:sz="8" w:color="E6E6E6"/>
            </w:tcBorders>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60" w:type="dxa"/>
            <w:vAlign w:val="bottom"/>
            <w:tcBorders>
              <w:bottom w:val="single" w:sz="8" w:color="E6E6E6"/>
            </w:tcBorders>
          </w:tcPr>
          <w:p>
            <w:pPr>
              <w:spacing w:after="0"/>
              <w:rPr>
                <w:sz w:val="17"/>
                <w:szCs w:val="17"/>
                <w:color w:val="auto"/>
              </w:rPr>
            </w:pPr>
          </w:p>
        </w:tc>
        <w:tc>
          <w:tcPr>
            <w:tcW w:w="18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640" w:type="dxa"/>
            <w:vAlign w:val="bottom"/>
            <w:vMerge w:val="restart"/>
          </w:tcPr>
          <w:p>
            <w:pPr>
              <w:jc w:val="right"/>
              <w:ind w:right="132"/>
              <w:spacing w:after="0"/>
              <w:rPr>
                <w:sz w:val="20"/>
                <w:szCs w:val="20"/>
                <w:color w:val="auto"/>
              </w:rPr>
            </w:pPr>
            <w:r>
              <w:rPr>
                <w:rFonts w:ascii="Arial" w:cs="Arial" w:eastAsia="Arial" w:hAnsi="Arial"/>
                <w:sz w:val="19"/>
                <w:szCs w:val="19"/>
                <w:b w:val="1"/>
                <w:bCs w:val="1"/>
                <w:color w:val="595959"/>
                <w:w w:val="94"/>
              </w:rPr>
              <w:t>$500</w:t>
            </w:r>
          </w:p>
        </w:tc>
        <w:tc>
          <w:tcPr>
            <w:tcW w:w="200" w:type="dxa"/>
            <w:vAlign w:val="bottom"/>
            <w:tcBorders>
              <w:bottom w:val="single" w:sz="8" w:color="E6E6E6"/>
            </w:tcBorders>
          </w:tcPr>
          <w:p>
            <w:pPr>
              <w:spacing w:after="0"/>
              <w:rPr>
                <w:sz w:val="17"/>
                <w:szCs w:val="17"/>
                <w:color w:val="auto"/>
              </w:rPr>
            </w:pPr>
          </w:p>
        </w:tc>
        <w:tc>
          <w:tcPr>
            <w:tcW w:w="1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120" w:type="dxa"/>
            <w:vAlign w:val="bottom"/>
            <w:tcBorders>
              <w:bottom w:val="single" w:sz="8" w:color="E6E6E6"/>
            </w:tcBorders>
          </w:tcPr>
          <w:p>
            <w:pPr>
              <w:spacing w:after="0"/>
              <w:rPr>
                <w:sz w:val="17"/>
                <w:szCs w:val="17"/>
                <w:color w:val="auto"/>
              </w:rPr>
            </w:pPr>
          </w:p>
        </w:tc>
        <w:tc>
          <w:tcPr>
            <w:tcW w:w="2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20" w:type="dxa"/>
            <w:vAlign w:val="bottom"/>
            <w:tcBorders>
              <w:bottom w:val="single" w:sz="8" w:color="E6E6E6"/>
            </w:tcBorders>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60" w:type="dxa"/>
            <w:vAlign w:val="bottom"/>
            <w:tcBorders>
              <w:bottom w:val="single" w:sz="8" w:color="E6E6E6"/>
            </w:tcBorders>
          </w:tcPr>
          <w:p>
            <w:pPr>
              <w:spacing w:after="0"/>
              <w:rPr>
                <w:sz w:val="17"/>
                <w:szCs w:val="17"/>
                <w:color w:val="auto"/>
              </w:rPr>
            </w:pPr>
          </w:p>
        </w:tc>
        <w:tc>
          <w:tcPr>
            <w:tcW w:w="18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640" w:type="dxa"/>
            <w:vAlign w:val="bottom"/>
            <w:vMerge w:val="restart"/>
          </w:tcPr>
          <w:p>
            <w:pPr>
              <w:jc w:val="right"/>
              <w:ind w:right="132"/>
              <w:spacing w:after="0"/>
              <w:rPr>
                <w:sz w:val="20"/>
                <w:szCs w:val="20"/>
                <w:color w:val="auto"/>
              </w:rPr>
            </w:pPr>
            <w:r>
              <w:rPr>
                <w:rFonts w:ascii="Arial" w:cs="Arial" w:eastAsia="Arial" w:hAnsi="Arial"/>
                <w:sz w:val="19"/>
                <w:szCs w:val="19"/>
                <w:b w:val="1"/>
                <w:bCs w:val="1"/>
                <w:color w:val="595959"/>
                <w:w w:val="94"/>
              </w:rPr>
              <w:t>$400</w:t>
            </w:r>
          </w:p>
        </w:tc>
        <w:tc>
          <w:tcPr>
            <w:tcW w:w="200" w:type="dxa"/>
            <w:vAlign w:val="bottom"/>
            <w:tcBorders>
              <w:bottom w:val="single" w:sz="8" w:color="E6E6E6"/>
            </w:tcBorders>
          </w:tcPr>
          <w:p>
            <w:pPr>
              <w:spacing w:after="0"/>
              <w:rPr>
                <w:sz w:val="17"/>
                <w:szCs w:val="17"/>
                <w:color w:val="auto"/>
              </w:rPr>
            </w:pPr>
          </w:p>
        </w:tc>
        <w:tc>
          <w:tcPr>
            <w:tcW w:w="1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120" w:type="dxa"/>
            <w:vAlign w:val="bottom"/>
            <w:tcBorders>
              <w:bottom w:val="single" w:sz="8" w:color="E6E6E6"/>
            </w:tcBorders>
          </w:tcPr>
          <w:p>
            <w:pPr>
              <w:spacing w:after="0"/>
              <w:rPr>
                <w:sz w:val="17"/>
                <w:szCs w:val="17"/>
                <w:color w:val="auto"/>
              </w:rPr>
            </w:pPr>
          </w:p>
        </w:tc>
        <w:tc>
          <w:tcPr>
            <w:tcW w:w="2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20" w:type="dxa"/>
            <w:vAlign w:val="bottom"/>
            <w:tcBorders>
              <w:bottom w:val="single" w:sz="8" w:color="E6E6E6"/>
            </w:tcBorders>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60" w:type="dxa"/>
            <w:vAlign w:val="bottom"/>
            <w:tcBorders>
              <w:bottom w:val="single" w:sz="8" w:color="E6E6E6"/>
            </w:tcBorders>
          </w:tcPr>
          <w:p>
            <w:pPr>
              <w:spacing w:after="0"/>
              <w:rPr>
                <w:sz w:val="17"/>
                <w:szCs w:val="17"/>
                <w:color w:val="auto"/>
              </w:rPr>
            </w:pPr>
          </w:p>
        </w:tc>
        <w:tc>
          <w:tcPr>
            <w:tcW w:w="18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gridSpan w:val="2"/>
            <w:vMerge w:val="restart"/>
          </w:tcPr>
          <w:p>
            <w:pPr>
              <w:jc w:val="right"/>
              <w:ind w:right="243"/>
              <w:spacing w:after="0"/>
              <w:rPr>
                <w:sz w:val="20"/>
                <w:szCs w:val="20"/>
                <w:color w:val="auto"/>
              </w:rPr>
            </w:pPr>
            <w:r>
              <w:rPr>
                <w:rFonts w:ascii="Arial" w:cs="Arial" w:eastAsia="Arial" w:hAnsi="Arial"/>
                <w:sz w:val="19"/>
                <w:szCs w:val="19"/>
                <w:b w:val="1"/>
                <w:bCs w:val="1"/>
                <w:color w:val="595959"/>
              </w:rPr>
              <w:t>$273</w:t>
            </w:r>
          </w:p>
        </w:tc>
        <w:tc>
          <w:tcPr>
            <w:tcW w:w="0" w:type="dxa"/>
            <w:vAlign w:val="bottom"/>
          </w:tcPr>
          <w:p>
            <w:pPr>
              <w:spacing w:after="0"/>
              <w:rPr>
                <w:sz w:val="1"/>
                <w:szCs w:val="1"/>
                <w:color w:val="auto"/>
              </w:rPr>
            </w:pPr>
          </w:p>
        </w:tc>
      </w:tr>
      <w:tr>
        <w:trPr>
          <w:trHeight w:val="160"/>
        </w:trPr>
        <w:tc>
          <w:tcPr>
            <w:tcW w:w="640" w:type="dxa"/>
            <w:vAlign w:val="bottom"/>
            <w:vMerge w:val="restart"/>
          </w:tcPr>
          <w:p>
            <w:pPr>
              <w:jc w:val="right"/>
              <w:ind w:right="132"/>
              <w:spacing w:after="0"/>
              <w:rPr>
                <w:sz w:val="20"/>
                <w:szCs w:val="20"/>
                <w:color w:val="auto"/>
              </w:rPr>
            </w:pPr>
            <w:r>
              <w:rPr>
                <w:rFonts w:ascii="Arial" w:cs="Arial" w:eastAsia="Arial" w:hAnsi="Arial"/>
                <w:sz w:val="19"/>
                <w:szCs w:val="19"/>
                <w:b w:val="1"/>
                <w:bCs w:val="1"/>
                <w:color w:val="595959"/>
                <w:w w:val="94"/>
              </w:rPr>
              <w:t>$300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40" w:type="dxa"/>
            <w:vAlign w:val="bottom"/>
            <w:vMerge w:val="continue"/>
          </w:tcPr>
          <w:p>
            <w:pPr>
              <w:spacing w:after="0"/>
              <w:rPr>
                <w:sz w:val="2"/>
                <w:szCs w:val="2"/>
                <w:color w:val="auto"/>
              </w:rPr>
            </w:pPr>
          </w:p>
        </w:tc>
        <w:tc>
          <w:tcPr>
            <w:tcW w:w="200" w:type="dxa"/>
            <w:vAlign w:val="bottom"/>
            <w:tcBorders>
              <w:bottom w:val="single" w:sz="8" w:color="E6E6E6"/>
            </w:tcBorders>
          </w:tcPr>
          <w:p>
            <w:pPr>
              <w:spacing w:after="0"/>
              <w:rPr>
                <w:sz w:val="2"/>
                <w:szCs w:val="2"/>
                <w:color w:val="auto"/>
              </w:rPr>
            </w:pPr>
          </w:p>
        </w:tc>
        <w:tc>
          <w:tcPr>
            <w:tcW w:w="18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34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32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360" w:type="dxa"/>
            <w:vAlign w:val="bottom"/>
            <w:tcBorders>
              <w:bottom w:val="single" w:sz="8" w:color="E6E6E6"/>
            </w:tcBorders>
          </w:tcPr>
          <w:p>
            <w:pPr>
              <w:spacing w:after="0"/>
              <w:rPr>
                <w:sz w:val="2"/>
                <w:szCs w:val="2"/>
                <w:color w:val="auto"/>
              </w:rPr>
            </w:pPr>
          </w:p>
        </w:tc>
        <w:tc>
          <w:tcPr>
            <w:tcW w:w="34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340" w:type="dxa"/>
            <w:vAlign w:val="bottom"/>
            <w:tcBorders>
              <w:bottom w:val="single" w:sz="8" w:color="E6E6E6"/>
            </w:tcBorders>
          </w:tcPr>
          <w:p>
            <w:pPr>
              <w:spacing w:after="0"/>
              <w:rPr>
                <w:sz w:val="2"/>
                <w:szCs w:val="2"/>
                <w:color w:val="auto"/>
              </w:rPr>
            </w:pPr>
          </w:p>
        </w:tc>
        <w:tc>
          <w:tcPr>
            <w:tcW w:w="36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340" w:type="dxa"/>
            <w:vAlign w:val="bottom"/>
            <w:tcBorders>
              <w:bottom w:val="single" w:sz="8" w:color="E6E6E6"/>
            </w:tcBorders>
          </w:tcPr>
          <w:p>
            <w:pPr>
              <w:spacing w:after="0"/>
              <w:rPr>
                <w:sz w:val="2"/>
                <w:szCs w:val="2"/>
                <w:color w:val="auto"/>
              </w:rPr>
            </w:pPr>
          </w:p>
        </w:tc>
        <w:tc>
          <w:tcPr>
            <w:tcW w:w="120" w:type="dxa"/>
            <w:vAlign w:val="bottom"/>
            <w:tcBorders>
              <w:bottom w:val="single" w:sz="8" w:color="E6E6E6"/>
            </w:tcBorders>
          </w:tcPr>
          <w:p>
            <w:pPr>
              <w:spacing w:after="0"/>
              <w:rPr>
                <w:sz w:val="2"/>
                <w:szCs w:val="2"/>
                <w:color w:val="auto"/>
              </w:rPr>
            </w:pPr>
          </w:p>
        </w:tc>
        <w:tc>
          <w:tcPr>
            <w:tcW w:w="22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360" w:type="dxa"/>
            <w:vAlign w:val="bottom"/>
            <w:tcBorders>
              <w:bottom w:val="single" w:sz="8" w:color="E6E6E6"/>
            </w:tcBorders>
          </w:tcPr>
          <w:p>
            <w:pPr>
              <w:spacing w:after="0"/>
              <w:rPr>
                <w:sz w:val="2"/>
                <w:szCs w:val="2"/>
                <w:color w:val="auto"/>
              </w:rPr>
            </w:pPr>
          </w:p>
        </w:tc>
        <w:tc>
          <w:tcPr>
            <w:tcW w:w="34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320" w:type="dxa"/>
            <w:vAlign w:val="bottom"/>
            <w:tcBorders>
              <w:bottom w:val="single" w:sz="8" w:color="E6E6E6"/>
            </w:tcBorders>
          </w:tcPr>
          <w:p>
            <w:pPr>
              <w:spacing w:after="0"/>
              <w:rPr>
                <w:sz w:val="2"/>
                <w:szCs w:val="2"/>
                <w:color w:val="auto"/>
              </w:rPr>
            </w:pPr>
          </w:p>
        </w:tc>
        <w:tc>
          <w:tcPr>
            <w:tcW w:w="40" w:type="dxa"/>
            <w:vAlign w:val="bottom"/>
            <w:tcBorders>
              <w:bottom w:val="single" w:sz="8" w:color="E6E6E6"/>
            </w:tcBorders>
          </w:tcPr>
          <w:p>
            <w:pPr>
              <w:spacing w:after="0"/>
              <w:rPr>
                <w:sz w:val="2"/>
                <w:szCs w:val="2"/>
                <w:color w:val="auto"/>
              </w:rPr>
            </w:pPr>
          </w:p>
        </w:tc>
        <w:tc>
          <w:tcPr>
            <w:tcW w:w="340" w:type="dxa"/>
            <w:vAlign w:val="bottom"/>
            <w:tcBorders>
              <w:bottom w:val="single" w:sz="8" w:color="E6E6E6"/>
            </w:tcBorders>
          </w:tcPr>
          <w:p>
            <w:pPr>
              <w:spacing w:after="0"/>
              <w:rPr>
                <w:sz w:val="2"/>
                <w:szCs w:val="2"/>
                <w:color w:val="auto"/>
              </w:rPr>
            </w:pPr>
          </w:p>
        </w:tc>
        <w:tc>
          <w:tcPr>
            <w:tcW w:w="34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340" w:type="dxa"/>
            <w:vAlign w:val="bottom"/>
            <w:tcBorders>
              <w:bottom w:val="single" w:sz="8" w:color="E6E6E6"/>
            </w:tcBorders>
          </w:tcPr>
          <w:p>
            <w:pPr>
              <w:spacing w:after="0"/>
              <w:rPr>
                <w:sz w:val="2"/>
                <w:szCs w:val="2"/>
                <w:color w:val="auto"/>
              </w:rPr>
            </w:pPr>
          </w:p>
        </w:tc>
        <w:tc>
          <w:tcPr>
            <w:tcW w:w="36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160" w:type="dxa"/>
            <w:vAlign w:val="bottom"/>
            <w:tcBorders>
              <w:bottom w:val="single" w:sz="8" w:color="E6E6E6"/>
            </w:tcBorders>
          </w:tcPr>
          <w:p>
            <w:pPr>
              <w:spacing w:after="0"/>
              <w:rPr>
                <w:sz w:val="2"/>
                <w:szCs w:val="2"/>
                <w:color w:val="auto"/>
              </w:rPr>
            </w:pPr>
          </w:p>
        </w:tc>
        <w:tc>
          <w:tcPr>
            <w:tcW w:w="180" w:type="dxa"/>
            <w:vAlign w:val="bottom"/>
            <w:tcBorders>
              <w:bottom w:val="single" w:sz="8" w:color="E6E6E6"/>
            </w:tcBorders>
          </w:tcPr>
          <w:p>
            <w:pPr>
              <w:spacing w:after="0"/>
              <w:rPr>
                <w:sz w:val="2"/>
                <w:szCs w:val="2"/>
                <w:color w:val="auto"/>
              </w:rPr>
            </w:pPr>
          </w:p>
        </w:tc>
        <w:tc>
          <w:tcPr>
            <w:tcW w:w="34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360" w:type="dxa"/>
            <w:vAlign w:val="bottom"/>
            <w:tcBorders>
              <w:bottom w:val="single" w:sz="8" w:color="E6E6E6"/>
            </w:tcBorders>
          </w:tcPr>
          <w:p>
            <w:pPr>
              <w:spacing w:after="0"/>
              <w:rPr>
                <w:sz w:val="2"/>
                <w:szCs w:val="2"/>
                <w:color w:val="auto"/>
              </w:rPr>
            </w:pPr>
          </w:p>
        </w:tc>
        <w:tc>
          <w:tcPr>
            <w:tcW w:w="360" w:type="dxa"/>
            <w:vAlign w:val="bottom"/>
            <w:tcBorders>
              <w:bottom w:val="single" w:sz="8" w:color="E6E6E6"/>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640" w:type="dxa"/>
            <w:vAlign w:val="bottom"/>
            <w:vMerge w:val="restart"/>
          </w:tcPr>
          <w:p>
            <w:pPr>
              <w:jc w:val="right"/>
              <w:ind w:right="132"/>
              <w:spacing w:after="0"/>
              <w:rPr>
                <w:sz w:val="20"/>
                <w:szCs w:val="20"/>
                <w:color w:val="auto"/>
              </w:rPr>
            </w:pPr>
            <w:r>
              <w:rPr>
                <w:rFonts w:ascii="Arial" w:cs="Arial" w:eastAsia="Arial" w:hAnsi="Arial"/>
                <w:sz w:val="19"/>
                <w:szCs w:val="19"/>
                <w:b w:val="1"/>
                <w:bCs w:val="1"/>
                <w:color w:val="595959"/>
                <w:w w:val="94"/>
              </w:rPr>
              <w:t>$200</w:t>
            </w:r>
          </w:p>
        </w:tc>
        <w:tc>
          <w:tcPr>
            <w:tcW w:w="200" w:type="dxa"/>
            <w:vAlign w:val="bottom"/>
            <w:tcBorders>
              <w:bottom w:val="single" w:sz="8" w:color="E6E6E6"/>
            </w:tcBorders>
          </w:tcPr>
          <w:p>
            <w:pPr>
              <w:spacing w:after="0"/>
              <w:rPr>
                <w:sz w:val="17"/>
                <w:szCs w:val="17"/>
                <w:color w:val="auto"/>
              </w:rPr>
            </w:pPr>
          </w:p>
        </w:tc>
        <w:tc>
          <w:tcPr>
            <w:tcW w:w="1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120" w:type="dxa"/>
            <w:vAlign w:val="bottom"/>
            <w:tcBorders>
              <w:bottom w:val="single" w:sz="8" w:color="E6E6E6"/>
            </w:tcBorders>
          </w:tcPr>
          <w:p>
            <w:pPr>
              <w:spacing w:after="0"/>
              <w:rPr>
                <w:sz w:val="17"/>
                <w:szCs w:val="17"/>
                <w:color w:val="auto"/>
              </w:rPr>
            </w:pPr>
          </w:p>
        </w:tc>
        <w:tc>
          <w:tcPr>
            <w:tcW w:w="2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20" w:type="dxa"/>
            <w:vAlign w:val="bottom"/>
            <w:tcBorders>
              <w:bottom w:val="single" w:sz="8" w:color="E6E6E6"/>
            </w:tcBorders>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60" w:type="dxa"/>
            <w:vAlign w:val="bottom"/>
            <w:tcBorders>
              <w:bottom w:val="single" w:sz="8" w:color="E6E6E6"/>
            </w:tcBorders>
          </w:tcPr>
          <w:p>
            <w:pPr>
              <w:spacing w:after="0"/>
              <w:rPr>
                <w:sz w:val="17"/>
                <w:szCs w:val="17"/>
                <w:color w:val="auto"/>
              </w:rPr>
            </w:pPr>
          </w:p>
        </w:tc>
        <w:tc>
          <w:tcPr>
            <w:tcW w:w="18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restart"/>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9"/>
                <w:szCs w:val="19"/>
                <w:b w:val="1"/>
                <w:bCs w:val="1"/>
                <w:color w:val="595959"/>
              </w:rPr>
              <w:t>$124</w:t>
            </w:r>
          </w:p>
        </w:tc>
        <w:tc>
          <w:tcPr>
            <w:tcW w:w="0" w:type="dxa"/>
            <w:vAlign w:val="bottom"/>
          </w:tcPr>
          <w:p>
            <w:pPr>
              <w:spacing w:after="0"/>
              <w:rPr>
                <w:sz w:val="1"/>
                <w:szCs w:val="1"/>
                <w:color w:val="auto"/>
              </w:rPr>
            </w:pPr>
          </w:p>
        </w:tc>
      </w:tr>
      <w:tr>
        <w:trPr>
          <w:trHeight w:val="202"/>
        </w:trPr>
        <w:tc>
          <w:tcPr>
            <w:tcW w:w="640" w:type="dxa"/>
            <w:vAlign w:val="bottom"/>
            <w:vMerge w:val="restart"/>
          </w:tcPr>
          <w:p>
            <w:pPr>
              <w:jc w:val="right"/>
              <w:ind w:right="132"/>
              <w:spacing w:after="0"/>
              <w:rPr>
                <w:sz w:val="20"/>
                <w:szCs w:val="20"/>
                <w:color w:val="auto"/>
              </w:rPr>
            </w:pPr>
            <w:r>
              <w:rPr>
                <w:rFonts w:ascii="Arial" w:cs="Arial" w:eastAsia="Arial" w:hAnsi="Arial"/>
                <w:sz w:val="19"/>
                <w:szCs w:val="19"/>
                <w:b w:val="1"/>
                <w:bCs w:val="1"/>
                <w:color w:val="595959"/>
                <w:w w:val="94"/>
              </w:rPr>
              <w:t>$100</w:t>
            </w:r>
          </w:p>
        </w:tc>
        <w:tc>
          <w:tcPr>
            <w:tcW w:w="200" w:type="dxa"/>
            <w:vAlign w:val="bottom"/>
            <w:tcBorders>
              <w:bottom w:val="single" w:sz="8" w:color="E6E6E6"/>
            </w:tcBorders>
          </w:tcPr>
          <w:p>
            <w:pPr>
              <w:spacing w:after="0"/>
              <w:rPr>
                <w:sz w:val="17"/>
                <w:szCs w:val="17"/>
                <w:color w:val="auto"/>
              </w:rPr>
            </w:pPr>
          </w:p>
        </w:tc>
        <w:tc>
          <w:tcPr>
            <w:tcW w:w="1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120" w:type="dxa"/>
            <w:vAlign w:val="bottom"/>
            <w:tcBorders>
              <w:bottom w:val="single" w:sz="8" w:color="E6E6E6"/>
            </w:tcBorders>
          </w:tcPr>
          <w:p>
            <w:pPr>
              <w:spacing w:after="0"/>
              <w:rPr>
                <w:sz w:val="17"/>
                <w:szCs w:val="17"/>
                <w:color w:val="auto"/>
              </w:rPr>
            </w:pPr>
          </w:p>
        </w:tc>
        <w:tc>
          <w:tcPr>
            <w:tcW w:w="2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20" w:type="dxa"/>
            <w:vAlign w:val="bottom"/>
            <w:tcBorders>
              <w:bottom w:val="single" w:sz="8" w:color="E6E6E6"/>
            </w:tcBorders>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60" w:type="dxa"/>
            <w:vAlign w:val="bottom"/>
            <w:tcBorders>
              <w:bottom w:val="single" w:sz="8" w:color="E6E6E6"/>
            </w:tcBorders>
          </w:tcPr>
          <w:p>
            <w:pPr>
              <w:spacing w:after="0"/>
              <w:rPr>
                <w:sz w:val="17"/>
                <w:szCs w:val="17"/>
                <w:color w:val="auto"/>
              </w:rPr>
            </w:pPr>
          </w:p>
        </w:tc>
        <w:tc>
          <w:tcPr>
            <w:tcW w:w="180" w:type="dxa"/>
            <w:vAlign w:val="bottom"/>
            <w:tcBorders>
              <w:bottom w:val="single" w:sz="8" w:color="E6E6E6"/>
            </w:tcBorders>
          </w:tcPr>
          <w:p>
            <w:pPr>
              <w:spacing w:after="0"/>
              <w:rPr>
                <w:sz w:val="17"/>
                <w:szCs w:val="17"/>
                <w:color w:val="auto"/>
              </w:rPr>
            </w:pPr>
          </w:p>
        </w:tc>
        <w:tc>
          <w:tcPr>
            <w:tcW w:w="3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tcPr>
          <w:p>
            <w:pPr>
              <w:spacing w:after="0"/>
              <w:rPr>
                <w:sz w:val="17"/>
                <w:szCs w:val="17"/>
                <w:color w:val="auto"/>
              </w:rPr>
            </w:pPr>
          </w:p>
        </w:tc>
        <w:tc>
          <w:tcPr>
            <w:tcW w:w="360" w:type="dxa"/>
            <w:vAlign w:val="bottom"/>
            <w:tcBorders>
              <w:bottom w:val="single" w:sz="8" w:color="E6E6E6"/>
            </w:tcBorders>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gridSpan w:val="2"/>
            <w:vMerge w:val="restart"/>
          </w:tcPr>
          <w:p>
            <w:pPr>
              <w:jc w:val="right"/>
              <w:ind w:right="243"/>
              <w:spacing w:after="0"/>
              <w:rPr>
                <w:sz w:val="20"/>
                <w:szCs w:val="20"/>
                <w:color w:val="auto"/>
              </w:rPr>
            </w:pPr>
            <w:r>
              <w:rPr>
                <w:rFonts w:ascii="Arial" w:cs="Arial" w:eastAsia="Arial" w:hAnsi="Arial"/>
                <w:sz w:val="19"/>
                <w:szCs w:val="19"/>
                <w:b w:val="1"/>
                <w:bCs w:val="1"/>
                <w:color w:val="595959"/>
              </w:rPr>
              <w:t>$104</w:t>
            </w:r>
          </w:p>
        </w:tc>
        <w:tc>
          <w:tcPr>
            <w:tcW w:w="0" w:type="dxa"/>
            <w:vAlign w:val="bottom"/>
          </w:tcPr>
          <w:p>
            <w:pPr>
              <w:spacing w:after="0"/>
              <w:rPr>
                <w:sz w:val="1"/>
                <w:szCs w:val="1"/>
                <w:color w:val="auto"/>
              </w:rPr>
            </w:pPr>
          </w:p>
        </w:tc>
      </w:tr>
      <w:tr>
        <w:trPr>
          <w:trHeight w:val="202"/>
        </w:trPr>
        <w:tc>
          <w:tcPr>
            <w:tcW w:w="640" w:type="dxa"/>
            <w:vAlign w:val="bottom"/>
            <w:vMerge w:val="restart"/>
          </w:tcPr>
          <w:p>
            <w:pPr>
              <w:jc w:val="right"/>
              <w:ind w:right="132"/>
              <w:spacing w:after="0"/>
              <w:rPr>
                <w:sz w:val="20"/>
                <w:szCs w:val="20"/>
                <w:color w:val="auto"/>
              </w:rPr>
            </w:pPr>
            <w:r>
              <w:rPr>
                <w:rFonts w:ascii="Arial" w:cs="Arial" w:eastAsia="Arial" w:hAnsi="Arial"/>
                <w:sz w:val="19"/>
                <w:szCs w:val="19"/>
                <w:b w:val="1"/>
                <w:bCs w:val="1"/>
                <w:color w:val="595959"/>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640" w:type="dxa"/>
            <w:vAlign w:val="bottom"/>
            <w:vMerge w:val="continue"/>
          </w:tcPr>
          <w:p>
            <w:pPr>
              <w:spacing w:after="0"/>
              <w:rPr>
                <w:sz w:val="6"/>
                <w:szCs w:val="6"/>
                <w:color w:val="auto"/>
              </w:rPr>
            </w:pPr>
          </w:p>
        </w:tc>
        <w:tc>
          <w:tcPr>
            <w:tcW w:w="200" w:type="dxa"/>
            <w:vAlign w:val="bottom"/>
            <w:tcBorders>
              <w:top w:val="single" w:sz="8" w:color="8A8A8A"/>
              <w:left w:val="single" w:sz="8" w:color="8A8A8A"/>
            </w:tcBorders>
          </w:tcPr>
          <w:p>
            <w:pPr>
              <w:spacing w:after="0"/>
              <w:rPr>
                <w:sz w:val="6"/>
                <w:szCs w:val="6"/>
                <w:color w:val="auto"/>
              </w:rPr>
            </w:pPr>
          </w:p>
        </w:tc>
        <w:tc>
          <w:tcPr>
            <w:tcW w:w="180" w:type="dxa"/>
            <w:vAlign w:val="bottom"/>
            <w:tcBorders>
              <w:top w:val="single" w:sz="8" w:color="8A8A8A"/>
              <w:right w:val="single" w:sz="8" w:color="8A8A8A"/>
            </w:tcBorders>
          </w:tcPr>
          <w:p>
            <w:pPr>
              <w:spacing w:after="0"/>
              <w:rPr>
                <w:sz w:val="6"/>
                <w:szCs w:val="6"/>
                <w:color w:val="auto"/>
              </w:rPr>
            </w:pPr>
          </w:p>
        </w:tc>
        <w:tc>
          <w:tcPr>
            <w:tcW w:w="20" w:type="dxa"/>
            <w:vAlign w:val="bottom"/>
            <w:tcBorders>
              <w:top w:val="single" w:sz="8" w:color="8A8A8A"/>
            </w:tcBorders>
          </w:tcPr>
          <w:p>
            <w:pPr>
              <w:spacing w:after="0"/>
              <w:rPr>
                <w:sz w:val="6"/>
                <w:szCs w:val="6"/>
                <w:color w:val="auto"/>
              </w:rPr>
            </w:pPr>
          </w:p>
        </w:tc>
        <w:tc>
          <w:tcPr>
            <w:tcW w:w="340" w:type="dxa"/>
            <w:vAlign w:val="bottom"/>
            <w:tcBorders>
              <w:top w:val="single" w:sz="8" w:color="8A8A8A"/>
              <w:right w:val="single" w:sz="8" w:color="8A8A8A"/>
            </w:tcBorders>
          </w:tcPr>
          <w:p>
            <w:pPr>
              <w:spacing w:after="0"/>
              <w:rPr>
                <w:sz w:val="6"/>
                <w:szCs w:val="6"/>
                <w:color w:val="auto"/>
              </w:rPr>
            </w:pPr>
          </w:p>
        </w:tc>
        <w:tc>
          <w:tcPr>
            <w:tcW w:w="20" w:type="dxa"/>
            <w:vAlign w:val="bottom"/>
            <w:tcBorders>
              <w:top w:val="single" w:sz="8" w:color="8A8A8A"/>
            </w:tcBorders>
          </w:tcPr>
          <w:p>
            <w:pPr>
              <w:spacing w:after="0"/>
              <w:rPr>
                <w:sz w:val="6"/>
                <w:szCs w:val="6"/>
                <w:color w:val="auto"/>
              </w:rPr>
            </w:pPr>
          </w:p>
        </w:tc>
        <w:tc>
          <w:tcPr>
            <w:tcW w:w="320" w:type="dxa"/>
            <w:vAlign w:val="bottom"/>
            <w:tcBorders>
              <w:top w:val="single" w:sz="8" w:color="8A8A8A"/>
              <w:right w:val="single" w:sz="8" w:color="8A8A8A"/>
            </w:tcBorders>
          </w:tcPr>
          <w:p>
            <w:pPr>
              <w:spacing w:after="0"/>
              <w:rPr>
                <w:sz w:val="6"/>
                <w:szCs w:val="6"/>
                <w:color w:val="auto"/>
              </w:rPr>
            </w:pPr>
          </w:p>
        </w:tc>
        <w:tc>
          <w:tcPr>
            <w:tcW w:w="20" w:type="dxa"/>
            <w:vAlign w:val="bottom"/>
            <w:tcBorders>
              <w:top w:val="single" w:sz="8" w:color="8A8A8A"/>
            </w:tcBorders>
          </w:tcPr>
          <w:p>
            <w:pPr>
              <w:spacing w:after="0"/>
              <w:rPr>
                <w:sz w:val="6"/>
                <w:szCs w:val="6"/>
                <w:color w:val="auto"/>
              </w:rPr>
            </w:pPr>
          </w:p>
        </w:tc>
        <w:tc>
          <w:tcPr>
            <w:tcW w:w="360" w:type="dxa"/>
            <w:vAlign w:val="bottom"/>
            <w:tcBorders>
              <w:top w:val="single" w:sz="8" w:color="8A8A8A"/>
              <w:right w:val="single" w:sz="8" w:color="8A8A8A"/>
            </w:tcBorders>
          </w:tcPr>
          <w:p>
            <w:pPr>
              <w:spacing w:after="0"/>
              <w:rPr>
                <w:sz w:val="6"/>
                <w:szCs w:val="6"/>
                <w:color w:val="auto"/>
              </w:rPr>
            </w:pPr>
          </w:p>
        </w:tc>
        <w:tc>
          <w:tcPr>
            <w:tcW w:w="340" w:type="dxa"/>
            <w:vAlign w:val="bottom"/>
            <w:tcBorders>
              <w:top w:val="single" w:sz="8" w:color="8A8A8A"/>
              <w:right w:val="single" w:sz="8" w:color="8A8A8A"/>
            </w:tcBorders>
          </w:tcPr>
          <w:p>
            <w:pPr>
              <w:spacing w:after="0"/>
              <w:rPr>
                <w:sz w:val="6"/>
                <w:szCs w:val="6"/>
                <w:color w:val="auto"/>
              </w:rPr>
            </w:pPr>
          </w:p>
        </w:tc>
        <w:tc>
          <w:tcPr>
            <w:tcW w:w="20" w:type="dxa"/>
            <w:vAlign w:val="bottom"/>
            <w:tcBorders>
              <w:top w:val="single" w:sz="8" w:color="8A8A8A"/>
            </w:tcBorders>
          </w:tcPr>
          <w:p>
            <w:pPr>
              <w:spacing w:after="0"/>
              <w:rPr>
                <w:sz w:val="6"/>
                <w:szCs w:val="6"/>
                <w:color w:val="auto"/>
              </w:rPr>
            </w:pPr>
          </w:p>
        </w:tc>
        <w:tc>
          <w:tcPr>
            <w:tcW w:w="340" w:type="dxa"/>
            <w:vAlign w:val="bottom"/>
            <w:tcBorders>
              <w:top w:val="single" w:sz="8" w:color="8A8A8A"/>
              <w:right w:val="single" w:sz="8" w:color="8A8A8A"/>
            </w:tcBorders>
          </w:tcPr>
          <w:p>
            <w:pPr>
              <w:spacing w:after="0"/>
              <w:rPr>
                <w:sz w:val="6"/>
                <w:szCs w:val="6"/>
                <w:color w:val="auto"/>
              </w:rPr>
            </w:pPr>
          </w:p>
        </w:tc>
        <w:tc>
          <w:tcPr>
            <w:tcW w:w="360" w:type="dxa"/>
            <w:vAlign w:val="bottom"/>
            <w:tcBorders>
              <w:top w:val="single" w:sz="8" w:color="8A8A8A"/>
              <w:right w:val="single" w:sz="8" w:color="8A8A8A"/>
            </w:tcBorders>
          </w:tcPr>
          <w:p>
            <w:pPr>
              <w:spacing w:after="0"/>
              <w:rPr>
                <w:sz w:val="6"/>
                <w:szCs w:val="6"/>
                <w:color w:val="auto"/>
              </w:rPr>
            </w:pPr>
          </w:p>
        </w:tc>
        <w:tc>
          <w:tcPr>
            <w:tcW w:w="20" w:type="dxa"/>
            <w:vAlign w:val="bottom"/>
            <w:tcBorders>
              <w:top w:val="single" w:sz="8" w:color="8A8A8A"/>
            </w:tcBorders>
          </w:tcPr>
          <w:p>
            <w:pPr>
              <w:spacing w:after="0"/>
              <w:rPr>
                <w:sz w:val="6"/>
                <w:szCs w:val="6"/>
                <w:color w:val="auto"/>
              </w:rPr>
            </w:pPr>
          </w:p>
        </w:tc>
        <w:tc>
          <w:tcPr>
            <w:tcW w:w="340" w:type="dxa"/>
            <w:vAlign w:val="bottom"/>
            <w:tcBorders>
              <w:top w:val="single" w:sz="8" w:color="8A8A8A"/>
              <w:right w:val="single" w:sz="8" w:color="8A8A8A"/>
            </w:tcBorders>
          </w:tcPr>
          <w:p>
            <w:pPr>
              <w:spacing w:after="0"/>
              <w:rPr>
                <w:sz w:val="6"/>
                <w:szCs w:val="6"/>
                <w:color w:val="auto"/>
              </w:rPr>
            </w:pPr>
          </w:p>
        </w:tc>
        <w:tc>
          <w:tcPr>
            <w:tcW w:w="120" w:type="dxa"/>
            <w:vAlign w:val="bottom"/>
            <w:tcBorders>
              <w:top w:val="single" w:sz="8" w:color="8A8A8A"/>
            </w:tcBorders>
          </w:tcPr>
          <w:p>
            <w:pPr>
              <w:spacing w:after="0"/>
              <w:rPr>
                <w:sz w:val="6"/>
                <w:szCs w:val="6"/>
                <w:color w:val="auto"/>
              </w:rPr>
            </w:pPr>
          </w:p>
        </w:tc>
        <w:tc>
          <w:tcPr>
            <w:tcW w:w="220" w:type="dxa"/>
            <w:vAlign w:val="bottom"/>
            <w:tcBorders>
              <w:top w:val="single" w:sz="8" w:color="8A8A8A"/>
              <w:right w:val="single" w:sz="8" w:color="8A8A8A"/>
            </w:tcBorders>
          </w:tcPr>
          <w:p>
            <w:pPr>
              <w:spacing w:after="0"/>
              <w:rPr>
                <w:sz w:val="6"/>
                <w:szCs w:val="6"/>
                <w:color w:val="auto"/>
              </w:rPr>
            </w:pPr>
          </w:p>
        </w:tc>
        <w:tc>
          <w:tcPr>
            <w:tcW w:w="20" w:type="dxa"/>
            <w:vAlign w:val="bottom"/>
            <w:tcBorders>
              <w:top w:val="single" w:sz="8" w:color="8A8A8A"/>
            </w:tcBorders>
          </w:tcPr>
          <w:p>
            <w:pPr>
              <w:spacing w:after="0"/>
              <w:rPr>
                <w:sz w:val="6"/>
                <w:szCs w:val="6"/>
                <w:color w:val="auto"/>
              </w:rPr>
            </w:pPr>
          </w:p>
        </w:tc>
        <w:tc>
          <w:tcPr>
            <w:tcW w:w="360" w:type="dxa"/>
            <w:vAlign w:val="bottom"/>
            <w:tcBorders>
              <w:top w:val="single" w:sz="8" w:color="8A8A8A"/>
              <w:right w:val="single" w:sz="8" w:color="8A8A8A"/>
            </w:tcBorders>
          </w:tcPr>
          <w:p>
            <w:pPr>
              <w:spacing w:after="0"/>
              <w:rPr>
                <w:sz w:val="6"/>
                <w:szCs w:val="6"/>
                <w:color w:val="auto"/>
              </w:rPr>
            </w:pPr>
          </w:p>
        </w:tc>
        <w:tc>
          <w:tcPr>
            <w:tcW w:w="340" w:type="dxa"/>
            <w:vAlign w:val="bottom"/>
            <w:tcBorders>
              <w:top w:val="single" w:sz="8" w:color="8A8A8A"/>
              <w:right w:val="single" w:sz="8" w:color="8A8A8A"/>
            </w:tcBorders>
          </w:tcPr>
          <w:p>
            <w:pPr>
              <w:spacing w:after="0"/>
              <w:rPr>
                <w:sz w:val="6"/>
                <w:szCs w:val="6"/>
                <w:color w:val="auto"/>
              </w:rPr>
            </w:pPr>
          </w:p>
        </w:tc>
        <w:tc>
          <w:tcPr>
            <w:tcW w:w="20" w:type="dxa"/>
            <w:vAlign w:val="bottom"/>
            <w:tcBorders>
              <w:top w:val="single" w:sz="8" w:color="8A8A8A"/>
            </w:tcBorders>
          </w:tcPr>
          <w:p>
            <w:pPr>
              <w:spacing w:after="0"/>
              <w:rPr>
                <w:sz w:val="6"/>
                <w:szCs w:val="6"/>
                <w:color w:val="auto"/>
              </w:rPr>
            </w:pPr>
          </w:p>
        </w:tc>
        <w:tc>
          <w:tcPr>
            <w:tcW w:w="320" w:type="dxa"/>
            <w:vAlign w:val="bottom"/>
            <w:tcBorders>
              <w:top w:val="single" w:sz="8" w:color="8A8A8A"/>
              <w:right w:val="single" w:sz="8" w:color="8A8A8A"/>
            </w:tcBorders>
          </w:tcPr>
          <w:p>
            <w:pPr>
              <w:spacing w:after="0"/>
              <w:rPr>
                <w:sz w:val="6"/>
                <w:szCs w:val="6"/>
                <w:color w:val="auto"/>
              </w:rPr>
            </w:pPr>
          </w:p>
        </w:tc>
        <w:tc>
          <w:tcPr>
            <w:tcW w:w="40" w:type="dxa"/>
            <w:vAlign w:val="bottom"/>
            <w:tcBorders>
              <w:top w:val="single" w:sz="8" w:color="8A8A8A"/>
            </w:tcBorders>
          </w:tcPr>
          <w:p>
            <w:pPr>
              <w:spacing w:after="0"/>
              <w:rPr>
                <w:sz w:val="6"/>
                <w:szCs w:val="6"/>
                <w:color w:val="auto"/>
              </w:rPr>
            </w:pPr>
          </w:p>
        </w:tc>
        <w:tc>
          <w:tcPr>
            <w:tcW w:w="340" w:type="dxa"/>
            <w:vAlign w:val="bottom"/>
            <w:tcBorders>
              <w:top w:val="single" w:sz="8" w:color="8A8A8A"/>
              <w:right w:val="single" w:sz="8" w:color="8A8A8A"/>
            </w:tcBorders>
          </w:tcPr>
          <w:p>
            <w:pPr>
              <w:spacing w:after="0"/>
              <w:rPr>
                <w:sz w:val="6"/>
                <w:szCs w:val="6"/>
                <w:color w:val="auto"/>
              </w:rPr>
            </w:pPr>
          </w:p>
        </w:tc>
        <w:tc>
          <w:tcPr>
            <w:tcW w:w="340" w:type="dxa"/>
            <w:vAlign w:val="bottom"/>
            <w:tcBorders>
              <w:top w:val="single" w:sz="8" w:color="8A8A8A"/>
              <w:right w:val="single" w:sz="8" w:color="8A8A8A"/>
            </w:tcBorders>
          </w:tcPr>
          <w:p>
            <w:pPr>
              <w:spacing w:after="0"/>
              <w:rPr>
                <w:sz w:val="6"/>
                <w:szCs w:val="6"/>
                <w:color w:val="auto"/>
              </w:rPr>
            </w:pPr>
          </w:p>
        </w:tc>
        <w:tc>
          <w:tcPr>
            <w:tcW w:w="20" w:type="dxa"/>
            <w:vAlign w:val="bottom"/>
            <w:tcBorders>
              <w:top w:val="single" w:sz="8" w:color="8A8A8A"/>
            </w:tcBorders>
          </w:tcPr>
          <w:p>
            <w:pPr>
              <w:spacing w:after="0"/>
              <w:rPr>
                <w:sz w:val="6"/>
                <w:szCs w:val="6"/>
                <w:color w:val="auto"/>
              </w:rPr>
            </w:pPr>
          </w:p>
        </w:tc>
        <w:tc>
          <w:tcPr>
            <w:tcW w:w="340" w:type="dxa"/>
            <w:vAlign w:val="bottom"/>
            <w:tcBorders>
              <w:top w:val="single" w:sz="8" w:color="8A8A8A"/>
              <w:right w:val="single" w:sz="8" w:color="8A8A8A"/>
            </w:tcBorders>
          </w:tcPr>
          <w:p>
            <w:pPr>
              <w:spacing w:after="0"/>
              <w:rPr>
                <w:sz w:val="6"/>
                <w:szCs w:val="6"/>
                <w:color w:val="auto"/>
              </w:rPr>
            </w:pPr>
          </w:p>
        </w:tc>
        <w:tc>
          <w:tcPr>
            <w:tcW w:w="360" w:type="dxa"/>
            <w:vAlign w:val="bottom"/>
            <w:tcBorders>
              <w:top w:val="single" w:sz="8" w:color="8A8A8A"/>
              <w:right w:val="single" w:sz="8" w:color="8A8A8A"/>
            </w:tcBorders>
          </w:tcPr>
          <w:p>
            <w:pPr>
              <w:spacing w:after="0"/>
              <w:rPr>
                <w:sz w:val="6"/>
                <w:szCs w:val="6"/>
                <w:color w:val="auto"/>
              </w:rPr>
            </w:pPr>
          </w:p>
        </w:tc>
        <w:tc>
          <w:tcPr>
            <w:tcW w:w="20" w:type="dxa"/>
            <w:vAlign w:val="bottom"/>
            <w:tcBorders>
              <w:top w:val="single" w:sz="8" w:color="8A8A8A"/>
            </w:tcBorders>
          </w:tcPr>
          <w:p>
            <w:pPr>
              <w:spacing w:after="0"/>
              <w:rPr>
                <w:sz w:val="6"/>
                <w:szCs w:val="6"/>
                <w:color w:val="auto"/>
              </w:rPr>
            </w:pPr>
          </w:p>
        </w:tc>
        <w:tc>
          <w:tcPr>
            <w:tcW w:w="160" w:type="dxa"/>
            <w:vAlign w:val="bottom"/>
            <w:tcBorders>
              <w:top w:val="single" w:sz="8" w:color="8A8A8A"/>
            </w:tcBorders>
          </w:tcPr>
          <w:p>
            <w:pPr>
              <w:spacing w:after="0"/>
              <w:rPr>
                <w:sz w:val="6"/>
                <w:szCs w:val="6"/>
                <w:color w:val="auto"/>
              </w:rPr>
            </w:pPr>
          </w:p>
        </w:tc>
        <w:tc>
          <w:tcPr>
            <w:tcW w:w="180" w:type="dxa"/>
            <w:vAlign w:val="bottom"/>
            <w:tcBorders>
              <w:top w:val="single" w:sz="8" w:color="8A8A8A"/>
              <w:right w:val="single" w:sz="8" w:color="8A8A8A"/>
            </w:tcBorders>
          </w:tcPr>
          <w:p>
            <w:pPr>
              <w:spacing w:after="0"/>
              <w:rPr>
                <w:sz w:val="6"/>
                <w:szCs w:val="6"/>
                <w:color w:val="auto"/>
              </w:rPr>
            </w:pPr>
          </w:p>
        </w:tc>
        <w:tc>
          <w:tcPr>
            <w:tcW w:w="340" w:type="dxa"/>
            <w:vAlign w:val="bottom"/>
            <w:tcBorders>
              <w:top w:val="single" w:sz="8" w:color="8A8A8A"/>
              <w:right w:val="single" w:sz="8" w:color="8A8A8A"/>
            </w:tcBorders>
          </w:tcPr>
          <w:p>
            <w:pPr>
              <w:spacing w:after="0"/>
              <w:rPr>
                <w:sz w:val="6"/>
                <w:szCs w:val="6"/>
                <w:color w:val="auto"/>
              </w:rPr>
            </w:pPr>
          </w:p>
        </w:tc>
        <w:tc>
          <w:tcPr>
            <w:tcW w:w="20" w:type="dxa"/>
            <w:vAlign w:val="bottom"/>
            <w:tcBorders>
              <w:top w:val="single" w:sz="8" w:color="8A8A8A"/>
            </w:tcBorders>
          </w:tcPr>
          <w:p>
            <w:pPr>
              <w:spacing w:after="0"/>
              <w:rPr>
                <w:sz w:val="6"/>
                <w:szCs w:val="6"/>
                <w:color w:val="auto"/>
              </w:rPr>
            </w:pPr>
          </w:p>
        </w:tc>
        <w:tc>
          <w:tcPr>
            <w:tcW w:w="360" w:type="dxa"/>
            <w:vAlign w:val="bottom"/>
            <w:tcBorders>
              <w:top w:val="single" w:sz="8" w:color="8A8A8A"/>
              <w:right w:val="single" w:sz="8" w:color="8A8A8A"/>
            </w:tcBorders>
          </w:tcPr>
          <w:p>
            <w:pPr>
              <w:spacing w:after="0"/>
              <w:rPr>
                <w:sz w:val="6"/>
                <w:szCs w:val="6"/>
                <w:color w:val="auto"/>
              </w:rPr>
            </w:pPr>
          </w:p>
        </w:tc>
        <w:tc>
          <w:tcPr>
            <w:tcW w:w="360" w:type="dxa"/>
            <w:vAlign w:val="bottom"/>
            <w:tcBorders>
              <w:top w:val="single" w:sz="8" w:color="8A8A8A"/>
              <w:right w:val="single" w:sz="8" w:color="8A8A8A"/>
            </w:tcBorders>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8"/>
        </w:trPr>
        <w:tc>
          <w:tcPr>
            <w:tcW w:w="1040" w:type="dxa"/>
            <w:vAlign w:val="bottom"/>
            <w:gridSpan w:val="4"/>
          </w:tcPr>
          <w:p>
            <w:pPr>
              <w:jc w:val="right"/>
              <w:ind w:right="20"/>
              <w:spacing w:after="0"/>
              <w:rPr>
                <w:sz w:val="20"/>
                <w:szCs w:val="20"/>
                <w:color w:val="auto"/>
              </w:rPr>
            </w:pPr>
            <w:r>
              <w:rPr>
                <w:rFonts w:ascii="Arial" w:cs="Arial" w:eastAsia="Arial" w:hAnsi="Arial"/>
                <w:sz w:val="17"/>
                <w:szCs w:val="17"/>
                <w:b w:val="1"/>
                <w:bCs w:val="1"/>
                <w:color w:val="595959"/>
              </w:rPr>
              <w:t>19</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595959"/>
              </w:rPr>
              <w:t>19</w:t>
            </w:r>
          </w:p>
        </w:tc>
        <w:tc>
          <w:tcPr>
            <w:tcW w:w="340" w:type="dxa"/>
            <w:vAlign w:val="bottom"/>
            <w:gridSpan w:val="2"/>
          </w:tcPr>
          <w:p>
            <w:pPr>
              <w:jc w:val="right"/>
              <w:spacing w:after="0"/>
              <w:rPr>
                <w:sz w:val="20"/>
                <w:szCs w:val="20"/>
                <w:color w:val="auto"/>
              </w:rPr>
            </w:pPr>
            <w:r>
              <w:rPr>
                <w:rFonts w:ascii="Arial" w:cs="Arial" w:eastAsia="Arial" w:hAnsi="Arial"/>
                <w:sz w:val="17"/>
                <w:szCs w:val="17"/>
                <w:b w:val="1"/>
                <w:bCs w:val="1"/>
                <w:color w:val="595959"/>
              </w:rPr>
              <w:t>19</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595959"/>
              </w:rPr>
              <w:t>20</w:t>
            </w:r>
          </w:p>
        </w:tc>
        <w:tc>
          <w:tcPr>
            <w:tcW w:w="360" w:type="dxa"/>
            <w:vAlign w:val="bottom"/>
            <w:gridSpan w:val="2"/>
          </w:tcPr>
          <w:p>
            <w:pPr>
              <w:jc w:val="right"/>
              <w:spacing w:after="0"/>
              <w:rPr>
                <w:sz w:val="20"/>
                <w:szCs w:val="20"/>
                <w:color w:val="auto"/>
              </w:rPr>
            </w:pPr>
            <w:r>
              <w:rPr>
                <w:rFonts w:ascii="Arial" w:cs="Arial" w:eastAsia="Arial" w:hAnsi="Arial"/>
                <w:sz w:val="17"/>
                <w:szCs w:val="17"/>
                <w:b w:val="1"/>
                <w:bCs w:val="1"/>
                <w:color w:val="595959"/>
              </w:rPr>
              <w:t>20</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595959"/>
              </w:rPr>
              <w:t>20</w:t>
            </w:r>
          </w:p>
        </w:tc>
        <w:tc>
          <w:tcPr>
            <w:tcW w:w="3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595959"/>
              </w:rPr>
              <w:t>20</w:t>
            </w:r>
          </w:p>
        </w:tc>
        <w:tc>
          <w:tcPr>
            <w:tcW w:w="340" w:type="dxa"/>
            <w:vAlign w:val="bottom"/>
          </w:tcPr>
          <w:p>
            <w:pPr>
              <w:ind w:left="60"/>
              <w:spacing w:after="0"/>
              <w:rPr>
                <w:sz w:val="20"/>
                <w:szCs w:val="20"/>
                <w:color w:val="auto"/>
              </w:rPr>
            </w:pPr>
            <w:r>
              <w:rPr>
                <w:rFonts w:ascii="Arial" w:cs="Arial" w:eastAsia="Arial" w:hAnsi="Arial"/>
                <w:sz w:val="17"/>
                <w:szCs w:val="17"/>
                <w:b w:val="1"/>
                <w:bCs w:val="1"/>
                <w:color w:val="595959"/>
              </w:rPr>
              <w:t>21</w:t>
            </w:r>
          </w:p>
        </w:tc>
        <w:tc>
          <w:tcPr>
            <w:tcW w:w="360" w:type="dxa"/>
            <w:vAlign w:val="bottom"/>
            <w:gridSpan w:val="3"/>
          </w:tcPr>
          <w:p>
            <w:pPr>
              <w:jc w:val="right"/>
              <w:spacing w:after="0"/>
              <w:rPr>
                <w:sz w:val="20"/>
                <w:szCs w:val="20"/>
                <w:color w:val="auto"/>
              </w:rPr>
            </w:pPr>
            <w:r>
              <w:rPr>
                <w:rFonts w:ascii="Arial" w:cs="Arial" w:eastAsia="Arial" w:hAnsi="Arial"/>
                <w:sz w:val="17"/>
                <w:szCs w:val="17"/>
                <w:b w:val="1"/>
                <w:bCs w:val="1"/>
                <w:color w:val="595959"/>
              </w:rPr>
              <w:t>21</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595959"/>
              </w:rPr>
              <w:t>21</w:t>
            </w:r>
          </w:p>
        </w:tc>
        <w:tc>
          <w:tcPr>
            <w:tcW w:w="360" w:type="dxa"/>
            <w:vAlign w:val="bottom"/>
            <w:gridSpan w:val="2"/>
          </w:tcPr>
          <w:p>
            <w:pPr>
              <w:jc w:val="right"/>
              <w:spacing w:after="0"/>
              <w:rPr>
                <w:sz w:val="20"/>
                <w:szCs w:val="20"/>
                <w:color w:val="auto"/>
              </w:rPr>
            </w:pPr>
            <w:r>
              <w:rPr>
                <w:rFonts w:ascii="Arial" w:cs="Arial" w:eastAsia="Arial" w:hAnsi="Arial"/>
                <w:sz w:val="17"/>
                <w:szCs w:val="17"/>
                <w:b w:val="1"/>
                <w:bCs w:val="1"/>
                <w:color w:val="595959"/>
              </w:rPr>
              <w:t>21</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595959"/>
              </w:rPr>
              <w:t>22</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595959"/>
              </w:rPr>
              <w:t>22</w:t>
            </w:r>
          </w:p>
        </w:tc>
        <w:tc>
          <w:tcPr>
            <w:tcW w:w="360" w:type="dxa"/>
            <w:vAlign w:val="bottom"/>
            <w:gridSpan w:val="2"/>
          </w:tcPr>
          <w:p>
            <w:pPr>
              <w:jc w:val="right"/>
              <w:spacing w:after="0"/>
              <w:rPr>
                <w:sz w:val="20"/>
                <w:szCs w:val="20"/>
                <w:color w:val="auto"/>
              </w:rPr>
            </w:pPr>
            <w:r>
              <w:rPr>
                <w:rFonts w:ascii="Arial" w:cs="Arial" w:eastAsia="Arial" w:hAnsi="Arial"/>
                <w:sz w:val="17"/>
                <w:szCs w:val="17"/>
                <w:b w:val="1"/>
                <w:bCs w:val="1"/>
                <w:color w:val="595959"/>
              </w:rPr>
              <w:t>22</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595959"/>
              </w:rPr>
              <w:t>22</w:t>
            </w:r>
          </w:p>
        </w:tc>
        <w:tc>
          <w:tcPr>
            <w:tcW w:w="3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595959"/>
              </w:rPr>
              <w:t>23</w:t>
            </w:r>
          </w:p>
        </w:tc>
        <w:tc>
          <w:tcPr>
            <w:tcW w:w="340" w:type="dxa"/>
            <w:vAlign w:val="bottom"/>
            <w:gridSpan w:val="2"/>
          </w:tcPr>
          <w:p>
            <w:pPr>
              <w:jc w:val="right"/>
              <w:spacing w:after="0"/>
              <w:rPr>
                <w:sz w:val="20"/>
                <w:szCs w:val="20"/>
                <w:color w:val="auto"/>
              </w:rPr>
            </w:pPr>
            <w:r>
              <w:rPr>
                <w:rFonts w:ascii="Arial" w:cs="Arial" w:eastAsia="Arial" w:hAnsi="Arial"/>
                <w:sz w:val="17"/>
                <w:szCs w:val="17"/>
                <w:b w:val="1"/>
                <w:bCs w:val="1"/>
                <w:color w:val="595959"/>
              </w:rPr>
              <w:t>23</w:t>
            </w:r>
          </w:p>
        </w:tc>
        <w:tc>
          <w:tcPr>
            <w:tcW w:w="360" w:type="dxa"/>
            <w:vAlign w:val="bottom"/>
            <w:gridSpan w:val="2"/>
          </w:tcPr>
          <w:p>
            <w:pPr>
              <w:jc w:val="right"/>
              <w:spacing w:after="0"/>
              <w:rPr>
                <w:sz w:val="20"/>
                <w:szCs w:val="20"/>
                <w:color w:val="auto"/>
              </w:rPr>
            </w:pPr>
            <w:r>
              <w:rPr>
                <w:rFonts w:ascii="Arial" w:cs="Arial" w:eastAsia="Arial" w:hAnsi="Arial"/>
                <w:sz w:val="17"/>
                <w:szCs w:val="17"/>
                <w:b w:val="1"/>
                <w:bCs w:val="1"/>
                <w:color w:val="595959"/>
              </w:rPr>
              <w:t>23</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595959"/>
              </w:rPr>
              <w:t>23</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595959"/>
              </w:rPr>
              <w:t>24</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840" w:type="dxa"/>
            <w:vAlign w:val="bottom"/>
            <w:gridSpan w:val="2"/>
          </w:tcPr>
          <w:p>
            <w:pPr>
              <w:jc w:val="right"/>
              <w:spacing w:after="0" w:line="224" w:lineRule="auto"/>
              <w:rPr>
                <w:sz w:val="20"/>
                <w:szCs w:val="20"/>
                <w:color w:val="auto"/>
              </w:rPr>
            </w:pPr>
            <w:r>
              <w:rPr>
                <w:rFonts w:ascii="Arial" w:cs="Arial" w:eastAsia="Arial" w:hAnsi="Arial"/>
                <w:sz w:val="3"/>
                <w:szCs w:val="3"/>
                <w:b w:val="1"/>
                <w:bCs w:val="1"/>
                <w:color w:val="595959"/>
              </w:rPr>
              <w:t>-</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jc w:val="right"/>
              <w:ind w:right="130"/>
              <w:spacing w:after="0" w:line="224" w:lineRule="auto"/>
              <w:rPr>
                <w:sz w:val="20"/>
                <w:szCs w:val="20"/>
                <w:color w:val="auto"/>
              </w:rPr>
            </w:pPr>
            <w:r>
              <w:rPr>
                <w:rFonts w:ascii="Arial" w:cs="Arial" w:eastAsia="Arial" w:hAnsi="Arial"/>
                <w:sz w:val="3"/>
                <w:szCs w:val="3"/>
                <w:b w:val="1"/>
                <w:bCs w:val="1"/>
                <w:color w:val="595959"/>
              </w:rPr>
              <w:t>-</w:t>
            </w:r>
          </w:p>
        </w:tc>
        <w:tc>
          <w:tcPr>
            <w:tcW w:w="20" w:type="dxa"/>
            <w:vAlign w:val="bottom"/>
          </w:tcPr>
          <w:p>
            <w:pPr>
              <w:spacing w:after="0"/>
              <w:rPr>
                <w:sz w:val="2"/>
                <w:szCs w:val="2"/>
                <w:color w:val="auto"/>
              </w:rPr>
            </w:pPr>
          </w:p>
        </w:tc>
        <w:tc>
          <w:tcPr>
            <w:tcW w:w="320" w:type="dxa"/>
            <w:vAlign w:val="bottom"/>
          </w:tcPr>
          <w:p>
            <w:pPr>
              <w:jc w:val="right"/>
              <w:ind w:right="110"/>
              <w:spacing w:after="0" w:line="224" w:lineRule="auto"/>
              <w:rPr>
                <w:sz w:val="20"/>
                <w:szCs w:val="20"/>
                <w:color w:val="auto"/>
              </w:rPr>
            </w:pPr>
            <w:r>
              <w:rPr>
                <w:rFonts w:ascii="Arial" w:cs="Arial" w:eastAsia="Arial" w:hAnsi="Arial"/>
                <w:sz w:val="3"/>
                <w:szCs w:val="3"/>
                <w:b w:val="1"/>
                <w:bCs w:val="1"/>
                <w:color w:val="595959"/>
              </w:rPr>
              <w:t>-</w:t>
            </w:r>
          </w:p>
        </w:tc>
        <w:tc>
          <w:tcPr>
            <w:tcW w:w="20" w:type="dxa"/>
            <w:vAlign w:val="bottom"/>
          </w:tcPr>
          <w:p>
            <w:pPr>
              <w:spacing w:after="0"/>
              <w:rPr>
                <w:sz w:val="2"/>
                <w:szCs w:val="2"/>
                <w:color w:val="auto"/>
              </w:rPr>
            </w:pPr>
          </w:p>
        </w:tc>
        <w:tc>
          <w:tcPr>
            <w:tcW w:w="360" w:type="dxa"/>
            <w:vAlign w:val="bottom"/>
          </w:tcPr>
          <w:p>
            <w:pPr>
              <w:jc w:val="right"/>
              <w:ind w:right="150"/>
              <w:spacing w:after="0" w:line="224" w:lineRule="auto"/>
              <w:rPr>
                <w:sz w:val="20"/>
                <w:szCs w:val="20"/>
                <w:color w:val="auto"/>
              </w:rPr>
            </w:pPr>
            <w:r>
              <w:rPr>
                <w:rFonts w:ascii="Arial" w:cs="Arial" w:eastAsia="Arial" w:hAnsi="Arial"/>
                <w:sz w:val="3"/>
                <w:szCs w:val="3"/>
                <w:b w:val="1"/>
                <w:bCs w:val="1"/>
                <w:color w:val="595959"/>
              </w:rPr>
              <w:t>-</w:t>
            </w:r>
          </w:p>
        </w:tc>
        <w:tc>
          <w:tcPr>
            <w:tcW w:w="340" w:type="dxa"/>
            <w:vAlign w:val="bottom"/>
          </w:tcPr>
          <w:p>
            <w:pPr>
              <w:jc w:val="right"/>
              <w:ind w:right="130"/>
              <w:spacing w:after="0" w:line="224" w:lineRule="auto"/>
              <w:rPr>
                <w:sz w:val="20"/>
                <w:szCs w:val="20"/>
                <w:color w:val="auto"/>
              </w:rPr>
            </w:pPr>
            <w:r>
              <w:rPr>
                <w:rFonts w:ascii="Arial" w:cs="Arial" w:eastAsia="Arial" w:hAnsi="Arial"/>
                <w:sz w:val="3"/>
                <w:szCs w:val="3"/>
                <w:b w:val="1"/>
                <w:bCs w:val="1"/>
                <w:color w:val="595959"/>
              </w:rPr>
              <w:t>-</w:t>
            </w:r>
          </w:p>
        </w:tc>
        <w:tc>
          <w:tcPr>
            <w:tcW w:w="20" w:type="dxa"/>
            <w:vAlign w:val="bottom"/>
          </w:tcPr>
          <w:p>
            <w:pPr>
              <w:spacing w:after="0"/>
              <w:rPr>
                <w:sz w:val="2"/>
                <w:szCs w:val="2"/>
                <w:color w:val="auto"/>
              </w:rPr>
            </w:pPr>
          </w:p>
        </w:tc>
        <w:tc>
          <w:tcPr>
            <w:tcW w:w="340" w:type="dxa"/>
            <w:vAlign w:val="bottom"/>
          </w:tcPr>
          <w:p>
            <w:pPr>
              <w:jc w:val="right"/>
              <w:ind w:right="130"/>
              <w:spacing w:after="0" w:line="224" w:lineRule="auto"/>
              <w:rPr>
                <w:sz w:val="20"/>
                <w:szCs w:val="20"/>
                <w:color w:val="auto"/>
              </w:rPr>
            </w:pPr>
            <w:r>
              <w:rPr>
                <w:rFonts w:ascii="Arial" w:cs="Arial" w:eastAsia="Arial" w:hAnsi="Arial"/>
                <w:sz w:val="3"/>
                <w:szCs w:val="3"/>
                <w:b w:val="1"/>
                <w:bCs w:val="1"/>
                <w:color w:val="595959"/>
              </w:rPr>
              <w:t>-</w:t>
            </w:r>
          </w:p>
        </w:tc>
        <w:tc>
          <w:tcPr>
            <w:tcW w:w="360" w:type="dxa"/>
            <w:vAlign w:val="bottom"/>
          </w:tcPr>
          <w:p>
            <w:pPr>
              <w:jc w:val="right"/>
              <w:ind w:right="130"/>
              <w:spacing w:after="0" w:line="224" w:lineRule="auto"/>
              <w:rPr>
                <w:sz w:val="20"/>
                <w:szCs w:val="20"/>
                <w:color w:val="auto"/>
              </w:rPr>
            </w:pPr>
            <w:r>
              <w:rPr>
                <w:rFonts w:ascii="Arial" w:cs="Arial" w:eastAsia="Arial" w:hAnsi="Arial"/>
                <w:sz w:val="3"/>
                <w:szCs w:val="3"/>
                <w:b w:val="1"/>
                <w:bCs w:val="1"/>
                <w:color w:val="595959"/>
              </w:rPr>
              <w:t>-</w:t>
            </w:r>
          </w:p>
        </w:tc>
        <w:tc>
          <w:tcPr>
            <w:tcW w:w="20" w:type="dxa"/>
            <w:vAlign w:val="bottom"/>
          </w:tcPr>
          <w:p>
            <w:pPr>
              <w:spacing w:after="0"/>
              <w:rPr>
                <w:sz w:val="2"/>
                <w:szCs w:val="2"/>
                <w:color w:val="auto"/>
              </w:rPr>
            </w:pPr>
          </w:p>
        </w:tc>
        <w:tc>
          <w:tcPr>
            <w:tcW w:w="340" w:type="dxa"/>
            <w:vAlign w:val="bottom"/>
          </w:tcPr>
          <w:p>
            <w:pPr>
              <w:jc w:val="right"/>
              <w:ind w:right="139"/>
              <w:spacing w:after="0" w:line="224" w:lineRule="auto"/>
              <w:rPr>
                <w:sz w:val="20"/>
                <w:szCs w:val="20"/>
                <w:color w:val="auto"/>
              </w:rPr>
            </w:pPr>
            <w:r>
              <w:rPr>
                <w:rFonts w:ascii="Arial" w:cs="Arial" w:eastAsia="Arial" w:hAnsi="Arial"/>
                <w:sz w:val="3"/>
                <w:szCs w:val="3"/>
                <w:b w:val="1"/>
                <w:bCs w:val="1"/>
                <w:color w:val="595959"/>
              </w:rPr>
              <w:t>-</w:t>
            </w:r>
          </w:p>
        </w:tc>
        <w:tc>
          <w:tcPr>
            <w:tcW w:w="340" w:type="dxa"/>
            <w:vAlign w:val="bottom"/>
            <w:gridSpan w:val="2"/>
          </w:tcPr>
          <w:p>
            <w:pPr>
              <w:jc w:val="right"/>
              <w:ind w:right="76"/>
              <w:spacing w:after="0" w:line="224" w:lineRule="auto"/>
              <w:rPr>
                <w:sz w:val="20"/>
                <w:szCs w:val="20"/>
                <w:color w:val="auto"/>
              </w:rPr>
            </w:pPr>
            <w:r>
              <w:rPr>
                <w:rFonts w:ascii="Arial" w:cs="Arial" w:eastAsia="Arial" w:hAnsi="Arial"/>
                <w:sz w:val="3"/>
                <w:szCs w:val="3"/>
                <w:b w:val="1"/>
                <w:bCs w:val="1"/>
                <w:color w:val="595959"/>
              </w:rPr>
              <w:t>-</w:t>
            </w:r>
          </w:p>
        </w:tc>
        <w:tc>
          <w:tcPr>
            <w:tcW w:w="20" w:type="dxa"/>
            <w:vAlign w:val="bottom"/>
          </w:tcPr>
          <w:p>
            <w:pPr>
              <w:spacing w:after="0"/>
              <w:rPr>
                <w:sz w:val="2"/>
                <w:szCs w:val="2"/>
                <w:color w:val="auto"/>
              </w:rPr>
            </w:pPr>
          </w:p>
        </w:tc>
        <w:tc>
          <w:tcPr>
            <w:tcW w:w="360" w:type="dxa"/>
            <w:vAlign w:val="bottom"/>
          </w:tcPr>
          <w:p>
            <w:pPr>
              <w:jc w:val="right"/>
              <w:ind w:right="150"/>
              <w:spacing w:after="0" w:line="224" w:lineRule="auto"/>
              <w:rPr>
                <w:sz w:val="20"/>
                <w:szCs w:val="20"/>
                <w:color w:val="auto"/>
              </w:rPr>
            </w:pPr>
            <w:r>
              <w:rPr>
                <w:rFonts w:ascii="Arial" w:cs="Arial" w:eastAsia="Arial" w:hAnsi="Arial"/>
                <w:sz w:val="3"/>
                <w:szCs w:val="3"/>
                <w:b w:val="1"/>
                <w:bCs w:val="1"/>
                <w:color w:val="595959"/>
              </w:rPr>
              <w:t>-</w:t>
            </w:r>
          </w:p>
        </w:tc>
        <w:tc>
          <w:tcPr>
            <w:tcW w:w="340" w:type="dxa"/>
            <w:vAlign w:val="bottom"/>
          </w:tcPr>
          <w:p>
            <w:pPr>
              <w:jc w:val="right"/>
              <w:ind w:right="130"/>
              <w:spacing w:after="0" w:line="224" w:lineRule="auto"/>
              <w:rPr>
                <w:sz w:val="20"/>
                <w:szCs w:val="20"/>
                <w:color w:val="auto"/>
              </w:rPr>
            </w:pPr>
            <w:r>
              <w:rPr>
                <w:rFonts w:ascii="Arial" w:cs="Arial" w:eastAsia="Arial" w:hAnsi="Arial"/>
                <w:sz w:val="3"/>
                <w:szCs w:val="3"/>
                <w:b w:val="1"/>
                <w:bCs w:val="1"/>
                <w:color w:val="595959"/>
              </w:rPr>
              <w:t>-</w:t>
            </w:r>
          </w:p>
        </w:tc>
        <w:tc>
          <w:tcPr>
            <w:tcW w:w="20" w:type="dxa"/>
            <w:vAlign w:val="bottom"/>
          </w:tcPr>
          <w:p>
            <w:pPr>
              <w:spacing w:after="0"/>
              <w:rPr>
                <w:sz w:val="2"/>
                <w:szCs w:val="2"/>
                <w:color w:val="auto"/>
              </w:rPr>
            </w:pPr>
          </w:p>
        </w:tc>
        <w:tc>
          <w:tcPr>
            <w:tcW w:w="320" w:type="dxa"/>
            <w:vAlign w:val="bottom"/>
          </w:tcPr>
          <w:p>
            <w:pPr>
              <w:jc w:val="right"/>
              <w:ind w:right="110"/>
              <w:spacing w:after="0" w:line="224" w:lineRule="auto"/>
              <w:rPr>
                <w:sz w:val="20"/>
                <w:szCs w:val="20"/>
                <w:color w:val="auto"/>
              </w:rPr>
            </w:pPr>
            <w:r>
              <w:rPr>
                <w:rFonts w:ascii="Arial" w:cs="Arial" w:eastAsia="Arial" w:hAnsi="Arial"/>
                <w:sz w:val="3"/>
                <w:szCs w:val="3"/>
                <w:b w:val="1"/>
                <w:bCs w:val="1"/>
                <w:color w:val="595959"/>
              </w:rPr>
              <w:t>-</w:t>
            </w:r>
          </w:p>
        </w:tc>
        <w:tc>
          <w:tcPr>
            <w:tcW w:w="40" w:type="dxa"/>
            <w:vAlign w:val="bottom"/>
          </w:tcPr>
          <w:p>
            <w:pPr>
              <w:spacing w:after="0"/>
              <w:rPr>
                <w:sz w:val="2"/>
                <w:szCs w:val="2"/>
                <w:color w:val="auto"/>
              </w:rPr>
            </w:pPr>
          </w:p>
        </w:tc>
        <w:tc>
          <w:tcPr>
            <w:tcW w:w="340" w:type="dxa"/>
            <w:vAlign w:val="bottom"/>
          </w:tcPr>
          <w:p>
            <w:pPr>
              <w:jc w:val="right"/>
              <w:ind w:right="130"/>
              <w:spacing w:after="0" w:line="224" w:lineRule="auto"/>
              <w:rPr>
                <w:sz w:val="20"/>
                <w:szCs w:val="20"/>
                <w:color w:val="auto"/>
              </w:rPr>
            </w:pPr>
            <w:r>
              <w:rPr>
                <w:rFonts w:ascii="Arial" w:cs="Arial" w:eastAsia="Arial" w:hAnsi="Arial"/>
                <w:sz w:val="3"/>
                <w:szCs w:val="3"/>
                <w:b w:val="1"/>
                <w:bCs w:val="1"/>
                <w:color w:val="595959"/>
              </w:rPr>
              <w:t>-</w:t>
            </w:r>
          </w:p>
        </w:tc>
        <w:tc>
          <w:tcPr>
            <w:tcW w:w="340" w:type="dxa"/>
            <w:vAlign w:val="bottom"/>
          </w:tcPr>
          <w:p>
            <w:pPr>
              <w:jc w:val="right"/>
              <w:ind w:right="130"/>
              <w:spacing w:after="0" w:line="224" w:lineRule="auto"/>
              <w:rPr>
                <w:sz w:val="20"/>
                <w:szCs w:val="20"/>
                <w:color w:val="auto"/>
              </w:rPr>
            </w:pPr>
            <w:r>
              <w:rPr>
                <w:rFonts w:ascii="Arial" w:cs="Arial" w:eastAsia="Arial" w:hAnsi="Arial"/>
                <w:sz w:val="3"/>
                <w:szCs w:val="3"/>
                <w:b w:val="1"/>
                <w:bCs w:val="1"/>
                <w:color w:val="595959"/>
              </w:rPr>
              <w:t>-</w:t>
            </w:r>
          </w:p>
        </w:tc>
        <w:tc>
          <w:tcPr>
            <w:tcW w:w="20" w:type="dxa"/>
            <w:vAlign w:val="bottom"/>
          </w:tcPr>
          <w:p>
            <w:pPr>
              <w:spacing w:after="0"/>
              <w:rPr>
                <w:sz w:val="2"/>
                <w:szCs w:val="2"/>
                <w:color w:val="auto"/>
              </w:rPr>
            </w:pPr>
          </w:p>
        </w:tc>
        <w:tc>
          <w:tcPr>
            <w:tcW w:w="340" w:type="dxa"/>
            <w:vAlign w:val="bottom"/>
          </w:tcPr>
          <w:p>
            <w:pPr>
              <w:jc w:val="right"/>
              <w:ind w:right="130"/>
              <w:spacing w:after="0" w:line="224" w:lineRule="auto"/>
              <w:rPr>
                <w:sz w:val="20"/>
                <w:szCs w:val="20"/>
                <w:color w:val="auto"/>
              </w:rPr>
            </w:pPr>
            <w:r>
              <w:rPr>
                <w:rFonts w:ascii="Arial" w:cs="Arial" w:eastAsia="Arial" w:hAnsi="Arial"/>
                <w:sz w:val="3"/>
                <w:szCs w:val="3"/>
                <w:b w:val="1"/>
                <w:bCs w:val="1"/>
                <w:color w:val="595959"/>
              </w:rPr>
              <w:t>-</w:t>
            </w:r>
          </w:p>
        </w:tc>
        <w:tc>
          <w:tcPr>
            <w:tcW w:w="360" w:type="dxa"/>
            <w:vAlign w:val="bottom"/>
          </w:tcPr>
          <w:p>
            <w:pPr>
              <w:jc w:val="right"/>
              <w:ind w:right="130"/>
              <w:spacing w:after="0" w:line="224" w:lineRule="auto"/>
              <w:rPr>
                <w:sz w:val="20"/>
                <w:szCs w:val="20"/>
                <w:color w:val="auto"/>
              </w:rPr>
            </w:pPr>
            <w:r>
              <w:rPr>
                <w:rFonts w:ascii="Arial" w:cs="Arial" w:eastAsia="Arial" w:hAnsi="Arial"/>
                <w:sz w:val="3"/>
                <w:szCs w:val="3"/>
                <w:b w:val="1"/>
                <w:bCs w:val="1"/>
                <w:color w:val="595959"/>
              </w:rPr>
              <w:t>-</w:t>
            </w:r>
          </w:p>
        </w:tc>
        <w:tc>
          <w:tcPr>
            <w:tcW w:w="20" w:type="dxa"/>
            <w:vAlign w:val="bottom"/>
          </w:tcPr>
          <w:p>
            <w:pPr>
              <w:spacing w:after="0"/>
              <w:rPr>
                <w:sz w:val="2"/>
                <w:szCs w:val="2"/>
                <w:color w:val="auto"/>
              </w:rPr>
            </w:pPr>
          </w:p>
        </w:tc>
        <w:tc>
          <w:tcPr>
            <w:tcW w:w="160" w:type="dxa"/>
            <w:vAlign w:val="bottom"/>
          </w:tcPr>
          <w:p>
            <w:pPr>
              <w:jc w:val="right"/>
              <w:spacing w:after="0" w:line="224" w:lineRule="auto"/>
              <w:rPr>
                <w:sz w:val="20"/>
                <w:szCs w:val="20"/>
                <w:color w:val="auto"/>
              </w:rPr>
            </w:pPr>
            <w:r>
              <w:rPr>
                <w:rFonts w:ascii="Arial" w:cs="Arial" w:eastAsia="Arial" w:hAnsi="Arial"/>
                <w:sz w:val="3"/>
                <w:szCs w:val="3"/>
                <w:b w:val="1"/>
                <w:bCs w:val="1"/>
                <w:color w:val="595959"/>
              </w:rPr>
              <w:t>-</w:t>
            </w:r>
          </w:p>
        </w:tc>
        <w:tc>
          <w:tcPr>
            <w:tcW w:w="180" w:type="dxa"/>
            <w:vAlign w:val="bottom"/>
          </w:tcPr>
          <w:p>
            <w:pPr>
              <w:spacing w:after="0"/>
              <w:rPr>
                <w:sz w:val="2"/>
                <w:szCs w:val="2"/>
                <w:color w:val="auto"/>
              </w:rPr>
            </w:pPr>
          </w:p>
        </w:tc>
        <w:tc>
          <w:tcPr>
            <w:tcW w:w="340" w:type="dxa"/>
            <w:vAlign w:val="bottom"/>
          </w:tcPr>
          <w:p>
            <w:pPr>
              <w:jc w:val="right"/>
              <w:ind w:right="110"/>
              <w:spacing w:after="0" w:line="224" w:lineRule="auto"/>
              <w:rPr>
                <w:sz w:val="20"/>
                <w:szCs w:val="20"/>
                <w:color w:val="auto"/>
              </w:rPr>
            </w:pPr>
            <w:r>
              <w:rPr>
                <w:rFonts w:ascii="Arial" w:cs="Arial" w:eastAsia="Arial" w:hAnsi="Arial"/>
                <w:sz w:val="3"/>
                <w:szCs w:val="3"/>
                <w:b w:val="1"/>
                <w:bCs w:val="1"/>
                <w:color w:val="595959"/>
              </w:rPr>
              <w:t>-</w:t>
            </w:r>
          </w:p>
        </w:tc>
        <w:tc>
          <w:tcPr>
            <w:tcW w:w="20" w:type="dxa"/>
            <w:vAlign w:val="bottom"/>
          </w:tcPr>
          <w:p>
            <w:pPr>
              <w:spacing w:after="0"/>
              <w:rPr>
                <w:sz w:val="2"/>
                <w:szCs w:val="2"/>
                <w:color w:val="auto"/>
              </w:rPr>
            </w:pPr>
          </w:p>
        </w:tc>
        <w:tc>
          <w:tcPr>
            <w:tcW w:w="360" w:type="dxa"/>
            <w:vAlign w:val="bottom"/>
          </w:tcPr>
          <w:p>
            <w:pPr>
              <w:jc w:val="right"/>
              <w:ind w:right="150"/>
              <w:spacing w:after="0" w:line="224" w:lineRule="auto"/>
              <w:rPr>
                <w:sz w:val="20"/>
                <w:szCs w:val="20"/>
                <w:color w:val="auto"/>
              </w:rPr>
            </w:pPr>
            <w:r>
              <w:rPr>
                <w:rFonts w:ascii="Arial" w:cs="Arial" w:eastAsia="Arial" w:hAnsi="Arial"/>
                <w:sz w:val="3"/>
                <w:szCs w:val="3"/>
                <w:b w:val="1"/>
                <w:bCs w:val="1"/>
                <w:color w:val="595959"/>
              </w:rPr>
              <w:t>-</w:t>
            </w:r>
          </w:p>
        </w:tc>
        <w:tc>
          <w:tcPr>
            <w:tcW w:w="360" w:type="dxa"/>
            <w:vAlign w:val="bottom"/>
          </w:tcPr>
          <w:p>
            <w:pPr>
              <w:jc w:val="right"/>
              <w:ind w:right="127"/>
              <w:spacing w:after="0" w:line="224" w:lineRule="auto"/>
              <w:rPr>
                <w:sz w:val="20"/>
                <w:szCs w:val="20"/>
                <w:color w:val="auto"/>
              </w:rPr>
            </w:pPr>
            <w:r>
              <w:rPr>
                <w:rFonts w:ascii="Arial" w:cs="Arial" w:eastAsia="Arial" w:hAnsi="Arial"/>
                <w:sz w:val="3"/>
                <w:szCs w:val="3"/>
                <w:b w:val="1"/>
                <w:bCs w:val="1"/>
                <w:color w:val="595959"/>
              </w:rPr>
              <w:t>-</w:t>
            </w: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40" w:type="dxa"/>
            <w:vAlign w:val="bottom"/>
            <w:gridSpan w:val="2"/>
          </w:tcPr>
          <w:p>
            <w:pPr>
              <w:jc w:val="right"/>
              <w:ind w:right="80"/>
              <w:spacing w:after="0" w:line="219" w:lineRule="auto"/>
              <w:rPr>
                <w:sz w:val="20"/>
                <w:szCs w:val="20"/>
                <w:color w:val="auto"/>
              </w:rPr>
            </w:pPr>
            <w:r>
              <w:rPr>
                <w:rFonts w:ascii="Arial" w:cs="Arial" w:eastAsia="Arial" w:hAnsi="Arial"/>
                <w:sz w:val="17"/>
                <w:szCs w:val="17"/>
                <w:b w:val="1"/>
                <w:bCs w:val="1"/>
                <w:color w:val="595959"/>
              </w:rPr>
              <w:t>Apr</w:t>
            </w:r>
          </w:p>
        </w:tc>
        <w:tc>
          <w:tcPr>
            <w:tcW w:w="2680" w:type="dxa"/>
            <w:vAlign w:val="bottom"/>
            <w:gridSpan w:val="13"/>
          </w:tcPr>
          <w:p>
            <w:pPr>
              <w:jc w:val="right"/>
              <w:ind w:right="199"/>
              <w:spacing w:after="0"/>
              <w:rPr>
                <w:sz w:val="20"/>
                <w:szCs w:val="20"/>
                <w:color w:val="auto"/>
              </w:rPr>
            </w:pPr>
            <w:r>
              <w:rPr>
                <w:rFonts w:ascii="Arial" w:cs="Arial" w:eastAsia="Arial" w:hAnsi="Arial"/>
                <w:sz w:val="17"/>
                <w:szCs w:val="17"/>
                <w:b w:val="1"/>
                <w:bCs w:val="1"/>
                <w:color w:val="595959"/>
              </w:rPr>
              <w:t>JulOct Jan Apr  Jul Oct Jan</w:t>
            </w:r>
          </w:p>
        </w:tc>
        <w:tc>
          <w:tcPr>
            <w:tcW w:w="120" w:type="dxa"/>
            <w:vAlign w:val="bottom"/>
          </w:tcPr>
          <w:p>
            <w:pPr>
              <w:spacing w:after="0"/>
              <w:rPr>
                <w:sz w:val="15"/>
                <w:szCs w:val="15"/>
                <w:color w:val="auto"/>
              </w:rPr>
            </w:pPr>
          </w:p>
        </w:tc>
        <w:tc>
          <w:tcPr>
            <w:tcW w:w="2900" w:type="dxa"/>
            <w:vAlign w:val="bottom"/>
            <w:gridSpan w:val="14"/>
          </w:tcPr>
          <w:p>
            <w:pPr>
              <w:jc w:val="center"/>
              <w:spacing w:after="0"/>
              <w:rPr>
                <w:sz w:val="20"/>
                <w:szCs w:val="20"/>
                <w:color w:val="auto"/>
              </w:rPr>
            </w:pPr>
            <w:r>
              <w:rPr>
                <w:rFonts w:ascii="Arial" w:cs="Arial" w:eastAsia="Arial" w:hAnsi="Arial"/>
                <w:sz w:val="17"/>
                <w:szCs w:val="17"/>
                <w:b w:val="1"/>
                <w:bCs w:val="1"/>
                <w:color w:val="595959"/>
              </w:rPr>
              <w:t>Jul Oct Jan Apr  Jul Oct Jan Apr</w:t>
            </w:r>
          </w:p>
        </w:tc>
        <w:tc>
          <w:tcPr>
            <w:tcW w:w="1800" w:type="dxa"/>
            <w:vAlign w:val="bottom"/>
            <w:gridSpan w:val="6"/>
          </w:tcPr>
          <w:p>
            <w:pPr>
              <w:jc w:val="right"/>
              <w:ind w:right="703"/>
              <w:spacing w:after="0"/>
              <w:rPr>
                <w:sz w:val="20"/>
                <w:szCs w:val="20"/>
                <w:color w:val="auto"/>
              </w:rPr>
            </w:pPr>
            <w:r>
              <w:rPr>
                <w:rFonts w:ascii="Arial" w:cs="Arial" w:eastAsia="Arial" w:hAnsi="Arial"/>
                <w:sz w:val="17"/>
                <w:szCs w:val="17"/>
                <w:b w:val="1"/>
                <w:bCs w:val="1"/>
                <w:color w:val="595959"/>
              </w:rPr>
              <w:t>JulOct  Jan</w:t>
            </w:r>
          </w:p>
        </w:tc>
        <w:tc>
          <w:tcPr>
            <w:tcW w:w="0" w:type="dxa"/>
            <w:vAlign w:val="bottom"/>
          </w:tcPr>
          <w:p>
            <w:pPr>
              <w:spacing w:after="0"/>
              <w:rPr>
                <w:sz w:val="1"/>
                <w:szCs w:val="1"/>
                <w:color w:val="auto"/>
              </w:rPr>
            </w:pPr>
          </w:p>
        </w:tc>
      </w:tr>
      <w:tr>
        <w:trPr>
          <w:trHeight w:val="269"/>
        </w:trPr>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gridSpan w:val="2"/>
          </w:tcPr>
          <w:p>
            <w:pPr>
              <w:ind w:left="40"/>
              <w:spacing w:after="0"/>
              <w:rPr>
                <w:sz w:val="20"/>
                <w:szCs w:val="20"/>
                <w:color w:val="auto"/>
              </w:rPr>
            </w:pPr>
            <w:r>
              <w:rPr>
                <w:rFonts w:ascii="Arial" w:cs="Arial" w:eastAsia="Arial" w:hAnsi="Arial"/>
                <w:sz w:val="17"/>
                <w:szCs w:val="17"/>
                <w:b w:val="1"/>
                <w:bCs w:val="1"/>
                <w:color w:val="595959"/>
              </w:rPr>
              <w:t>April</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-2182495</wp:posOffset>
            </wp:positionV>
            <wp:extent cx="4589145" cy="1506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89145" cy="1506220"/>
                    </a:xfrm>
                    <a:prstGeom prst="rect">
                      <a:avLst/>
                    </a:prstGeom>
                    <a:noFill/>
                  </pic:spPr>
                </pic:pic>
              </a:graphicData>
            </a:graphic>
          </wp:anchor>
        </w:drawing>
      </w:r>
    </w:p>
    <w:p>
      <w:pPr>
        <w:ind w:left="3920"/>
        <w:spacing w:after="0"/>
        <w:tabs>
          <w:tab w:leader="none" w:pos="4840" w:val="left"/>
          <w:tab w:leader="none" w:pos="5880" w:val="left"/>
        </w:tabs>
        <w:rPr>
          <w:sz w:val="20"/>
          <w:szCs w:val="20"/>
          <w:color w:val="auto"/>
        </w:rPr>
      </w:pPr>
      <w:r>
        <w:rPr>
          <w:rFonts w:ascii="Arial" w:cs="Arial" w:eastAsia="Arial" w:hAnsi="Arial"/>
          <w:sz w:val="19"/>
          <w:szCs w:val="19"/>
          <w:b w:val="1"/>
          <w:bCs w:val="1"/>
          <w:color w:val="595959"/>
        </w:rPr>
        <w:t>ZM</w:t>
      </w:r>
      <w:r>
        <w:rPr>
          <w:sz w:val="20"/>
          <w:szCs w:val="20"/>
          <w:color w:val="auto"/>
        </w:rPr>
        <w:tab/>
      </w:r>
      <w:r>
        <w:rPr>
          <w:rFonts w:ascii="Arial" w:cs="Arial" w:eastAsia="Arial" w:hAnsi="Arial"/>
          <w:sz w:val="19"/>
          <w:szCs w:val="19"/>
          <w:b w:val="1"/>
          <w:bCs w:val="1"/>
          <w:color w:val="595959"/>
        </w:rPr>
        <w:t>RUT</w:t>
      </w:r>
      <w:r>
        <w:rPr>
          <w:sz w:val="20"/>
          <w:szCs w:val="20"/>
          <w:color w:val="auto"/>
        </w:rPr>
        <w:tab/>
      </w:r>
      <w:r>
        <w:rPr>
          <w:rFonts w:ascii="Arial" w:cs="Arial" w:eastAsia="Arial" w:hAnsi="Arial"/>
          <w:sz w:val="19"/>
          <w:szCs w:val="19"/>
          <w:b w:val="1"/>
          <w:bCs w:val="1"/>
          <w:color w:val="595959"/>
        </w:rPr>
        <w:t>IXCO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2269490</wp:posOffset>
                </wp:positionH>
                <wp:positionV relativeFrom="paragraph">
                  <wp:posOffset>-48895</wp:posOffset>
                </wp:positionV>
                <wp:extent cx="18542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5420" cy="4763"/>
                        </a:xfrm>
                        <a:prstGeom prst="line">
                          <a:avLst/>
                        </a:prstGeom>
                        <a:solidFill>
                          <a:srgbClr val="FFFFFF"/>
                        </a:solidFill>
                        <a:ln w="27734">
                          <a:solidFill>
                            <a:srgbClr val="484848"/>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7pt,-3.8499pt" to="193.3pt,-3.8499pt" o:allowincell="f" strokecolor="#484848" strokeweight="2.1838pt"/>
            </w:pict>
          </mc:Fallback>
        </mc:AlternateContent>
        <mc:AlternateContent>
          <mc:Choice Requires="wps">
            <w:drawing>
              <wp:anchor simplePos="0" relativeHeight="251657728" behindDoc="1" locked="0" layoutInCell="0" allowOverlap="1">
                <wp:simplePos x="0" y="0"/>
                <wp:positionH relativeFrom="column">
                  <wp:posOffset>2861310</wp:posOffset>
                </wp:positionH>
                <wp:positionV relativeFrom="paragraph">
                  <wp:posOffset>-48895</wp:posOffset>
                </wp:positionV>
                <wp:extent cx="18478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785" cy="4763"/>
                        </a:xfrm>
                        <a:prstGeom prst="line">
                          <a:avLst/>
                        </a:prstGeom>
                        <a:solidFill>
                          <a:srgbClr val="FFFFFF"/>
                        </a:solidFill>
                        <a:ln w="27734">
                          <a:solidFill>
                            <a:srgbClr val="DBDBDB"/>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3pt,-3.8499pt" to="239.85pt,-3.8499pt" o:allowincell="f" strokecolor="#DBDBDB" strokeweight="2.1838pt"/>
            </w:pict>
          </mc:Fallback>
        </mc:AlternateContent>
        <mc:AlternateContent>
          <mc:Choice Requires="wps">
            <w:drawing>
              <wp:anchor simplePos="0" relativeHeight="251657728" behindDoc="1" locked="0" layoutInCell="0" allowOverlap="1">
                <wp:simplePos x="0" y="0"/>
                <wp:positionH relativeFrom="column">
                  <wp:posOffset>3526790</wp:posOffset>
                </wp:positionH>
                <wp:positionV relativeFrom="paragraph">
                  <wp:posOffset>-48895</wp:posOffset>
                </wp:positionV>
                <wp:extent cx="18542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5420" cy="4763"/>
                        </a:xfrm>
                        <a:prstGeom prst="line">
                          <a:avLst/>
                        </a:prstGeom>
                        <a:solidFill>
                          <a:srgbClr val="FFFFFF"/>
                        </a:solidFill>
                        <a:ln w="27734">
                          <a:solidFill>
                            <a:srgbClr val="929292"/>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7pt,-3.8499pt" to="292.3pt,-3.8499pt" o:allowincell="f" strokecolor="#929292" strokeweight="2.183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Unregistered Sales of Equity Securities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None.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Use of Proceeds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None.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Issuer Purchases of Equity Securities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[RESERVED]</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Not applicable</w:t>
      </w:r>
    </w:p>
    <w:p>
      <w:pPr>
        <w:spacing w:after="0" w:line="241" w:lineRule="exact"/>
        <w:rPr>
          <w:sz w:val="20"/>
          <w:szCs w:val="20"/>
          <w:color w:val="auto"/>
        </w:rPr>
      </w:pPr>
    </w:p>
    <w:p>
      <w:pPr>
        <w:ind w:right="600"/>
        <w:spacing w:after="0" w:line="298" w:lineRule="auto"/>
        <w:rPr>
          <w:sz w:val="20"/>
          <w:szCs w:val="20"/>
          <w:color w:val="auto"/>
        </w:rPr>
      </w:pPr>
      <w:r>
        <w:rPr>
          <w:rFonts w:ascii="Times New Roman" w:cs="Times New Roman" w:eastAsia="Times New Roman" w:hAnsi="Times New Roman"/>
          <w:sz w:val="19"/>
          <w:szCs w:val="19"/>
          <w:b w:val="1"/>
          <w:bCs w:val="1"/>
          <w:color w:val="auto"/>
        </w:rPr>
        <w:t>Item 7. MANAGEMENT'S DISCUSSION AND ANALYSIS OF FINANCIAL CONDITION AND RESULTS OF OPERATIONS</w:t>
      </w:r>
    </w:p>
    <w:p>
      <w:pPr>
        <w:spacing w:after="0" w:line="44"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You should read the following discussion and analysis of our financial condition and results of operations together with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Our mission is to provide one platform that delivers limitless human connection.</w:t>
      </w:r>
    </w:p>
    <w:p>
      <w:pPr>
        <w:spacing w:after="0" w:line="131"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Zoom is an intelligent, secure collaboration platform that makes connecting easier, more immersive, and more dynamic for businesses and individuals. We’re committed to evolving our platform in ways that empower limitless human connection and solve real business problems. All of our product innovation has a unified goal: to help streamline the workday through effective communication and collaboration tools. The Zoom platform makes teamwork more meaningful, drives impact with intelligence, strengthens customer relationships, and enables seamless workflows. Additionally, trust is a cornerstone of the</w:t>
      </w:r>
    </w:p>
    <w:p>
      <w:pPr>
        <w:sectPr>
          <w:pgSz w:w="11880" w:h="15480" w:orient="portrait"/>
          <w:cols w:equalWidth="0" w:num="1">
            <w:col w:w="9960"/>
          </w:cols>
          <w:pgMar w:left="960" w:top="140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ectPr>
          <w:pgSz w:w="11880" w:h="15480" w:orient="portrait"/>
          <w:cols w:equalWidth="0" w:num="1">
            <w:col w:w="9960"/>
          </w:cols>
          <w:pgMar w:left="960" w:top="1400" w:right="960" w:bottom="0" w:gutter="0" w:footer="0" w:header="0"/>
          <w:type w:val="continuous"/>
        </w:sectPr>
      </w:pPr>
    </w:p>
    <w:bookmarkStart w:id="54" w:name="page55"/>
    <w:bookmarkEnd w:id="54"/>
    <w:p>
      <w:pPr>
        <w:jc w:val="both"/>
        <w:spacing w:after="0" w:line="294" w:lineRule="auto"/>
        <w:rPr>
          <w:sz w:val="20"/>
          <w:szCs w:val="20"/>
          <w:color w:val="auto"/>
        </w:rPr>
      </w:pPr>
      <w:r>
        <w:rPr>
          <w:rFonts w:ascii="Times New Roman" w:cs="Times New Roman" w:eastAsia="Times New Roman" w:hAnsi="Times New Roman"/>
          <w:sz w:val="19"/>
          <w:szCs w:val="19"/>
          <w:color w:val="auto"/>
        </w:rPr>
        <w:t>Zoom platform. We equip users with a comprehensive set of tools to make their interactions safe, secure, and private. We believe that strong security should never compromise a great user experience.</w:t>
      </w:r>
    </w:p>
    <w:p>
      <w:pPr>
        <w:spacing w:after="0" w:line="47"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We’re on a mission to reimagine the way we communicate and collaborate in a hybrid working world. The Zoom platform brings employee and customer experience together that people love to use. Flagship products like Zoom Meetings, Zoom Phone, and Zoom Team Chat are among the core products on the platform that are critical to business communication and collaboration needs. We strive to continue building a platform that helps people work smarter, be more engaged with work, and better connect with each other. AI has been core to Zoom’s product DNA over many years, grounded in our conviction that AI can make work more human by strengthening collaboration, productivity, and inclusivity.</w:t>
      </w:r>
    </w:p>
    <w:p>
      <w:pPr>
        <w:spacing w:after="0" w:line="78"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In fiscal year 2024, we continued to invest in AI and focused on three key areas regarding AI innovation: supporting individual productivity, powering better collaboration, and helping customer-facing teams delight their customers. We recently launched Zoom AI Companion, our smart assistant that is designed to empower workers to increase productivity, improve team effectiveness, and enhance skills. Additionally, we introduced our federated approach to AI, which enables us to make Zoom’s AI capabilities accessible and affordable so that more people can incorporate them in their day-to-day workflows. In line with our commitment to responsible AI, Zoom does not use customer audio, video, chat, screen sharing, attachments, or other communications (such as poll results, whiteboard, and reactions) to train Zoom’s or third-party AI models.</w:t>
      </w:r>
    </w:p>
    <w:p>
      <w:pPr>
        <w:spacing w:after="0" w:line="78"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We believe that face-to-face communications build greater empathy and trust. We strive to live up to the trust our customers place in us by delivering a communications solution while prioritizing their privacy and security. Our 29 co-located data centers worldwide and the public cloud in conjunction with our proprietary adaptive rate codec enable us to provide both high-quality and high-definition, real-time video to our customers even in low-bandwidth environments.</w:t>
      </w:r>
    </w:p>
    <w:p>
      <w:pPr>
        <w:spacing w:after="0" w:line="72"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We generate revenue from the sale of subscriptions to our unified communications and collaboration platform. Subscription revenue is driven primarily by the number of customers as well as purchases of additional products, including Zoom Phone, Zoom Spaces, Zoom Events, Zoom Contact Center and Zoom Revenue Accelerator. We define a customer as a separate and distinct buying entity, which can be a single paid user or an organization of any size (including a distinct unit of an organization) that has multiple users. Our Zoom One Basic offering is free and gives users access to Zoom Meetings with core features but with the limitation that meetings time-out at 40 minutes. Our core paid offerings are available with our Zoom One bundles: Zoom One Pro, Business, Business Plus, Enterprise, Enterprise Plus, and Enterprise Premier. The Zoom One bundles are designed for different business needs and are composed of Zoom Meetings, Zoom Team Chat, Zoom Whiteboard and Mail and Calendar as well as Zoom Phone, Zoom Webinars and Zoom Rooms for our Enterprise plans. We also offer vertical-specific plans for Education, Healthcare and Government which provide incremental features and functionality, such as different participant limits, administrative controls, and reporting.</w:t>
      </w:r>
    </w:p>
    <w:p>
      <w:pPr>
        <w:spacing w:after="0" w:line="85"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For Zoom Phone, plans include Zoom Phone Pro, which provides extension-to-extension calling or can be used with the Bring Your Own Carrier model wherein the customer connects Zoom Phone to an existing carrier. We also offer Regional Unlimited and Regional Metered calling plans in four specific markets (Australia/New Zealand, Japan, United Kingdom/Ireland and United States/Canada). In addition, we introduced the Global Select plan in August 2020, which allows customers to select from local numbers and domestic calling in more than 45 countries and territories where Zoom has local public switched telephone network (“PSTN”) coverage.</w:t>
      </w:r>
    </w:p>
    <w:p>
      <w:pPr>
        <w:spacing w:after="0" w:line="78"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Our revenue was $4,527.2 million, $4,393.0 million, and $4,099.9 million for the fiscal years ended January 31, 2024, 2023, and 2022, respectively, representing year-over-year growth of 3.1% and 7.1%, respectively. We had net income of $637.5 million, $103.7 million, and $1,375.6 million for the fiscal years ended January 31, 2024, 2023, and 2022, respectively. Net cash provided by operating activities was $1,598.8 million, $1,290.3 million, and $1,605.3 million for the fiscal years ended January 31, 2024, 2023,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Macroeconomic Conditions and other Factors</w:t>
      </w:r>
    </w:p>
    <w:p>
      <w:pPr>
        <w:spacing w:after="0" w:line="138"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Recent macroeconomic shifts, including high inflation, elevated interest rates, and the responses by central banking authorities, potential recessionary environments, and fluctuations in foreign currency exchange rates, have introduced uncertainty to our business. Additionally, the possibility of a U.S. federal government shutdown, resulting from budgetary challenges, may negatively impact global economic conditions, influencing corporate and consumer spending as well as capital market liquidity. For the fiscal year ended January 31, 2024, we continued to experience growth in total revenue and revenue from Enterprise customers. However, macroeconomic conditions, including high inflation and continued uncertainty regarding the current and future political and economic environment, have and may continue to impact the future demand for subscriptions to our unified communications and collaboration platform. For example, we have experienced and may continue to experience elongated sales cycles as well as a decrease in customers’ overall corporate spending, which is negatively impacting our revenue growth rate and net dollar expansion rate for Enterprise customers. In addition, for the fiscal year ended January 31, 2024, we experienced unfavorable foreign currency impact as a result of the continued strengthening of the U.S. dollar compared to certain foreign jurisdictions where we do a significant amount of business, which resulted in a $34.1 million</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ectPr>
          <w:pgSz w:w="11880" w:h="15480" w:orient="portrait"/>
          <w:cols w:equalWidth="0" w:num="1">
            <w:col w:w="9960"/>
          </w:cols>
          <w:pgMar w:left="960" w:top="821" w:right="960" w:bottom="0" w:gutter="0" w:footer="0" w:header="0"/>
          <w:type w:val="continuous"/>
        </w:sectPr>
      </w:pPr>
    </w:p>
    <w:bookmarkStart w:id="55" w:name="page56"/>
    <w:bookmarkEnd w:id="55"/>
    <w:p>
      <w:pPr>
        <w:jc w:val="both"/>
        <w:spacing w:after="0" w:line="275" w:lineRule="auto"/>
        <w:rPr>
          <w:sz w:val="20"/>
          <w:szCs w:val="20"/>
          <w:color w:val="auto"/>
        </w:rPr>
      </w:pPr>
      <w:r>
        <w:rPr>
          <w:rFonts w:ascii="Times New Roman" w:cs="Times New Roman" w:eastAsia="Times New Roman" w:hAnsi="Times New Roman"/>
          <w:sz w:val="19"/>
          <w:szCs w:val="19"/>
          <w:color w:val="auto"/>
        </w:rPr>
        <w:t>negative impact on revenue for the fiscal year ended January 31, 2024. Many factors may contribute to declines in our growth rate as compared to prior fiscal years, among other things, higher market penetration, increased competition, slowing demand for our platform, a slower than anticipated capitalization on growth opportunities, and the maturation of our business.</w:t>
      </w:r>
    </w:p>
    <w:p>
      <w:pPr>
        <w:spacing w:after="0" w:line="64"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We are continuously monitoring the impact of these circumstances on our business and financial results, as well as the overall global economy and geopolitical landscape. The implications of macroeconomic conditions on our business, results of operations and overall financial position, particularly in the long term, remain uncertain. On February 7, 2023, as a result of the economic environment, we announced a restructuring plan intended to reduce operating costs and continue advancing our ongoing commitment to profitable growth. The restructuring plan included a reduction of our then-current workforce by approximately 15%.</w:t>
      </w:r>
    </w:p>
    <w:p>
      <w:pPr>
        <w:spacing w:after="0" w:line="78"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In addition, the global impacts stemming from the Russian invasion of Ukraine and the recent conflict in Israel and the surrounding area continue to present a high level of uncertainty. Our customers in these regions collectively represented approximately 1% of our net assets and total consolidated revenue as of and for the fiscal year ended January 31, 2024. If the conflicts in these regions persist or worsen, possibly leading to additional sanctions, tightened export restrictions, and greater global economic disruptions and uncertainty, our business and results of operations could be materially impacted. Refer to “Part I, Item 1A. Risk Factors” of this Annual Report on Form 10-K for further discussions of the potential impacts of the current macroeconomic conditions on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Key Factors Affecting Our Performance</w:t>
      </w:r>
    </w:p>
    <w:p>
      <w:pPr>
        <w:spacing w:after="0" w:line="2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Acquiring New Customers</w:t>
      </w:r>
    </w:p>
    <w:p>
      <w:pPr>
        <w:spacing w:after="0" w:line="139" w:lineRule="exact"/>
        <w:rPr>
          <w:sz w:val="20"/>
          <w:szCs w:val="20"/>
          <w:color w:val="auto"/>
        </w:rPr>
      </w:pPr>
    </w:p>
    <w:p>
      <w:pPr>
        <w:jc w:val="both"/>
        <w:ind w:firstLine="524"/>
        <w:spacing w:after="0" w:line="264" w:lineRule="auto"/>
        <w:rPr>
          <w:sz w:val="20"/>
          <w:szCs w:val="20"/>
          <w:color w:val="auto"/>
        </w:rPr>
      </w:pPr>
      <w:r>
        <w:rPr>
          <w:rFonts w:ascii="Times New Roman" w:cs="Times New Roman" w:eastAsia="Times New Roman" w:hAnsi="Times New Roman"/>
          <w:sz w:val="19"/>
          <w:szCs w:val="19"/>
          <w:color w:val="auto"/>
        </w:rPr>
        <w:t>We are focused on continuing to grow the number of customers that use our platform.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200" w:lineRule="exact"/>
        <w:rPr>
          <w:sz w:val="20"/>
          <w:szCs w:val="20"/>
          <w:color w:val="auto"/>
        </w:rPr>
      </w:pP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Expansion of Zoom Across Existing Enterprise Customers</w:t>
      </w:r>
    </w:p>
    <w:p>
      <w:pPr>
        <w:spacing w:after="0" w:line="136"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We believe that there is a large opportunity for growth with many of our existing customers. Many customers have increased the size of their subscriptions as they have expanded their use of our platform across their operations. Some of our larger customers start with a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Phone, Spaces, Contact Center, Revenue Accelerator, Events and Developer Platform Solutions. In order for us to address this opportunity and expand the use of our products with our existing customers, we will need to maintain the reliability of our platform and produce new features and functionality that are responsive to our customers’ requirements for enterprise-grade solutions.</w:t>
      </w:r>
    </w:p>
    <w:p>
      <w:pPr>
        <w:spacing w:after="0" w:line="83"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We quantify our expansion across existing Enterprise customers through our net dollar expansion rate. We define Enterprise customers as distinct business units who have been engaged by either our direct sales team, resellers, or strategic partners. Revenue from Enterprise customers represented 57.9%, 54.8% and 47.6% of total revenue for the fiscal years ended January 31, 2024, 2023 and 2022, respectively. Our net dollar expansion rate includes the increase in user adoption within our Enterprise customers, as our subscription revenue is primarily driven by the number of paid licenses within a customer and the purchase of additional products, and compares our subscription revenue from the same set of Enterprise customers across comparable periods. We calculate net dollar expansion rate as of a period end by starting with the annual recurring revenue (“ARR”) from all Enterprise customers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We then calculate the ARR from these Enterprise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Enterprise customers. Our trailing 12-month net dollar expansion rate for Enterprise customers was 101%, 115%, and 130% as of January 31, 2024, 2023 and 2022, respectively.</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ectPr>
          <w:pgSz w:w="11880" w:h="15480" w:orient="portrait"/>
          <w:cols w:equalWidth="0" w:num="1">
            <w:col w:w="9960"/>
          </w:cols>
          <w:pgMar w:left="960" w:top="821" w:right="960" w:bottom="0" w:gutter="0" w:footer="0" w:header="0"/>
          <w:type w:val="continuous"/>
        </w:sectPr>
      </w:pPr>
    </w:p>
    <w:bookmarkStart w:id="56" w:name="page57"/>
    <w:bookmarkEnd w:id="56"/>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Retention of Online Customers</w:t>
      </w:r>
    </w:p>
    <w:p>
      <w:pPr>
        <w:spacing w:after="0" w:line="139"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In addition to Enterprise customers, we also have a significant number of customers that subscribe to our services directly through our website (“Online customers”). Online customers represent a diverse customer base, ranging from individual consumers to small and medium size businesses. We continue to focus on acquisition and retention of our Online customer base through various strategies to improve the features and functionalities of our products and services. Revenue from Online customers represented 42.1%, 45.2%, and 52.4% of total revenue for the fiscal years ended January 31, 2024, 2023 and 2022, respectively. The ability to retain these Online customers will have an impact on our future revenue. The online monthly average churn for our Online customers was 3.1%, 3.4%, and 3.9% per month for the fiscal years ended January 31, 2024, 2023 and 2022, respectively. One of the dynamics in the Online portion of the business is the MRR contribution from customers that have retained Zoom services for a certain portion of time as these customers tend to maintain their subscriptions and contribute meaningfully to the Online business. As of January 31, 2024, 2023 and 2022 the percentage of total Online MRR from Online customers with a continual term of service of at least 16 months was 74.2%, 72.0% and 58.8% respectively.</w:t>
      </w:r>
    </w:p>
    <w:p>
      <w:pPr>
        <w:spacing w:after="0" w:line="85"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We calculate our online average monthly churn by starting with the Online customer MRR as of the beginning of the applicable quarter (“Entry MRR”). We define Entry MRR as the recurring revenue run-rate of subscription agreements from all Online customers except for subscriptions that we recorded as churn in a previous quarter based on the customers' earlier indication to us of their intention to cancel that subscription. We then determine the MRR related to customers who canceled or downgraded their subscription or notified us of that intention during the applicable quarter (“Applicable Quarter MRR Churn”) and divide the Applicable Quarter MRR Churn by the applicable quarter Entry MRR to arrive at the MRR churn rate for Online customers for the applicable quarter. We then divided that amount by three to calculate the online average monthly churn.</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Innovation and Expansion of Our Platform</w:t>
      </w:r>
    </w:p>
    <w:p>
      <w:pPr>
        <w:spacing w:after="0" w:line="114"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We continue to invest resources to enhance the capabilities of our platform. For example, we have recently introduced a number of new products and enhancements including Zoom AI Companion, new features for Zoom Contact Center, Zoom Notes, integration of Workvivo into the Zoom desktop client, and ongoing enhancements for Zoom Phone, Meetings, Zoom Rooms, Huddles, Webinars and Zoom Events. We also deliver Zoom Phone calling plans in more than 45 countries and territories as of January 31, 2024.</w:t>
      </w:r>
    </w:p>
    <w:p>
      <w:pPr>
        <w:spacing w:after="0" w:line="75"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We also recently announced several upcoming products including Zoom Docs and an enhanced version of AI Companion that is designed to allow the handling of complex tasks across our platform using information from multiple sources including third party applications. These products are expected to be generally available in 2024.</w:t>
      </w:r>
    </w:p>
    <w:p>
      <w:pPr>
        <w:spacing w:after="0" w:line="64"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In April 2023, we acquired Workvivo, an employee experience platform that combines internal communication and engagement tools, a social intranet, and an employee app. With the acquisition, we continue our evolution to provide a collaboration platform that enables modern work and powers the digital-first workplace, offering our customers new ways to keep employees informed, engaged, and connected.</w:t>
      </w:r>
    </w:p>
    <w:p>
      <w:pPr>
        <w:spacing w:after="0" w:line="72"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and collaboration. We will need to expend additional resources to continue introducing new products, features, and functionality, and supporting the efforts of third parties to enhance the value of our platform with their own applications.</w:t>
      </w:r>
    </w:p>
    <w:p>
      <w:pPr>
        <w:spacing w:after="0" w:line="75"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An end-to-end encryption (“E2EE”) option is available to free and paid Zoom customers globally who host meetings with up to 200 participants as well as on Zoom Phone. Zoom’s E2EE uses the same AES-256-GCM encryption that secures Zoom meetings by default, but with Zoom’s E2EE, the meeting host, or originating caller in the case of Zoom Phone, as opposed to Zoom's servers, generates encryption keys and uses public key cryptography to distribute these keys to the other meeting participants or call recipient.</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International Opportunity</w:t>
      </w:r>
    </w:p>
    <w:p>
      <w:pPr>
        <w:spacing w:after="0" w:line="139"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Our platform addresses the communications and collaboration needs of users worldwide, and we see international expansion as a major opportunity. Our revenue from the rest of world (APAC and EMEA) represented 28.7%, 30.5%, and 33.3% of our total revenue for the fiscal years ended January 31, 2024, 2023, and 2022, respectively. The decrease in revenue from the rest of the world in the fiscal years ended January 31, 2024 and 2023 was due to the impact of the strengthening of the U.S dollar along with macroeconomic conditions in the EMEA region.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ectPr>
          <w:pgSz w:w="11880" w:h="15480" w:orient="portrait"/>
          <w:cols w:equalWidth="0" w:num="1">
            <w:col w:w="9960"/>
          </w:cols>
          <w:pgMar w:left="960" w:top="813" w:right="960" w:bottom="0"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ectPr>
          <w:pgSz w:w="11880" w:h="15480" w:orient="portrait"/>
          <w:cols w:equalWidth="0" w:num="1">
            <w:col w:w="9960"/>
          </w:cols>
          <w:pgMar w:left="960" w:top="813" w:right="96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9"/>
          <w:szCs w:val="19"/>
          <w:b w:val="1"/>
          <w:bCs w:val="1"/>
          <w:color w:val="auto"/>
        </w:rPr>
        <w:t>Key Business Metrics</w:t>
      </w:r>
    </w:p>
    <w:p>
      <w:pPr>
        <w:spacing w:after="0" w:line="138"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We review the following key business metrics to measure our performance, identify trends, formulate financial projections, and make strategic decisions.</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Number of Enterprise Customers</w:t>
      </w:r>
    </w:p>
    <w:p>
      <w:pPr>
        <w:spacing w:after="0" w:line="139"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We believe that our ability to increase the number of Enterprise customers is an indicator of our potential future business opportunities, the growth of our business, and an indicator of our market penetration. Increasing awareness of our platform and capabilities, coupled with the mainstream adoption of our technology, has expanded the diversity of our customer base to include organizations of all sizes across all industries. Over time, we expect Enterprise customers to represent a larger share of our business. As of January 31, 2024, 2023, and 2022, we had approximately 220,400, 213,000, and 191,000 Enterprise customers, respectively.</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Customers Contributing More Than $100,000 of Trailing 12 Months Revenue</w:t>
      </w:r>
    </w:p>
    <w:p>
      <w:pPr>
        <w:spacing w:after="0" w:line="139"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We focus on growing the number of customers that contribute more than $100,000 of trailing 12 months revenue as it is a measure of our ability to scale with our customers and attract larger organizations to Zoom. Revenue from these customers represented 29.2%, 27.1%, and 21.9% of total revenue for the fiscal years ended January 31, 2024, 2023, and 2022, respectively. As of January 31, 2024, 2023, and 2022, we had 3,810, 3,471, and 2,725 customers, respectively, that contributed more than $100,000 of trailing 12 months revenue, demonstrating our rapid penetration of larger organizations, including enterprises. These customers are a subset of Enterprise customers.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Non-GAAP Financial Measures</w:t>
      </w:r>
    </w:p>
    <w:p>
      <w:pPr>
        <w:spacing w:after="0" w:line="138"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In addition to our results determined in accordance with GAAP, we believe that free cash flow (“FCF”) is a non-GAAP financial measure that is useful in evaluating our liquidity.</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Free Cash Flow</w:t>
      </w:r>
    </w:p>
    <w:p>
      <w:pPr>
        <w:spacing w:after="0" w:line="139"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and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spacing w:after="0" w:line="79"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The following table presents a summary of our cash flows for the fiscal years presented and a reconciliation of FCF to net cash provided by operating activities, the most directly comparable financial measure calculated in accordance with GAAP:</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center"/>
              <w:ind w:left="988"/>
              <w:spacing w:after="0"/>
              <w:rPr>
                <w:sz w:val="20"/>
                <w:szCs w:val="20"/>
                <w:color w:val="auto"/>
              </w:rPr>
            </w:pPr>
            <w:r>
              <w:rPr>
                <w:rFonts w:ascii="Times New Roman" w:cs="Times New Roman" w:eastAsia="Times New Roman" w:hAnsi="Times New Roman"/>
                <w:sz w:val="16"/>
                <w:szCs w:val="16"/>
                <w:b w:val="1"/>
                <w:bCs w:val="1"/>
                <w:color w:val="auto"/>
                <w:w w:val="96"/>
              </w:rPr>
              <w:t>Year Ended January 31,</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3"/>
        </w:trPr>
        <w:tc>
          <w:tcPr>
            <w:tcW w:w="5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3"/>
        </w:trPr>
        <w:tc>
          <w:tcPr>
            <w:tcW w:w="5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85"/>
        </w:trPr>
        <w:tc>
          <w:tcPr>
            <w:tcW w:w="54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Net cash provided by operating activities</w:t>
            </w:r>
          </w:p>
        </w:tc>
        <w:tc>
          <w:tcPr>
            <w:tcW w:w="340" w:type="dxa"/>
            <w:vAlign w:val="bottom"/>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1,598,836</w:t>
            </w:r>
          </w:p>
        </w:tc>
        <w:tc>
          <w:tcPr>
            <w:tcW w:w="2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1,290,262</w:t>
            </w: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300" w:type="dxa"/>
            <w:vAlign w:val="bottom"/>
            <w:shd w:val="clear" w:color="auto" w:fill="DEDEDE"/>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1,605,266</w:t>
            </w:r>
          </w:p>
        </w:tc>
      </w:tr>
      <w:tr>
        <w:trPr>
          <w:trHeight w:val="266"/>
        </w:trPr>
        <w:tc>
          <w:tcPr>
            <w:tcW w:w="546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9"/>
                <w:szCs w:val="19"/>
                <w:color w:val="auto"/>
              </w:rPr>
              <w:t>Less: purchases of property and equipment</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(126,953)</w:t>
            </w:r>
          </w:p>
        </w:tc>
        <w:tc>
          <w:tcPr>
            <w:tcW w:w="60" w:type="dxa"/>
            <w:vAlign w:val="bottom"/>
            <w:tcBorders>
              <w:bottom w:val="single" w:sz="8" w:color="DEDEDE"/>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(103,826)</w:t>
            </w:r>
          </w:p>
        </w:tc>
        <w:tc>
          <w:tcPr>
            <w:tcW w:w="60" w:type="dxa"/>
            <w:vAlign w:val="bottom"/>
            <w:tcBorders>
              <w:bottom w:val="single" w:sz="8" w:color="DEDEDE"/>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(132,590)</w:t>
            </w:r>
          </w:p>
        </w:tc>
      </w:tr>
      <w:tr>
        <w:trPr>
          <w:trHeight w:val="291"/>
        </w:trPr>
        <w:tc>
          <w:tcPr>
            <w:tcW w:w="546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9"/>
                <w:szCs w:val="19"/>
                <w:color w:val="auto"/>
              </w:rPr>
              <w:t>Free cash flow (non-GAAP)</w:t>
            </w:r>
          </w:p>
        </w:tc>
        <w:tc>
          <w:tcPr>
            <w:tcW w:w="340" w:type="dxa"/>
            <w:vAlign w:val="bottom"/>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1,471,883</w:t>
            </w:r>
          </w:p>
        </w:tc>
        <w:tc>
          <w:tcPr>
            <w:tcW w:w="2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1,186,436</w:t>
            </w: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300" w:type="dxa"/>
            <w:vAlign w:val="bottom"/>
            <w:shd w:val="clear" w:color="auto" w:fill="DEDEDE"/>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1,472,676</w:t>
            </w:r>
          </w:p>
        </w:tc>
      </w:tr>
      <w:tr>
        <w:trPr>
          <w:trHeight w:val="257"/>
        </w:trPr>
        <w:tc>
          <w:tcPr>
            <w:tcW w:w="5460" w:type="dxa"/>
            <w:vAlign w:val="bottom"/>
            <w:tcBorders>
              <w:top w:val="single" w:sz="8" w:color="DEDEDE"/>
              <w:bottom w:val="single" w:sz="8" w:color="DEDEDE"/>
            </w:tcBorders>
          </w:tcPr>
          <w:p>
            <w:pPr>
              <w:ind w:left="60"/>
              <w:spacing w:after="0"/>
              <w:rPr>
                <w:sz w:val="20"/>
                <w:szCs w:val="20"/>
                <w:color w:val="auto"/>
              </w:rPr>
            </w:pPr>
            <w:r>
              <w:rPr>
                <w:rFonts w:ascii="Times New Roman" w:cs="Times New Roman" w:eastAsia="Times New Roman" w:hAnsi="Times New Roman"/>
                <w:sz w:val="19"/>
                <w:szCs w:val="19"/>
                <w:color w:val="auto"/>
              </w:rPr>
              <w:t>Net cash used in investing activities</w:t>
            </w:r>
          </w:p>
        </w:tc>
        <w:tc>
          <w:tcPr>
            <w:tcW w:w="34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(1,183,689)</w:t>
            </w:r>
          </w:p>
        </w:tc>
        <w:tc>
          <w:tcPr>
            <w:tcW w:w="60" w:type="dxa"/>
            <w:vAlign w:val="bottom"/>
            <w:tcBorders>
              <w:top w:val="single" w:sz="8" w:color="DEDEDE"/>
              <w:bottom w:val="single" w:sz="8" w:color="DEDEDE"/>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(318,322)</w:t>
            </w:r>
          </w:p>
        </w:tc>
        <w:tc>
          <w:tcPr>
            <w:tcW w:w="60" w:type="dxa"/>
            <w:vAlign w:val="bottom"/>
            <w:tcBorders>
              <w:top w:val="single" w:sz="8" w:color="DEDEDE"/>
              <w:bottom w:val="single" w:sz="8" w:color="DEDEDE"/>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(2,859,097)</w:t>
            </w:r>
          </w:p>
        </w:tc>
      </w:tr>
      <w:tr>
        <w:trPr>
          <w:trHeight w:val="257"/>
        </w:trPr>
        <w:tc>
          <w:tcPr>
            <w:tcW w:w="546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Net cash provided by (used in) financing activities</w:t>
            </w:r>
          </w:p>
        </w:tc>
        <w:tc>
          <w:tcPr>
            <w:tcW w:w="340" w:type="dxa"/>
            <w:vAlign w:val="bottom"/>
            <w:tcBorders>
              <w:bottom w:val="single" w:sz="8" w:color="auto"/>
            </w:tcBorders>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60,186</w:t>
            </w:r>
          </w:p>
        </w:tc>
        <w:tc>
          <w:tcPr>
            <w:tcW w:w="60" w:type="dxa"/>
            <w:vAlign w:val="bottom"/>
            <w:tcBorders>
              <w:bottom w:val="single" w:sz="8" w:color="DEDEDE"/>
            </w:tcBorders>
            <w:shd w:val="clear" w:color="auto" w:fill="DEDEDE"/>
          </w:tcPr>
          <w:p>
            <w:pPr>
              <w:spacing w:after="0"/>
              <w:rPr>
                <w:sz w:val="22"/>
                <w:szCs w:val="22"/>
                <w:color w:val="auto"/>
              </w:rPr>
            </w:pPr>
          </w:p>
        </w:tc>
        <w:tc>
          <w:tcPr>
            <w:tcW w:w="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(936,942)</w:t>
            </w:r>
          </w:p>
        </w:tc>
        <w:tc>
          <w:tcPr>
            <w:tcW w:w="60" w:type="dxa"/>
            <w:vAlign w:val="bottom"/>
            <w:tcBorders>
              <w:bottom w:val="single" w:sz="8" w:color="DEDEDE"/>
            </w:tcBorders>
            <w:shd w:val="clear" w:color="auto" w:fill="DEDEDE"/>
          </w:tcPr>
          <w:p>
            <w:pPr>
              <w:spacing w:after="0"/>
              <w:rPr>
                <w:sz w:val="22"/>
                <w:szCs w:val="22"/>
                <w:color w:val="auto"/>
              </w:rPr>
            </w:pPr>
          </w:p>
        </w:tc>
        <w:tc>
          <w:tcPr>
            <w:tcW w:w="40" w:type="dxa"/>
            <w:vAlign w:val="bottom"/>
            <w:tcBorders>
              <w:bottom w:val="single" w:sz="8" w:color="auto"/>
            </w:tcBorders>
            <w:shd w:val="clear" w:color="auto" w:fill="DEDEDE"/>
          </w:tcPr>
          <w:p>
            <w:pPr>
              <w:spacing w:after="0"/>
              <w:rPr>
                <w:sz w:val="22"/>
                <w:szCs w:val="22"/>
                <w:color w:val="auto"/>
              </w:rPr>
            </w:pPr>
          </w:p>
        </w:tc>
        <w:tc>
          <w:tcPr>
            <w:tcW w:w="300" w:type="dxa"/>
            <w:vAlign w:val="bottom"/>
            <w:tcBorders>
              <w:bottom w:val="single" w:sz="8" w:color="auto"/>
            </w:tcBorders>
            <w:shd w:val="clear" w:color="auto" w:fill="DEDEDE"/>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34,068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-394335</wp:posOffset>
            </wp:positionV>
            <wp:extent cx="2882265"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extLst>
                    </a:blip>
                    <a:srcRect/>
                    <a:stretch>
                      <a:fillRect/>
                    </a:stretch>
                  </pic:blipFill>
                  <pic:spPr bwMode="auto">
                    <a:xfrm>
                      <a:off x="0" y="0"/>
                      <a:ext cx="2882265" cy="50165"/>
                    </a:xfrm>
                    <a:prstGeom prst="rect">
                      <a:avLst/>
                    </a:prstGeom>
                    <a:noFill/>
                  </pic:spPr>
                </pic:pic>
              </a:graphicData>
            </a:graphic>
          </wp:anchor>
        </w:drawing>
        <w:drawing>
          <wp:anchor simplePos="0" relativeHeight="251657728" behindDoc="1" locked="0" layoutInCell="0" allowOverlap="1">
            <wp:simplePos x="0" y="0"/>
            <wp:positionH relativeFrom="column">
              <wp:posOffset>3454400</wp:posOffset>
            </wp:positionH>
            <wp:positionV relativeFrom="paragraph">
              <wp:posOffset>-218440</wp:posOffset>
            </wp:positionV>
            <wp:extent cx="2882265"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extLst>
                    </a:blip>
                    <a:srcRect/>
                    <a:stretch>
                      <a:fillRect/>
                    </a:stretch>
                  </pic:blipFill>
                  <pic:spPr bwMode="auto">
                    <a:xfrm>
                      <a:off x="0" y="0"/>
                      <a:ext cx="2882265" cy="50165"/>
                    </a:xfrm>
                    <a:prstGeom prst="rect">
                      <a:avLst/>
                    </a:prstGeom>
                    <a:noFill/>
                  </pic:spPr>
                </pic:pic>
              </a:graphicData>
            </a:graphic>
          </wp:anchor>
        </w:drawing>
        <w:drawing>
          <wp:anchor simplePos="0" relativeHeight="251657728" behindDoc="1" locked="0" layoutInCell="0" allowOverlap="1">
            <wp:simplePos x="0" y="0"/>
            <wp:positionH relativeFrom="column">
              <wp:posOffset>3454400</wp:posOffset>
            </wp:positionH>
            <wp:positionV relativeFrom="paragraph">
              <wp:posOffset>-43180</wp:posOffset>
            </wp:positionV>
            <wp:extent cx="2882265"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extLst>
                    </a:blip>
                    <a:srcRect/>
                    <a:stretch>
                      <a:fillRect/>
                    </a:stretch>
                  </pic:blipFill>
                  <pic:spPr bwMode="auto">
                    <a:xfrm>
                      <a:off x="0" y="0"/>
                      <a:ext cx="2882265" cy="5016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Components of Results of Operations</w:t>
      </w:r>
    </w:p>
    <w:p>
      <w:pPr>
        <w:spacing w:after="0" w:line="2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Revenue</w:t>
      </w:r>
    </w:p>
    <w:p>
      <w:pPr>
        <w:spacing w:after="0" w:line="13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We derive our revenue from subscription agreements with customers for access to our unified communications and collaboration platform. Our customers generally do not have the ability to take possession of our software. We also provide services, which include professional services, consulting services, and online event hosting, which are generally considered distinct from the access to our unified communications and collaboration platform. The amount of revenue recognized reflects</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ectPr>
          <w:pgSz w:w="11880" w:h="15480" w:orient="portrait"/>
          <w:cols w:equalWidth="0" w:num="1">
            <w:col w:w="9960"/>
          </w:cols>
          <w:pgMar w:left="960" w:top="815" w:right="960" w:bottom="0" w:gutter="0" w:footer="0" w:header="0"/>
          <w:type w:val="continuous"/>
        </w:sectPr>
      </w:pPr>
    </w:p>
    <w:bookmarkStart w:id="58" w:name="page59"/>
    <w:bookmarkEnd w:id="58"/>
    <w:p>
      <w:pPr>
        <w:jc w:val="both"/>
        <w:spacing w:after="0" w:line="294" w:lineRule="auto"/>
        <w:rPr>
          <w:sz w:val="20"/>
          <w:szCs w:val="20"/>
          <w:color w:val="auto"/>
        </w:rPr>
      </w:pPr>
      <w:r>
        <w:rPr>
          <w:rFonts w:ascii="Times New Roman" w:cs="Times New Roman" w:eastAsia="Times New Roman" w:hAnsi="Times New Roman"/>
          <w:sz w:val="19"/>
          <w:szCs w:val="19"/>
          <w:color w:val="auto"/>
        </w:rPr>
        <w:t>the consideration that we expect to receive in exchange for these services over the contract term which can include a free period discount.</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Cost of Revenue</w:t>
      </w:r>
    </w:p>
    <w:p>
      <w:pPr>
        <w:spacing w:after="0" w:line="13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Cost of revenue primarily consists of costs related to hosting our unified communications and collaboration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Operating Expenses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w:t>
      </w:r>
    </w:p>
    <w:p>
      <w:pPr>
        <w:spacing w:after="0" w:line="134"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Sales and Marketing</w:t>
      </w:r>
    </w:p>
    <w:p>
      <w:pPr>
        <w:spacing w:after="0" w:line="134"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General and Administrative</w:t>
      </w:r>
    </w:p>
    <w:p>
      <w:pPr>
        <w:spacing w:after="0" w:line="134"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General and administrative expenses primarily consist of personnel-related expenses associated with our finance and legal organizations; professional fees for external legal, accounting, and other consulting services; expected credit losses; insurance; certain indirect taxes; litigation settlements; corporate security and regulatory expenses; and allocated overhead.</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Gains (Losses) on Strategic Investments, Net</w:t>
      </w:r>
    </w:p>
    <w:p>
      <w:pPr>
        <w:spacing w:after="0" w:line="139" w:lineRule="exact"/>
        <w:rPr>
          <w:sz w:val="20"/>
          <w:szCs w:val="20"/>
          <w:color w:val="auto"/>
        </w:rPr>
      </w:pPr>
    </w:p>
    <w:p>
      <w:pPr>
        <w:jc w:val="both"/>
        <w:ind w:firstLine="524"/>
        <w:spacing w:after="0" w:line="267" w:lineRule="auto"/>
        <w:rPr>
          <w:sz w:val="20"/>
          <w:szCs w:val="20"/>
          <w:color w:val="auto"/>
        </w:rPr>
      </w:pPr>
      <w:r>
        <w:rPr>
          <w:rFonts w:ascii="Times New Roman" w:cs="Times New Roman" w:eastAsia="Times New Roman" w:hAnsi="Times New Roman"/>
          <w:sz w:val="19"/>
          <w:szCs w:val="19"/>
          <w:color w:val="auto"/>
        </w:rPr>
        <w:t>Gains (losses) on strategic investments, net consist primarily of remeasurement gains or losses on our equity investments.</w:t>
      </w:r>
    </w:p>
    <w:p>
      <w:pPr>
        <w:spacing w:after="0" w:line="200" w:lineRule="exact"/>
        <w:rPr>
          <w:sz w:val="20"/>
          <w:szCs w:val="20"/>
          <w:color w:val="auto"/>
        </w:rPr>
      </w:pP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Other Income (Expense), Net</w:t>
      </w:r>
    </w:p>
    <w:p>
      <w:pPr>
        <w:spacing w:after="0" w:line="139"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Other income (expense) income, net consists primarily of interest income and net accretion on our marketable securities and effect of changes in foreign currency exchange rates.</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Provision for (Benefit from) Income Taxes</w:t>
      </w:r>
    </w:p>
    <w:p>
      <w:pPr>
        <w:spacing w:after="0" w:line="139"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Provision for (benefit from) income taxes consists primarily of income taxes related to federal, state, and foreign jurisdictions where we conduct business.</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ectPr>
          <w:pgSz w:w="11880" w:h="15480" w:orient="portrait"/>
          <w:cols w:equalWidth="0" w:num="1">
            <w:col w:w="9960"/>
          </w:cols>
          <w:pgMar w:left="960" w:top="821" w:right="96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138" w:lineRule="exact"/>
        <w:rPr>
          <w:sz w:val="20"/>
          <w:szCs w:val="20"/>
          <w:color w:val="auto"/>
        </w:rPr>
      </w:pPr>
    </w:p>
    <w:p>
      <w:pPr>
        <w:ind w:firstLine="524"/>
        <w:spacing w:after="0" w:line="294" w:lineRule="auto"/>
        <w:rPr>
          <w:sz w:val="20"/>
          <w:szCs w:val="20"/>
          <w:color w:val="auto"/>
        </w:rPr>
      </w:pPr>
      <w:r>
        <w:rPr>
          <w:rFonts w:ascii="Times New Roman" w:cs="Times New Roman" w:eastAsia="Times New Roman" w:hAnsi="Times New Roman"/>
          <w:sz w:val="19"/>
          <w:szCs w:val="19"/>
          <w:color w:val="auto"/>
        </w:rPr>
        <w:t>The following tables set forth selected consolidated statements of operations data and such data as a percentage of revenue for each of the fiscal years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Year Ended January 31,</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57"/>
        </w:trPr>
        <w:tc>
          <w:tcPr>
            <w:tcW w:w="54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17"/>
        </w:trPr>
        <w:tc>
          <w:tcPr>
            <w:tcW w:w="5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5"/>
        </w:trPr>
        <w:tc>
          <w:tcPr>
            <w:tcW w:w="54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Revenue</w:t>
            </w:r>
          </w:p>
        </w:tc>
        <w:tc>
          <w:tcPr>
            <w:tcW w:w="360" w:type="dxa"/>
            <w:vAlign w:val="bottom"/>
            <w:shd w:val="clear" w:color="auto" w:fill="DEDEDE"/>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4,527,224</w:t>
            </w:r>
          </w:p>
        </w:tc>
        <w:tc>
          <w:tcPr>
            <w:tcW w:w="300" w:type="dxa"/>
            <w:vAlign w:val="bottom"/>
            <w:gridSpan w:val="3"/>
            <w:shd w:val="clear" w:color="auto" w:fill="DEDEDE"/>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4,392,960</w:t>
            </w: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4,099,864</w:t>
            </w:r>
          </w:p>
        </w:tc>
      </w:tr>
      <w:tr>
        <w:trPr>
          <w:trHeight w:val="267"/>
        </w:trPr>
        <w:tc>
          <w:tcPr>
            <w:tcW w:w="5480" w:type="dxa"/>
            <w:vAlign w:val="bottom"/>
            <w:tcBorders>
              <w:bottom w:val="single" w:sz="8" w:color="DEDEDE"/>
            </w:tcBorders>
          </w:tcPr>
          <w:p>
            <w:pPr>
              <w:ind w:left="60"/>
              <w:spacing w:after="0" w:line="266" w:lineRule="exact"/>
              <w:rPr>
                <w:sz w:val="20"/>
                <w:szCs w:val="20"/>
                <w:color w:val="auto"/>
              </w:rPr>
            </w:pPr>
            <w:r>
              <w:rPr>
                <w:rFonts w:ascii="Times New Roman" w:cs="Times New Roman" w:eastAsia="Times New Roman" w:hAnsi="Times New Roman"/>
                <w:sz w:val="19"/>
                <w:szCs w:val="19"/>
                <w:color w:val="auto"/>
              </w:rPr>
              <w:t xml:space="preserve">Cost of revenue </w:t>
            </w:r>
            <w:r>
              <w:rPr>
                <w:rFonts w:ascii="Times New Roman" w:cs="Times New Roman" w:eastAsia="Times New Roman" w:hAnsi="Times New Roman"/>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1,077,801</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DEDEDE"/>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1,100,451</w:t>
            </w:r>
          </w:p>
        </w:tc>
        <w:tc>
          <w:tcPr>
            <w:tcW w:w="60" w:type="dxa"/>
            <w:vAlign w:val="bottom"/>
            <w:tcBorders>
              <w:bottom w:val="single" w:sz="8" w:color="DEDEDE"/>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1,054,554</w:t>
            </w:r>
          </w:p>
        </w:tc>
      </w:tr>
      <w:tr>
        <w:trPr>
          <w:trHeight w:val="275"/>
        </w:trPr>
        <w:tc>
          <w:tcPr>
            <w:tcW w:w="548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Gross profit</w:t>
            </w:r>
          </w:p>
        </w:tc>
        <w:tc>
          <w:tcPr>
            <w:tcW w:w="360" w:type="dxa"/>
            <w:vAlign w:val="bottom"/>
            <w:tcBorders>
              <w:bottom w:val="single" w:sz="8" w:color="auto"/>
            </w:tcBorders>
            <w:shd w:val="clear" w:color="auto" w:fill="DEDEDE"/>
          </w:tcPr>
          <w:p>
            <w:pPr>
              <w:spacing w:after="0"/>
              <w:rPr>
                <w:sz w:val="23"/>
                <w:szCs w:val="23"/>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3,449,423</w:t>
            </w:r>
          </w:p>
        </w:tc>
        <w:tc>
          <w:tcPr>
            <w:tcW w:w="60" w:type="dxa"/>
            <w:vAlign w:val="bottom"/>
            <w:tcBorders>
              <w:bottom w:val="single" w:sz="8" w:color="auto"/>
            </w:tcBorders>
            <w:shd w:val="clear" w:color="auto" w:fill="DEDEDE"/>
          </w:tcPr>
          <w:p>
            <w:pPr>
              <w:spacing w:after="0"/>
              <w:rPr>
                <w:sz w:val="23"/>
                <w:szCs w:val="23"/>
                <w:color w:val="auto"/>
              </w:rPr>
            </w:pPr>
          </w:p>
        </w:tc>
        <w:tc>
          <w:tcPr>
            <w:tcW w:w="40" w:type="dxa"/>
            <w:vAlign w:val="bottom"/>
            <w:tcBorders>
              <w:bottom w:val="single" w:sz="8" w:color="DEDEDE"/>
            </w:tcBorders>
            <w:shd w:val="clear" w:color="auto" w:fill="DEDEDE"/>
          </w:tcPr>
          <w:p>
            <w:pPr>
              <w:spacing w:after="0"/>
              <w:rPr>
                <w:sz w:val="23"/>
                <w:szCs w:val="23"/>
                <w:color w:val="auto"/>
              </w:rPr>
            </w:pPr>
          </w:p>
        </w:tc>
        <w:tc>
          <w:tcPr>
            <w:tcW w:w="200" w:type="dxa"/>
            <w:vAlign w:val="bottom"/>
            <w:tcBorders>
              <w:bottom w:val="single" w:sz="8" w:color="auto"/>
            </w:tcBorders>
            <w:shd w:val="clear" w:color="auto" w:fill="DEDEDE"/>
          </w:tcPr>
          <w:p>
            <w:pPr>
              <w:spacing w:after="0"/>
              <w:rPr>
                <w:sz w:val="23"/>
                <w:szCs w:val="23"/>
                <w:color w:val="auto"/>
              </w:rPr>
            </w:pPr>
          </w:p>
        </w:tc>
        <w:tc>
          <w:tcPr>
            <w:tcW w:w="12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3,292,509</w:t>
            </w:r>
          </w:p>
        </w:tc>
        <w:tc>
          <w:tcPr>
            <w:tcW w:w="60" w:type="dxa"/>
            <w:vAlign w:val="bottom"/>
            <w:tcBorders>
              <w:bottom w:val="single" w:sz="8" w:color="DEDEDE"/>
            </w:tcBorders>
            <w:shd w:val="clear" w:color="auto" w:fill="DEDEDE"/>
          </w:tcPr>
          <w:p>
            <w:pPr>
              <w:spacing w:after="0"/>
              <w:rPr>
                <w:sz w:val="23"/>
                <w:szCs w:val="23"/>
                <w:color w:val="auto"/>
              </w:rPr>
            </w:pPr>
          </w:p>
        </w:tc>
        <w:tc>
          <w:tcPr>
            <w:tcW w:w="40" w:type="dxa"/>
            <w:vAlign w:val="bottom"/>
            <w:tcBorders>
              <w:bottom w:val="single" w:sz="8" w:color="auto"/>
            </w:tcBorders>
            <w:shd w:val="clear" w:color="auto" w:fill="DEDEDE"/>
          </w:tcPr>
          <w:p>
            <w:pPr>
              <w:spacing w:after="0"/>
              <w:rPr>
                <w:sz w:val="23"/>
                <w:szCs w:val="23"/>
                <w:color w:val="auto"/>
              </w:rPr>
            </w:pPr>
          </w:p>
        </w:tc>
        <w:tc>
          <w:tcPr>
            <w:tcW w:w="320" w:type="dxa"/>
            <w:vAlign w:val="bottom"/>
            <w:tcBorders>
              <w:bottom w:val="single" w:sz="8" w:color="auto"/>
            </w:tcBorders>
            <w:shd w:val="clear" w:color="auto" w:fill="DEDEDE"/>
          </w:tcPr>
          <w:p>
            <w:pPr>
              <w:spacing w:after="0"/>
              <w:rPr>
                <w:sz w:val="23"/>
                <w:szCs w:val="23"/>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3,045,310</w:t>
            </w:r>
          </w:p>
        </w:tc>
      </w:tr>
      <w:tr>
        <w:trPr>
          <w:trHeight w:val="241"/>
        </w:trPr>
        <w:tc>
          <w:tcPr>
            <w:tcW w:w="5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Operating expenses:</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3"/>
        </w:trPr>
        <w:tc>
          <w:tcPr>
            <w:tcW w:w="5480" w:type="dxa"/>
            <w:vAlign w:val="bottom"/>
            <w:shd w:val="clear" w:color="auto" w:fill="DEDEDE"/>
          </w:tcPr>
          <w:p>
            <w:pPr>
              <w:ind w:left="280"/>
              <w:spacing w:after="0" w:line="283" w:lineRule="exact"/>
              <w:rPr>
                <w:sz w:val="20"/>
                <w:szCs w:val="20"/>
                <w:color w:val="auto"/>
              </w:rPr>
            </w:pPr>
            <w:r>
              <w:rPr>
                <w:rFonts w:ascii="Times New Roman" w:cs="Times New Roman" w:eastAsia="Times New Roman" w:hAnsi="Times New Roman"/>
                <w:sz w:val="19"/>
                <w:szCs w:val="19"/>
                <w:color w:val="auto"/>
              </w:rPr>
              <w:t xml:space="preserve">Research and development </w:t>
            </w:r>
            <w:r>
              <w:rPr>
                <w:rFonts w:ascii="Times New Roman" w:cs="Times New Roman" w:eastAsia="Times New Roman" w:hAnsi="Times New Roman"/>
                <w:sz w:val="25"/>
                <w:szCs w:val="25"/>
                <w:color w:val="auto"/>
                <w:vertAlign w:val="superscript"/>
              </w:rPr>
              <w:t>(1)</w:t>
            </w:r>
          </w:p>
        </w:tc>
        <w:tc>
          <w:tcPr>
            <w:tcW w:w="360" w:type="dxa"/>
            <w:vAlign w:val="bottom"/>
            <w:shd w:val="clear" w:color="auto" w:fill="DEDEDE"/>
          </w:tcPr>
          <w:p>
            <w:pPr>
              <w:spacing w:after="0"/>
              <w:rPr>
                <w:sz w:val="24"/>
                <w:szCs w:val="24"/>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803,187</w:t>
            </w: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12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774,059</w:t>
            </w: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362,990</w:t>
            </w:r>
          </w:p>
        </w:tc>
      </w:tr>
      <w:tr>
        <w:trPr>
          <w:trHeight w:val="277"/>
        </w:trPr>
        <w:tc>
          <w:tcPr>
            <w:tcW w:w="5480" w:type="dxa"/>
            <w:vAlign w:val="bottom"/>
          </w:tcPr>
          <w:p>
            <w:pPr>
              <w:ind w:left="280"/>
              <w:spacing w:after="0" w:line="276" w:lineRule="exact"/>
              <w:rPr>
                <w:sz w:val="20"/>
                <w:szCs w:val="20"/>
                <w:color w:val="auto"/>
              </w:rPr>
            </w:pPr>
            <w:r>
              <w:rPr>
                <w:rFonts w:ascii="Times New Roman" w:cs="Times New Roman" w:eastAsia="Times New Roman" w:hAnsi="Times New Roman"/>
                <w:sz w:val="19"/>
                <w:szCs w:val="19"/>
                <w:color w:val="auto"/>
              </w:rPr>
              <w:t xml:space="preserve">Sales and marketing </w:t>
            </w:r>
            <w:r>
              <w:rPr>
                <w:rFonts w:ascii="Times New Roman" w:cs="Times New Roman" w:eastAsia="Times New Roman" w:hAnsi="Times New Roman"/>
                <w:sz w:val="25"/>
                <w:szCs w:val="25"/>
                <w:color w:val="auto"/>
                <w:vertAlign w:val="superscript"/>
              </w:rPr>
              <w:t>(1)</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1,541,307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1,696,590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1,135,959</w:t>
            </w:r>
          </w:p>
        </w:tc>
      </w:tr>
      <w:tr>
        <w:trPr>
          <w:trHeight w:val="267"/>
        </w:trPr>
        <w:tc>
          <w:tcPr>
            <w:tcW w:w="5480" w:type="dxa"/>
            <w:vAlign w:val="bottom"/>
            <w:tcBorders>
              <w:bottom w:val="single" w:sz="8" w:color="DEDEDE"/>
            </w:tcBorders>
            <w:shd w:val="clear" w:color="auto" w:fill="DEDEDE"/>
          </w:tcPr>
          <w:p>
            <w:pPr>
              <w:ind w:left="280"/>
              <w:spacing w:after="0" w:line="266" w:lineRule="exact"/>
              <w:rPr>
                <w:sz w:val="20"/>
                <w:szCs w:val="20"/>
                <w:color w:val="auto"/>
              </w:rPr>
            </w:pPr>
            <w:r>
              <w:rPr>
                <w:rFonts w:ascii="Times New Roman" w:cs="Times New Roman" w:eastAsia="Times New Roman" w:hAnsi="Times New Roman"/>
                <w:sz w:val="19"/>
                <w:szCs w:val="19"/>
                <w:color w:val="auto"/>
              </w:rPr>
              <w:t xml:space="preserve">General and administrative </w:t>
            </w:r>
            <w:r>
              <w:rPr>
                <w:rFonts w:ascii="Times New Roman" w:cs="Times New Roman" w:eastAsia="Times New Roman" w:hAnsi="Times New Roman"/>
                <w:sz w:val="25"/>
                <w:szCs w:val="25"/>
                <w:color w:val="auto"/>
                <w:vertAlign w:val="superscript"/>
              </w:rPr>
              <w:t>(1)</w:t>
            </w:r>
          </w:p>
        </w:tc>
        <w:tc>
          <w:tcPr>
            <w:tcW w:w="360" w:type="dxa"/>
            <w:vAlign w:val="bottom"/>
            <w:tcBorders>
              <w:bottom w:val="single" w:sz="8" w:color="auto"/>
            </w:tcBorders>
            <w:shd w:val="clear" w:color="auto" w:fill="DEDEDE"/>
          </w:tcPr>
          <w:p>
            <w:pPr>
              <w:spacing w:after="0"/>
              <w:rPr>
                <w:sz w:val="23"/>
                <w:szCs w:val="23"/>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579,650</w:t>
            </w:r>
          </w:p>
        </w:tc>
        <w:tc>
          <w:tcPr>
            <w:tcW w:w="60" w:type="dxa"/>
            <w:vAlign w:val="bottom"/>
            <w:tcBorders>
              <w:bottom w:val="single" w:sz="8" w:color="auto"/>
            </w:tcBorders>
            <w:shd w:val="clear" w:color="auto" w:fill="DEDEDE"/>
          </w:tcPr>
          <w:p>
            <w:pPr>
              <w:spacing w:after="0"/>
              <w:rPr>
                <w:sz w:val="23"/>
                <w:szCs w:val="23"/>
                <w:color w:val="auto"/>
              </w:rPr>
            </w:pPr>
          </w:p>
        </w:tc>
        <w:tc>
          <w:tcPr>
            <w:tcW w:w="40" w:type="dxa"/>
            <w:vAlign w:val="bottom"/>
            <w:tcBorders>
              <w:bottom w:val="single" w:sz="8" w:color="DEDEDE"/>
            </w:tcBorders>
            <w:shd w:val="clear" w:color="auto" w:fill="DEDEDE"/>
          </w:tcPr>
          <w:p>
            <w:pPr>
              <w:spacing w:after="0"/>
              <w:rPr>
                <w:sz w:val="23"/>
                <w:szCs w:val="23"/>
                <w:color w:val="auto"/>
              </w:rPr>
            </w:pPr>
          </w:p>
        </w:tc>
        <w:tc>
          <w:tcPr>
            <w:tcW w:w="200" w:type="dxa"/>
            <w:vAlign w:val="bottom"/>
            <w:tcBorders>
              <w:bottom w:val="single" w:sz="8" w:color="auto"/>
            </w:tcBorders>
            <w:shd w:val="clear" w:color="auto" w:fill="DEDEDE"/>
          </w:tcPr>
          <w:p>
            <w:pPr>
              <w:spacing w:after="0"/>
              <w:rPr>
                <w:sz w:val="23"/>
                <w:szCs w:val="23"/>
                <w:color w:val="auto"/>
              </w:rPr>
            </w:pPr>
          </w:p>
        </w:tc>
        <w:tc>
          <w:tcPr>
            <w:tcW w:w="12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576,431</w:t>
            </w:r>
          </w:p>
        </w:tc>
        <w:tc>
          <w:tcPr>
            <w:tcW w:w="60" w:type="dxa"/>
            <w:vAlign w:val="bottom"/>
            <w:tcBorders>
              <w:bottom w:val="single" w:sz="8" w:color="DEDEDE"/>
            </w:tcBorders>
            <w:shd w:val="clear" w:color="auto" w:fill="DEDEDE"/>
          </w:tcPr>
          <w:p>
            <w:pPr>
              <w:spacing w:after="0"/>
              <w:rPr>
                <w:sz w:val="23"/>
                <w:szCs w:val="23"/>
                <w:color w:val="auto"/>
              </w:rPr>
            </w:pPr>
          </w:p>
        </w:tc>
        <w:tc>
          <w:tcPr>
            <w:tcW w:w="40" w:type="dxa"/>
            <w:vAlign w:val="bottom"/>
            <w:tcBorders>
              <w:bottom w:val="single" w:sz="8" w:color="auto"/>
            </w:tcBorders>
            <w:shd w:val="clear" w:color="auto" w:fill="DEDEDE"/>
          </w:tcPr>
          <w:p>
            <w:pPr>
              <w:spacing w:after="0"/>
              <w:rPr>
                <w:sz w:val="23"/>
                <w:szCs w:val="23"/>
                <w:color w:val="auto"/>
              </w:rPr>
            </w:pPr>
          </w:p>
        </w:tc>
        <w:tc>
          <w:tcPr>
            <w:tcW w:w="320" w:type="dxa"/>
            <w:vAlign w:val="bottom"/>
            <w:tcBorders>
              <w:bottom w:val="single" w:sz="8" w:color="auto"/>
            </w:tcBorders>
            <w:shd w:val="clear" w:color="auto" w:fill="DEDEDE"/>
          </w:tcPr>
          <w:p>
            <w:pPr>
              <w:spacing w:after="0"/>
              <w:rPr>
                <w:sz w:val="23"/>
                <w:szCs w:val="23"/>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482,770</w:t>
            </w:r>
          </w:p>
        </w:tc>
      </w:tr>
      <w:tr>
        <w:trPr>
          <w:trHeight w:val="271"/>
        </w:trPr>
        <w:tc>
          <w:tcPr>
            <w:tcW w:w="5480" w:type="dxa"/>
            <w:vAlign w:val="bottom"/>
            <w:tcBorders>
              <w:bottom w:val="single" w:sz="8" w:color="DEDEDE"/>
            </w:tcBorders>
          </w:tcPr>
          <w:p>
            <w:pPr>
              <w:ind w:left="540"/>
              <w:spacing w:after="0"/>
              <w:rPr>
                <w:sz w:val="20"/>
                <w:szCs w:val="20"/>
                <w:color w:val="auto"/>
              </w:rPr>
            </w:pPr>
            <w:r>
              <w:rPr>
                <w:rFonts w:ascii="Times New Roman" w:cs="Times New Roman" w:eastAsia="Times New Roman" w:hAnsi="Times New Roman"/>
                <w:sz w:val="19"/>
                <w:szCs w:val="19"/>
                <w:color w:val="auto"/>
              </w:rPr>
              <w:t>Total operating expenses</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2,924,144</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DEDEDE"/>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3,047,080</w:t>
            </w:r>
          </w:p>
        </w:tc>
        <w:tc>
          <w:tcPr>
            <w:tcW w:w="60" w:type="dxa"/>
            <w:vAlign w:val="bottom"/>
            <w:tcBorders>
              <w:bottom w:val="single" w:sz="8" w:color="DEDEDE"/>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1,981,719</w:t>
            </w:r>
          </w:p>
        </w:tc>
      </w:tr>
      <w:tr>
        <w:trPr>
          <w:trHeight w:val="267"/>
        </w:trPr>
        <w:tc>
          <w:tcPr>
            <w:tcW w:w="54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Income from operations</w:t>
            </w:r>
          </w:p>
        </w:tc>
        <w:tc>
          <w:tcPr>
            <w:tcW w:w="360" w:type="dxa"/>
            <w:vAlign w:val="bottom"/>
            <w:shd w:val="clear" w:color="auto" w:fill="DEDEDE"/>
          </w:tcPr>
          <w:p>
            <w:pPr>
              <w:spacing w:after="0"/>
              <w:rPr>
                <w:sz w:val="23"/>
                <w:szCs w:val="23"/>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525,279</w:t>
            </w:r>
          </w:p>
        </w:tc>
        <w:tc>
          <w:tcPr>
            <w:tcW w:w="60" w:type="dxa"/>
            <w:vAlign w:val="bottom"/>
            <w:shd w:val="clear" w:color="auto" w:fill="DEDEDE"/>
          </w:tcPr>
          <w:p>
            <w:pPr>
              <w:spacing w:after="0"/>
              <w:rPr>
                <w:sz w:val="23"/>
                <w:szCs w:val="23"/>
                <w:color w:val="auto"/>
              </w:rPr>
            </w:pPr>
          </w:p>
        </w:tc>
        <w:tc>
          <w:tcPr>
            <w:tcW w:w="40" w:type="dxa"/>
            <w:vAlign w:val="bottom"/>
            <w:shd w:val="clear" w:color="auto" w:fill="DEDEDE"/>
          </w:tcPr>
          <w:p>
            <w:pPr>
              <w:spacing w:after="0"/>
              <w:rPr>
                <w:sz w:val="23"/>
                <w:szCs w:val="23"/>
                <w:color w:val="auto"/>
              </w:rPr>
            </w:pPr>
          </w:p>
        </w:tc>
        <w:tc>
          <w:tcPr>
            <w:tcW w:w="200" w:type="dxa"/>
            <w:vAlign w:val="bottom"/>
            <w:shd w:val="clear" w:color="auto" w:fill="DEDEDE"/>
          </w:tcPr>
          <w:p>
            <w:pPr>
              <w:spacing w:after="0"/>
              <w:rPr>
                <w:sz w:val="23"/>
                <w:szCs w:val="23"/>
                <w:color w:val="auto"/>
              </w:rPr>
            </w:pPr>
          </w:p>
        </w:tc>
        <w:tc>
          <w:tcPr>
            <w:tcW w:w="12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245,429</w:t>
            </w:r>
          </w:p>
        </w:tc>
        <w:tc>
          <w:tcPr>
            <w:tcW w:w="60" w:type="dxa"/>
            <w:vAlign w:val="bottom"/>
            <w:shd w:val="clear" w:color="auto" w:fill="DEDEDE"/>
          </w:tcPr>
          <w:p>
            <w:pPr>
              <w:spacing w:after="0"/>
              <w:rPr>
                <w:sz w:val="23"/>
                <w:szCs w:val="23"/>
                <w:color w:val="auto"/>
              </w:rPr>
            </w:pPr>
          </w:p>
        </w:tc>
        <w:tc>
          <w:tcPr>
            <w:tcW w:w="40" w:type="dxa"/>
            <w:vAlign w:val="bottom"/>
            <w:shd w:val="clear" w:color="auto" w:fill="DEDEDE"/>
          </w:tcPr>
          <w:p>
            <w:pPr>
              <w:spacing w:after="0"/>
              <w:rPr>
                <w:sz w:val="23"/>
                <w:szCs w:val="23"/>
                <w:color w:val="auto"/>
              </w:rPr>
            </w:pPr>
          </w:p>
        </w:tc>
        <w:tc>
          <w:tcPr>
            <w:tcW w:w="320" w:type="dxa"/>
            <w:vAlign w:val="bottom"/>
            <w:shd w:val="clear" w:color="auto" w:fill="DEDEDE"/>
          </w:tcPr>
          <w:p>
            <w:pPr>
              <w:spacing w:after="0"/>
              <w:rPr>
                <w:sz w:val="23"/>
                <w:szCs w:val="23"/>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1,063,591</w:t>
            </w:r>
          </w:p>
        </w:tc>
      </w:tr>
      <w:tr>
        <w:trPr>
          <w:trHeight w:val="270"/>
        </w:trPr>
        <w:tc>
          <w:tcPr>
            <w:tcW w:w="5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Gains (losses) on strategic investments, net</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109,770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(37,571)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43,761</w:t>
            </w:r>
          </w:p>
        </w:tc>
      </w:tr>
      <w:tr>
        <w:trPr>
          <w:trHeight w:val="292"/>
        </w:trPr>
        <w:tc>
          <w:tcPr>
            <w:tcW w:w="548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Other income (expense), net</w:t>
            </w:r>
          </w:p>
        </w:tc>
        <w:tc>
          <w:tcPr>
            <w:tcW w:w="360" w:type="dxa"/>
            <w:vAlign w:val="bottom"/>
            <w:tcBorders>
              <w:bottom w:val="single" w:sz="8" w:color="auto"/>
            </w:tcBorders>
            <w:shd w:val="clear" w:color="auto" w:fill="DEDEDE"/>
          </w:tcPr>
          <w:p>
            <w:pPr>
              <w:spacing w:after="0"/>
              <w:rPr>
                <w:sz w:val="24"/>
                <w:szCs w:val="24"/>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197,263</w:t>
            </w:r>
          </w:p>
        </w:tc>
        <w:tc>
          <w:tcPr>
            <w:tcW w:w="60" w:type="dxa"/>
            <w:vAlign w:val="bottom"/>
            <w:tcBorders>
              <w:bottom w:val="single" w:sz="8" w:color="auto"/>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spacing w:after="0"/>
              <w:rPr>
                <w:sz w:val="24"/>
                <w:szCs w:val="24"/>
                <w:color w:val="auto"/>
              </w:rPr>
            </w:pPr>
          </w:p>
        </w:tc>
        <w:tc>
          <w:tcPr>
            <w:tcW w:w="12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41,418</w:t>
            </w:r>
          </w:p>
        </w:tc>
        <w:tc>
          <w:tcPr>
            <w:tcW w:w="6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auto"/>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(5,720)</w:t>
            </w:r>
          </w:p>
        </w:tc>
      </w:tr>
      <w:tr>
        <w:trPr>
          <w:trHeight w:val="241"/>
        </w:trPr>
        <w:tc>
          <w:tcPr>
            <w:tcW w:w="5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Income before provision for (benefit from) income taxes</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832,312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249,276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1,101,632</w:t>
            </w:r>
          </w:p>
        </w:tc>
      </w:tr>
      <w:tr>
        <w:trPr>
          <w:trHeight w:val="292"/>
        </w:trPr>
        <w:tc>
          <w:tcPr>
            <w:tcW w:w="548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Provision for (benefit from) income taxes</w:t>
            </w:r>
          </w:p>
        </w:tc>
        <w:tc>
          <w:tcPr>
            <w:tcW w:w="360" w:type="dxa"/>
            <w:vAlign w:val="bottom"/>
            <w:tcBorders>
              <w:bottom w:val="single" w:sz="8" w:color="auto"/>
            </w:tcBorders>
            <w:shd w:val="clear" w:color="auto" w:fill="DEDEDE"/>
          </w:tcPr>
          <w:p>
            <w:pPr>
              <w:spacing w:after="0"/>
              <w:rPr>
                <w:sz w:val="24"/>
                <w:szCs w:val="24"/>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194,850</w:t>
            </w:r>
          </w:p>
        </w:tc>
        <w:tc>
          <w:tcPr>
            <w:tcW w:w="60" w:type="dxa"/>
            <w:vAlign w:val="bottom"/>
            <w:tcBorders>
              <w:bottom w:val="single" w:sz="8" w:color="auto"/>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spacing w:after="0"/>
              <w:rPr>
                <w:sz w:val="24"/>
                <w:szCs w:val="24"/>
                <w:color w:val="auto"/>
              </w:rPr>
            </w:pPr>
          </w:p>
        </w:tc>
        <w:tc>
          <w:tcPr>
            <w:tcW w:w="12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145,565</w:t>
            </w:r>
          </w:p>
        </w:tc>
        <w:tc>
          <w:tcPr>
            <w:tcW w:w="6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auto"/>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(274,007)</w:t>
            </w:r>
          </w:p>
        </w:tc>
      </w:tr>
      <w:tr>
        <w:trPr>
          <w:trHeight w:val="219"/>
        </w:trPr>
        <w:tc>
          <w:tcPr>
            <w:tcW w:w="5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Net income</w:t>
            </w: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637,462</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103,711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1,375,639</w:t>
            </w:r>
          </w:p>
        </w:tc>
      </w:tr>
      <w:tr>
        <w:trPr>
          <w:trHeight w:val="20"/>
        </w:trPr>
        <w:tc>
          <w:tcPr>
            <w:tcW w:w="5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-43180</wp:posOffset>
            </wp:positionV>
            <wp:extent cx="2872740" cy="50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extLst>
                    </a:blip>
                    <a:srcRect/>
                    <a:stretch>
                      <a:fillRect/>
                    </a:stretch>
                  </pic:blipFill>
                  <pic:spPr bwMode="auto">
                    <a:xfrm>
                      <a:off x="0" y="0"/>
                      <a:ext cx="2872740" cy="50165"/>
                    </a:xfrm>
                    <a:prstGeom prst="rect">
                      <a:avLst/>
                    </a:prstGeom>
                    <a:noFill/>
                  </pic:spPr>
                </pic:pic>
              </a:graphicData>
            </a:graphic>
          </wp:anchor>
        </w:drawing>
      </w:r>
    </w:p>
    <w:p>
      <w:pPr>
        <w:spacing w:after="0" w:line="215" w:lineRule="exact"/>
        <w:rPr>
          <w:sz w:val="20"/>
          <w:szCs w:val="20"/>
          <w:color w:val="auto"/>
        </w:rPr>
      </w:pPr>
    </w:p>
    <w:p>
      <w:pPr>
        <w:ind w:left="240" w:hanging="188"/>
        <w:spacing w:after="0"/>
        <w:tabs>
          <w:tab w:leader="none" w:pos="24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9"/>
          <w:szCs w:val="19"/>
          <w:color w:val="auto"/>
        </w:rPr>
        <w:t>Includes stock-based compensation expense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4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9"/>
                <w:szCs w:val="19"/>
                <w:color w:val="auto"/>
              </w:rPr>
              <w:t>Cost of revenue</w:t>
            </w:r>
          </w:p>
        </w:tc>
        <w:tc>
          <w:tcPr>
            <w:tcW w:w="360" w:type="dxa"/>
            <w:vAlign w:val="bottom"/>
            <w:shd w:val="clear" w:color="auto" w:fill="E0E0E0"/>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143,798</w:t>
            </w:r>
          </w:p>
        </w:tc>
        <w:tc>
          <w:tcPr>
            <w:tcW w:w="400" w:type="dxa"/>
            <w:vAlign w:val="bottom"/>
            <w:gridSpan w:val="2"/>
            <w:shd w:val="clear" w:color="auto" w:fill="E0E0E0"/>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174,546</w:t>
            </w:r>
          </w:p>
        </w:tc>
        <w:tc>
          <w:tcPr>
            <w:tcW w:w="60" w:type="dxa"/>
            <w:vAlign w:val="bottom"/>
            <w:shd w:val="clear" w:color="auto" w:fill="E0E0E0"/>
          </w:tcPr>
          <w:p>
            <w:pPr>
              <w:spacing w:after="0"/>
              <w:rPr>
                <w:sz w:val="22"/>
                <w:szCs w:val="22"/>
                <w:color w:val="auto"/>
              </w:rPr>
            </w:pPr>
          </w:p>
        </w:tc>
        <w:tc>
          <w:tcPr>
            <w:tcW w:w="40" w:type="dxa"/>
            <w:vAlign w:val="bottom"/>
            <w:shd w:val="clear" w:color="auto" w:fill="E0E0E0"/>
          </w:tcPr>
          <w:p>
            <w:pPr>
              <w:spacing w:after="0"/>
              <w:rPr>
                <w:sz w:val="22"/>
                <w:szCs w:val="22"/>
                <w:color w:val="auto"/>
              </w:rPr>
            </w:pPr>
          </w:p>
        </w:tc>
        <w:tc>
          <w:tcPr>
            <w:tcW w:w="320" w:type="dxa"/>
            <w:vAlign w:val="bottom"/>
            <w:shd w:val="clear" w:color="auto" w:fill="E0E0E0"/>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69,612</w:t>
            </w:r>
          </w:p>
        </w:tc>
      </w:tr>
      <w:tr>
        <w:trPr>
          <w:trHeight w:val="270"/>
        </w:trPr>
        <w:tc>
          <w:tcPr>
            <w:tcW w:w="5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Research and development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336,309</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361,720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113,000</w:t>
            </w:r>
          </w:p>
        </w:tc>
      </w:tr>
      <w:tr>
        <w:trPr>
          <w:trHeight w:val="283"/>
        </w:trPr>
        <w:tc>
          <w:tcPr>
            <w:tcW w:w="54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9"/>
                <w:szCs w:val="19"/>
                <w:color w:val="auto"/>
              </w:rPr>
              <w:t>Sales and marketing</w:t>
            </w:r>
          </w:p>
        </w:tc>
        <w:tc>
          <w:tcPr>
            <w:tcW w:w="360" w:type="dxa"/>
            <w:vAlign w:val="bottom"/>
            <w:shd w:val="clear" w:color="auto" w:fill="E0E0E0"/>
          </w:tcPr>
          <w:p>
            <w:pPr>
              <w:spacing w:after="0"/>
              <w:rPr>
                <w:sz w:val="24"/>
                <w:szCs w:val="24"/>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381,298</w:t>
            </w:r>
          </w:p>
        </w:tc>
        <w:tc>
          <w:tcPr>
            <w:tcW w:w="40" w:type="dxa"/>
            <w:vAlign w:val="bottom"/>
            <w:shd w:val="clear" w:color="auto" w:fill="E0E0E0"/>
          </w:tcPr>
          <w:p>
            <w:pPr>
              <w:spacing w:after="0"/>
              <w:rPr>
                <w:sz w:val="24"/>
                <w:szCs w:val="24"/>
                <w:color w:val="auto"/>
              </w:rPr>
            </w:pPr>
          </w:p>
        </w:tc>
        <w:tc>
          <w:tcPr>
            <w:tcW w:w="360" w:type="dxa"/>
            <w:vAlign w:val="bottom"/>
            <w:shd w:val="clear" w:color="auto" w:fill="E0E0E0"/>
          </w:tcPr>
          <w:p>
            <w:pPr>
              <w:spacing w:after="0"/>
              <w:rPr>
                <w:sz w:val="24"/>
                <w:szCs w:val="24"/>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532,371</w:t>
            </w:r>
          </w:p>
        </w:tc>
        <w:tc>
          <w:tcPr>
            <w:tcW w:w="60" w:type="dxa"/>
            <w:vAlign w:val="bottom"/>
            <w:shd w:val="clear" w:color="auto" w:fill="E0E0E0"/>
          </w:tcPr>
          <w:p>
            <w:pPr>
              <w:spacing w:after="0"/>
              <w:rPr>
                <w:sz w:val="24"/>
                <w:szCs w:val="24"/>
                <w:color w:val="auto"/>
              </w:rPr>
            </w:pPr>
          </w:p>
        </w:tc>
        <w:tc>
          <w:tcPr>
            <w:tcW w:w="4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229,297</w:t>
            </w:r>
          </w:p>
        </w:tc>
      </w:tr>
      <w:tr>
        <w:trPr>
          <w:trHeight w:val="266"/>
        </w:trPr>
        <w:tc>
          <w:tcPr>
            <w:tcW w:w="5480" w:type="dxa"/>
            <w:vAlign w:val="bottom"/>
            <w:tcBorders>
              <w:bottom w:val="single" w:sz="8" w:color="E0E0E0"/>
            </w:tcBorders>
          </w:tcPr>
          <w:p>
            <w:pPr>
              <w:ind w:left="6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195,756</w:t>
            </w:r>
          </w:p>
        </w:tc>
        <w:tc>
          <w:tcPr>
            <w:tcW w:w="40" w:type="dxa"/>
            <w:vAlign w:val="bottom"/>
            <w:tcBorders>
              <w:bottom w:val="single" w:sz="8" w:color="E0E0E0"/>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217,115</w:t>
            </w:r>
          </w:p>
        </w:tc>
        <w:tc>
          <w:tcPr>
            <w:tcW w:w="60" w:type="dxa"/>
            <w:vAlign w:val="bottom"/>
            <w:tcBorders>
              <w:bottom w:val="single" w:sz="8" w:color="E0E0E0"/>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65,378</w:t>
            </w:r>
          </w:p>
        </w:tc>
      </w:tr>
      <w:tr>
        <w:trPr>
          <w:trHeight w:val="276"/>
        </w:trPr>
        <w:tc>
          <w:tcPr>
            <w:tcW w:w="5480" w:type="dxa"/>
            <w:vAlign w:val="bottom"/>
            <w:tcBorders>
              <w:bottom w:val="single" w:sz="8" w:color="E0E0E0"/>
            </w:tcBorders>
            <w:shd w:val="clear" w:color="auto" w:fill="E0E0E0"/>
          </w:tcPr>
          <w:p>
            <w:pPr>
              <w:ind w:left="280"/>
              <w:spacing w:after="0"/>
              <w:rPr>
                <w:sz w:val="20"/>
                <w:szCs w:val="20"/>
                <w:color w:val="auto"/>
              </w:rPr>
            </w:pPr>
            <w:r>
              <w:rPr>
                <w:rFonts w:ascii="Times New Roman" w:cs="Times New Roman" w:eastAsia="Times New Roman" w:hAnsi="Times New Roman"/>
                <w:sz w:val="19"/>
                <w:szCs w:val="19"/>
                <w:color w:val="auto"/>
              </w:rPr>
              <w:t>Total stock-based compensation expense</w:t>
            </w:r>
          </w:p>
        </w:tc>
        <w:tc>
          <w:tcPr>
            <w:tcW w:w="360" w:type="dxa"/>
            <w:vAlign w:val="bottom"/>
            <w:tcBorders>
              <w:bottom w:val="single" w:sz="8" w:color="auto"/>
            </w:tcBorders>
            <w:shd w:val="clear" w:color="auto" w:fill="E0E0E0"/>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1,057,161</w:t>
            </w:r>
          </w:p>
        </w:tc>
        <w:tc>
          <w:tcPr>
            <w:tcW w:w="40" w:type="dxa"/>
            <w:vAlign w:val="bottom"/>
            <w:tcBorders>
              <w:bottom w:val="single" w:sz="8" w:color="E0E0E0"/>
            </w:tcBorders>
            <w:shd w:val="clear" w:color="auto" w:fill="E0E0E0"/>
          </w:tcPr>
          <w:p>
            <w:pPr>
              <w:spacing w:after="0"/>
              <w:rPr>
                <w:sz w:val="24"/>
                <w:szCs w:val="24"/>
                <w:color w:val="auto"/>
              </w:rPr>
            </w:pPr>
          </w:p>
        </w:tc>
        <w:tc>
          <w:tcPr>
            <w:tcW w:w="360" w:type="dxa"/>
            <w:vAlign w:val="bottom"/>
            <w:tcBorders>
              <w:bottom w:val="single" w:sz="8" w:color="auto"/>
            </w:tcBorders>
            <w:shd w:val="clear" w:color="auto" w:fill="E0E0E0"/>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1,285,752</w:t>
            </w:r>
          </w:p>
        </w:tc>
        <w:tc>
          <w:tcPr>
            <w:tcW w:w="60" w:type="dxa"/>
            <w:vAlign w:val="bottom"/>
            <w:tcBorders>
              <w:bottom w:val="single" w:sz="8" w:color="E0E0E0"/>
            </w:tcBorders>
            <w:shd w:val="clear" w:color="auto" w:fill="E0E0E0"/>
          </w:tcPr>
          <w:p>
            <w:pPr>
              <w:spacing w:after="0"/>
              <w:rPr>
                <w:sz w:val="24"/>
                <w:szCs w:val="24"/>
                <w:color w:val="auto"/>
              </w:rPr>
            </w:pPr>
          </w:p>
        </w:tc>
        <w:tc>
          <w:tcPr>
            <w:tcW w:w="40" w:type="dxa"/>
            <w:vAlign w:val="bottom"/>
            <w:tcBorders>
              <w:bottom w:val="single" w:sz="8" w:color="auto"/>
            </w:tcBorders>
            <w:shd w:val="clear" w:color="auto" w:fill="E0E0E0"/>
          </w:tcPr>
          <w:p>
            <w:pPr>
              <w:spacing w:after="0"/>
              <w:rPr>
                <w:sz w:val="24"/>
                <w:szCs w:val="24"/>
                <w:color w:val="auto"/>
              </w:rPr>
            </w:pPr>
          </w:p>
        </w:tc>
        <w:tc>
          <w:tcPr>
            <w:tcW w:w="320" w:type="dxa"/>
            <w:vAlign w:val="bottom"/>
            <w:tcBorders>
              <w:bottom w:val="single" w:sz="8" w:color="auto"/>
            </w:tcBorders>
            <w:shd w:val="clear" w:color="auto" w:fill="E0E0E0"/>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477,287</w:t>
            </w:r>
          </w:p>
        </w:tc>
      </w:tr>
      <w:tr>
        <w:trPr>
          <w:trHeight w:val="422"/>
        </w:trPr>
        <w:tc>
          <w:tcPr>
            <w:tcW w:w="5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ind w:left="1060"/>
              <w:spacing w:after="0"/>
              <w:rPr>
                <w:sz w:val="20"/>
                <w:szCs w:val="20"/>
                <w:color w:val="auto"/>
              </w:rPr>
            </w:pPr>
            <w:r>
              <w:rPr>
                <w:rFonts w:ascii="Times New Roman" w:cs="Times New Roman" w:eastAsia="Times New Roman" w:hAnsi="Times New Roman"/>
                <w:sz w:val="16"/>
                <w:szCs w:val="16"/>
                <w:b w:val="1"/>
                <w:bCs w:val="1"/>
                <w:color w:val="auto"/>
                <w:w w:val="96"/>
              </w:rPr>
              <w:t>Year Ended January 31,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57"/>
        </w:trPr>
        <w:tc>
          <w:tcPr>
            <w:tcW w:w="54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17"/>
        </w:trPr>
        <w:tc>
          <w:tcPr>
            <w:tcW w:w="5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7"/>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(as a percentage of revenue)</w:t>
            </w:r>
          </w:p>
        </w:tc>
        <w:tc>
          <w:tcPr>
            <w:tcW w:w="1100" w:type="dxa"/>
            <w:vAlign w:val="bottom"/>
          </w:tcPr>
          <w:p>
            <w:pPr>
              <w:spacing w:after="0"/>
              <w:rPr>
                <w:sz w:val="24"/>
                <w:szCs w:val="24"/>
                <w:color w:val="auto"/>
              </w:rPr>
            </w:pPr>
          </w:p>
        </w:tc>
      </w:tr>
      <w:tr>
        <w:trPr>
          <w:trHeight w:val="285"/>
        </w:trPr>
        <w:tc>
          <w:tcPr>
            <w:tcW w:w="54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Revenue</w:t>
            </w:r>
          </w:p>
        </w:tc>
        <w:tc>
          <w:tcPr>
            <w:tcW w:w="360" w:type="dxa"/>
            <w:vAlign w:val="bottom"/>
            <w:shd w:val="clear" w:color="auto" w:fill="DEDEDE"/>
          </w:tcPr>
          <w:p>
            <w:pPr>
              <w:spacing w:after="0"/>
              <w:rPr>
                <w:sz w:val="24"/>
                <w:szCs w:val="24"/>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100.0 %</w:t>
            </w:r>
          </w:p>
        </w:tc>
        <w:tc>
          <w:tcPr>
            <w:tcW w:w="4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100.0 %</w:t>
            </w: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100.0 %</w:t>
            </w:r>
          </w:p>
        </w:tc>
      </w:tr>
      <w:tr>
        <w:trPr>
          <w:trHeight w:val="266"/>
        </w:trPr>
        <w:tc>
          <w:tcPr>
            <w:tcW w:w="548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9"/>
                <w:szCs w:val="19"/>
                <w:color w:val="auto"/>
              </w:rPr>
              <w:t>Cost of revenue</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23.8 %</w:t>
            </w:r>
          </w:p>
        </w:tc>
        <w:tc>
          <w:tcPr>
            <w:tcW w:w="40" w:type="dxa"/>
            <w:vAlign w:val="bottom"/>
            <w:tcBorders>
              <w:bottom w:val="single" w:sz="8" w:color="DEDEDE"/>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25.1 %</w:t>
            </w:r>
          </w:p>
        </w:tc>
        <w:tc>
          <w:tcPr>
            <w:tcW w:w="60" w:type="dxa"/>
            <w:vAlign w:val="bottom"/>
            <w:tcBorders>
              <w:bottom w:val="single" w:sz="8" w:color="DEDEDE"/>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25.7 %</w:t>
            </w:r>
          </w:p>
        </w:tc>
      </w:tr>
      <w:tr>
        <w:trPr>
          <w:trHeight w:val="276"/>
        </w:trPr>
        <w:tc>
          <w:tcPr>
            <w:tcW w:w="548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Gross profit</w:t>
            </w:r>
          </w:p>
        </w:tc>
        <w:tc>
          <w:tcPr>
            <w:tcW w:w="360" w:type="dxa"/>
            <w:vAlign w:val="bottom"/>
            <w:tcBorders>
              <w:bottom w:val="single" w:sz="8" w:color="auto"/>
            </w:tcBorders>
            <w:shd w:val="clear" w:color="auto" w:fill="DEDEDE"/>
          </w:tcPr>
          <w:p>
            <w:pPr>
              <w:spacing w:after="0"/>
              <w:rPr>
                <w:sz w:val="23"/>
                <w:szCs w:val="23"/>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76.2 %</w:t>
            </w:r>
          </w:p>
        </w:tc>
        <w:tc>
          <w:tcPr>
            <w:tcW w:w="40" w:type="dxa"/>
            <w:vAlign w:val="bottom"/>
            <w:tcBorders>
              <w:bottom w:val="single" w:sz="8" w:color="DEDEDE"/>
            </w:tcBorders>
            <w:shd w:val="clear" w:color="auto" w:fill="DEDEDE"/>
          </w:tcPr>
          <w:p>
            <w:pPr>
              <w:spacing w:after="0"/>
              <w:rPr>
                <w:sz w:val="23"/>
                <w:szCs w:val="23"/>
                <w:color w:val="auto"/>
              </w:rPr>
            </w:pPr>
          </w:p>
        </w:tc>
        <w:tc>
          <w:tcPr>
            <w:tcW w:w="360" w:type="dxa"/>
            <w:vAlign w:val="bottom"/>
            <w:tcBorders>
              <w:bottom w:val="single" w:sz="8" w:color="auto"/>
            </w:tcBorders>
            <w:shd w:val="clear" w:color="auto" w:fill="DEDEDE"/>
          </w:tcPr>
          <w:p>
            <w:pPr>
              <w:spacing w:after="0"/>
              <w:rPr>
                <w:sz w:val="23"/>
                <w:szCs w:val="23"/>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74.9 %</w:t>
            </w:r>
          </w:p>
        </w:tc>
        <w:tc>
          <w:tcPr>
            <w:tcW w:w="60" w:type="dxa"/>
            <w:vAlign w:val="bottom"/>
            <w:tcBorders>
              <w:bottom w:val="single" w:sz="8" w:color="DEDEDE"/>
            </w:tcBorders>
            <w:shd w:val="clear" w:color="auto" w:fill="DEDEDE"/>
          </w:tcPr>
          <w:p>
            <w:pPr>
              <w:spacing w:after="0"/>
              <w:rPr>
                <w:sz w:val="23"/>
                <w:szCs w:val="23"/>
                <w:color w:val="auto"/>
              </w:rPr>
            </w:pPr>
          </w:p>
        </w:tc>
        <w:tc>
          <w:tcPr>
            <w:tcW w:w="40" w:type="dxa"/>
            <w:vAlign w:val="bottom"/>
            <w:tcBorders>
              <w:bottom w:val="single" w:sz="8" w:color="auto"/>
            </w:tcBorders>
            <w:shd w:val="clear" w:color="auto" w:fill="DEDEDE"/>
          </w:tcPr>
          <w:p>
            <w:pPr>
              <w:spacing w:after="0"/>
              <w:rPr>
                <w:sz w:val="23"/>
                <w:szCs w:val="23"/>
                <w:color w:val="auto"/>
              </w:rPr>
            </w:pPr>
          </w:p>
        </w:tc>
        <w:tc>
          <w:tcPr>
            <w:tcW w:w="320" w:type="dxa"/>
            <w:vAlign w:val="bottom"/>
            <w:tcBorders>
              <w:bottom w:val="single" w:sz="8" w:color="auto"/>
            </w:tcBorders>
            <w:shd w:val="clear" w:color="auto" w:fill="DEDEDE"/>
          </w:tcPr>
          <w:p>
            <w:pPr>
              <w:spacing w:after="0"/>
              <w:rPr>
                <w:sz w:val="23"/>
                <w:szCs w:val="23"/>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74.3 %</w:t>
            </w:r>
          </w:p>
        </w:tc>
      </w:tr>
      <w:tr>
        <w:trPr>
          <w:trHeight w:val="241"/>
        </w:trPr>
        <w:tc>
          <w:tcPr>
            <w:tcW w:w="5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Operating expenses: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3"/>
        </w:trPr>
        <w:tc>
          <w:tcPr>
            <w:tcW w:w="548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9"/>
                <w:szCs w:val="19"/>
                <w:color w:val="auto"/>
              </w:rPr>
              <w:t>Research and development</w:t>
            </w:r>
          </w:p>
        </w:tc>
        <w:tc>
          <w:tcPr>
            <w:tcW w:w="360" w:type="dxa"/>
            <w:vAlign w:val="bottom"/>
            <w:shd w:val="clear" w:color="auto" w:fill="DEDEDE"/>
          </w:tcPr>
          <w:p>
            <w:pPr>
              <w:spacing w:after="0"/>
              <w:rPr>
                <w:sz w:val="24"/>
                <w:szCs w:val="24"/>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17.7 %</w:t>
            </w:r>
          </w:p>
        </w:tc>
        <w:tc>
          <w:tcPr>
            <w:tcW w:w="4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17.6 %</w:t>
            </w: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8.9 %</w:t>
            </w:r>
          </w:p>
        </w:tc>
      </w:tr>
      <w:tr>
        <w:trPr>
          <w:trHeight w:val="270"/>
        </w:trPr>
        <w:tc>
          <w:tcPr>
            <w:tcW w:w="54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Sales and marketing</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34.0 %</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38.6 %</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27.7 %</w:t>
            </w:r>
          </w:p>
        </w:tc>
      </w:tr>
      <w:tr>
        <w:trPr>
          <w:trHeight w:val="292"/>
        </w:trPr>
        <w:tc>
          <w:tcPr>
            <w:tcW w:w="5480" w:type="dxa"/>
            <w:vAlign w:val="bottom"/>
            <w:tcBorders>
              <w:bottom w:val="single" w:sz="8" w:color="DEDEDE"/>
            </w:tcBorders>
            <w:shd w:val="clear" w:color="auto" w:fill="DEDEDE"/>
          </w:tcPr>
          <w:p>
            <w:pPr>
              <w:ind w:left="28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360" w:type="dxa"/>
            <w:vAlign w:val="bottom"/>
            <w:tcBorders>
              <w:bottom w:val="single" w:sz="8" w:color="auto"/>
            </w:tcBorders>
            <w:shd w:val="clear" w:color="auto" w:fill="DEDEDE"/>
          </w:tcPr>
          <w:p>
            <w:pPr>
              <w:spacing w:after="0"/>
              <w:rPr>
                <w:sz w:val="24"/>
                <w:szCs w:val="24"/>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12.9 %</w:t>
            </w:r>
          </w:p>
        </w:tc>
        <w:tc>
          <w:tcPr>
            <w:tcW w:w="4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spacing w:after="0"/>
              <w:rPr>
                <w:sz w:val="24"/>
                <w:szCs w:val="24"/>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13.1 %</w:t>
            </w:r>
          </w:p>
        </w:tc>
        <w:tc>
          <w:tcPr>
            <w:tcW w:w="6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auto"/>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11.8 %</w:t>
            </w:r>
          </w:p>
        </w:tc>
      </w:tr>
      <w:tr>
        <w:trPr>
          <w:trHeight w:val="238"/>
        </w:trPr>
        <w:tc>
          <w:tcPr>
            <w:tcW w:w="5480" w:type="dxa"/>
            <w:vAlign w:val="bottom"/>
            <w:tcBorders>
              <w:bottom w:val="single" w:sz="8" w:color="DEDEDE"/>
            </w:tcBorders>
          </w:tcPr>
          <w:p>
            <w:pPr>
              <w:ind w:left="540"/>
              <w:spacing w:after="0"/>
              <w:rPr>
                <w:sz w:val="20"/>
                <w:szCs w:val="20"/>
                <w:color w:val="auto"/>
              </w:rPr>
            </w:pPr>
            <w:r>
              <w:rPr>
                <w:rFonts w:ascii="Times New Roman" w:cs="Times New Roman" w:eastAsia="Times New Roman" w:hAnsi="Times New Roman"/>
                <w:sz w:val="19"/>
                <w:szCs w:val="19"/>
                <w:color w:val="auto"/>
              </w:rPr>
              <w:t>Total operating expenses</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64.6 %</w:t>
            </w:r>
          </w:p>
        </w:tc>
        <w:tc>
          <w:tcPr>
            <w:tcW w:w="40" w:type="dxa"/>
            <w:vAlign w:val="bottom"/>
            <w:tcBorders>
              <w:bottom w:val="single" w:sz="8" w:color="DEDED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69.3 %</w:t>
            </w:r>
          </w:p>
        </w:tc>
        <w:tc>
          <w:tcPr>
            <w:tcW w:w="60" w:type="dxa"/>
            <w:vAlign w:val="bottom"/>
            <w:tcBorders>
              <w:bottom w:val="single" w:sz="8" w:color="DEDEDE"/>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48.4 %</w:t>
            </w:r>
          </w:p>
        </w:tc>
      </w:tr>
      <w:tr>
        <w:trPr>
          <w:trHeight w:val="267"/>
        </w:trPr>
        <w:tc>
          <w:tcPr>
            <w:tcW w:w="54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Income from operations</w:t>
            </w:r>
          </w:p>
        </w:tc>
        <w:tc>
          <w:tcPr>
            <w:tcW w:w="360" w:type="dxa"/>
            <w:vAlign w:val="bottom"/>
            <w:shd w:val="clear" w:color="auto" w:fill="DEDEDE"/>
          </w:tcPr>
          <w:p>
            <w:pPr>
              <w:spacing w:after="0"/>
              <w:rPr>
                <w:sz w:val="23"/>
                <w:szCs w:val="23"/>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11.6 %</w:t>
            </w:r>
          </w:p>
        </w:tc>
        <w:tc>
          <w:tcPr>
            <w:tcW w:w="40" w:type="dxa"/>
            <w:vAlign w:val="bottom"/>
            <w:shd w:val="clear" w:color="auto" w:fill="DEDEDE"/>
          </w:tcPr>
          <w:p>
            <w:pPr>
              <w:spacing w:after="0"/>
              <w:rPr>
                <w:sz w:val="23"/>
                <w:szCs w:val="23"/>
                <w:color w:val="auto"/>
              </w:rPr>
            </w:pPr>
          </w:p>
        </w:tc>
        <w:tc>
          <w:tcPr>
            <w:tcW w:w="360" w:type="dxa"/>
            <w:vAlign w:val="bottom"/>
            <w:shd w:val="clear" w:color="auto" w:fill="DEDEDE"/>
          </w:tcPr>
          <w:p>
            <w:pPr>
              <w:spacing w:after="0"/>
              <w:rPr>
                <w:sz w:val="23"/>
                <w:szCs w:val="23"/>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5.6 %</w:t>
            </w:r>
          </w:p>
        </w:tc>
        <w:tc>
          <w:tcPr>
            <w:tcW w:w="60" w:type="dxa"/>
            <w:vAlign w:val="bottom"/>
            <w:shd w:val="clear" w:color="auto" w:fill="DEDEDE"/>
          </w:tcPr>
          <w:p>
            <w:pPr>
              <w:spacing w:after="0"/>
              <w:rPr>
                <w:sz w:val="23"/>
                <w:szCs w:val="23"/>
                <w:color w:val="auto"/>
              </w:rPr>
            </w:pPr>
          </w:p>
        </w:tc>
        <w:tc>
          <w:tcPr>
            <w:tcW w:w="40" w:type="dxa"/>
            <w:vAlign w:val="bottom"/>
            <w:shd w:val="clear" w:color="auto" w:fill="DEDEDE"/>
          </w:tcPr>
          <w:p>
            <w:pPr>
              <w:spacing w:after="0"/>
              <w:rPr>
                <w:sz w:val="23"/>
                <w:szCs w:val="23"/>
                <w:color w:val="auto"/>
              </w:rPr>
            </w:pPr>
          </w:p>
        </w:tc>
        <w:tc>
          <w:tcPr>
            <w:tcW w:w="320" w:type="dxa"/>
            <w:vAlign w:val="bottom"/>
            <w:shd w:val="clear" w:color="auto" w:fill="DEDEDE"/>
          </w:tcPr>
          <w:p>
            <w:pPr>
              <w:spacing w:after="0"/>
              <w:rPr>
                <w:sz w:val="23"/>
                <w:szCs w:val="23"/>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25.9 %</w:t>
            </w:r>
          </w:p>
        </w:tc>
      </w:tr>
      <w:tr>
        <w:trPr>
          <w:trHeight w:val="270"/>
        </w:trPr>
        <w:tc>
          <w:tcPr>
            <w:tcW w:w="5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Gains (losses) on strategic investments, net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2.4 %</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1.1 %</w:t>
            </w:r>
          </w:p>
        </w:tc>
      </w:tr>
      <w:tr>
        <w:trPr>
          <w:trHeight w:val="273"/>
        </w:trPr>
        <w:tc>
          <w:tcPr>
            <w:tcW w:w="548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Other income (expense), net</w:t>
            </w:r>
          </w:p>
        </w:tc>
        <w:tc>
          <w:tcPr>
            <w:tcW w:w="360" w:type="dxa"/>
            <w:vAlign w:val="bottom"/>
            <w:tcBorders>
              <w:bottom w:val="single" w:sz="8" w:color="auto"/>
            </w:tcBorders>
            <w:shd w:val="clear" w:color="auto" w:fill="DEDEDE"/>
          </w:tcPr>
          <w:p>
            <w:pPr>
              <w:spacing w:after="0"/>
              <w:rPr>
                <w:sz w:val="23"/>
                <w:szCs w:val="23"/>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4.4 %</w:t>
            </w:r>
          </w:p>
        </w:tc>
        <w:tc>
          <w:tcPr>
            <w:tcW w:w="40" w:type="dxa"/>
            <w:vAlign w:val="bottom"/>
            <w:tcBorders>
              <w:bottom w:val="single" w:sz="8" w:color="DEDEDE"/>
            </w:tcBorders>
            <w:shd w:val="clear" w:color="auto" w:fill="DEDEDE"/>
          </w:tcPr>
          <w:p>
            <w:pPr>
              <w:spacing w:after="0"/>
              <w:rPr>
                <w:sz w:val="23"/>
                <w:szCs w:val="23"/>
                <w:color w:val="auto"/>
              </w:rPr>
            </w:pPr>
          </w:p>
        </w:tc>
        <w:tc>
          <w:tcPr>
            <w:tcW w:w="360" w:type="dxa"/>
            <w:vAlign w:val="bottom"/>
            <w:tcBorders>
              <w:bottom w:val="single" w:sz="8" w:color="auto"/>
            </w:tcBorders>
            <w:shd w:val="clear" w:color="auto" w:fill="DEDEDE"/>
          </w:tcPr>
          <w:p>
            <w:pPr>
              <w:spacing w:after="0"/>
              <w:rPr>
                <w:sz w:val="23"/>
                <w:szCs w:val="23"/>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1.0 %</w:t>
            </w:r>
          </w:p>
        </w:tc>
        <w:tc>
          <w:tcPr>
            <w:tcW w:w="60" w:type="dxa"/>
            <w:vAlign w:val="bottom"/>
            <w:tcBorders>
              <w:bottom w:val="single" w:sz="8" w:color="DEDEDE"/>
            </w:tcBorders>
            <w:shd w:val="clear" w:color="auto" w:fill="DEDEDE"/>
          </w:tcPr>
          <w:p>
            <w:pPr>
              <w:spacing w:after="0"/>
              <w:rPr>
                <w:sz w:val="23"/>
                <w:szCs w:val="23"/>
                <w:color w:val="auto"/>
              </w:rPr>
            </w:pPr>
          </w:p>
        </w:tc>
        <w:tc>
          <w:tcPr>
            <w:tcW w:w="40" w:type="dxa"/>
            <w:vAlign w:val="bottom"/>
            <w:tcBorders>
              <w:bottom w:val="single" w:sz="8" w:color="auto"/>
            </w:tcBorders>
            <w:shd w:val="clear" w:color="auto" w:fill="DEDEDE"/>
          </w:tcPr>
          <w:p>
            <w:pPr>
              <w:spacing w:after="0"/>
              <w:rPr>
                <w:sz w:val="23"/>
                <w:szCs w:val="23"/>
                <w:color w:val="auto"/>
              </w:rPr>
            </w:pPr>
          </w:p>
        </w:tc>
        <w:tc>
          <w:tcPr>
            <w:tcW w:w="320" w:type="dxa"/>
            <w:vAlign w:val="bottom"/>
            <w:tcBorders>
              <w:bottom w:val="single" w:sz="8" w:color="auto"/>
            </w:tcBorders>
            <w:shd w:val="clear" w:color="auto" w:fill="DEDEDE"/>
          </w:tcPr>
          <w:p>
            <w:pPr>
              <w:spacing w:after="0"/>
              <w:rPr>
                <w:sz w:val="23"/>
                <w:szCs w:val="23"/>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(0.1)%</w:t>
            </w:r>
          </w:p>
        </w:tc>
      </w:tr>
      <w:tr>
        <w:trPr>
          <w:trHeight w:val="275"/>
        </w:trPr>
        <w:tc>
          <w:tcPr>
            <w:tcW w:w="5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Income before provision for (benefit from) income taxes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18.4 %</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5.7 %</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26.9 %</w:t>
            </w:r>
          </w:p>
        </w:tc>
      </w:tr>
      <w:tr>
        <w:trPr>
          <w:trHeight w:val="292"/>
        </w:trPr>
        <w:tc>
          <w:tcPr>
            <w:tcW w:w="548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Provision for (benefit from) income taxes</w:t>
            </w:r>
          </w:p>
        </w:tc>
        <w:tc>
          <w:tcPr>
            <w:tcW w:w="360" w:type="dxa"/>
            <w:vAlign w:val="bottom"/>
            <w:tcBorders>
              <w:bottom w:val="single" w:sz="8" w:color="auto"/>
            </w:tcBorders>
            <w:shd w:val="clear" w:color="auto" w:fill="DEDEDE"/>
          </w:tcPr>
          <w:p>
            <w:pPr>
              <w:spacing w:after="0"/>
              <w:rPr>
                <w:sz w:val="24"/>
                <w:szCs w:val="24"/>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4.3 %</w:t>
            </w:r>
          </w:p>
        </w:tc>
        <w:tc>
          <w:tcPr>
            <w:tcW w:w="4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spacing w:after="0"/>
              <w:rPr>
                <w:sz w:val="24"/>
                <w:szCs w:val="24"/>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3.3 %</w:t>
            </w:r>
          </w:p>
        </w:tc>
        <w:tc>
          <w:tcPr>
            <w:tcW w:w="6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auto"/>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(6.7)%</w:t>
            </w:r>
          </w:p>
        </w:tc>
      </w:tr>
      <w:tr>
        <w:trPr>
          <w:trHeight w:val="219"/>
        </w:trPr>
        <w:tc>
          <w:tcPr>
            <w:tcW w:w="5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Net income</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14.1 %</w:t>
            </w:r>
          </w:p>
        </w:tc>
        <w:tc>
          <w:tcPr>
            <w:tcW w:w="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2.4 %</w:t>
            </w: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33.6 %</w:t>
            </w:r>
          </w:p>
        </w:tc>
      </w:tr>
      <w:tr>
        <w:trPr>
          <w:trHeight w:val="20"/>
        </w:trPr>
        <w:tc>
          <w:tcPr>
            <w:tcW w:w="5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-3192145</wp:posOffset>
            </wp:positionV>
            <wp:extent cx="2872740" cy="50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extLst>
                    </a:blip>
                    <a:srcRect/>
                    <a:stretch>
                      <a:fillRect/>
                    </a:stretch>
                  </pic:blipFill>
                  <pic:spPr bwMode="auto">
                    <a:xfrm>
                      <a:off x="0" y="0"/>
                      <a:ext cx="2872740" cy="5016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-43180</wp:posOffset>
            </wp:positionV>
            <wp:extent cx="2872740" cy="50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extLst>
                    </a:blip>
                    <a:srcRect/>
                    <a:stretch>
                      <a:fillRect/>
                    </a:stretch>
                  </pic:blipFill>
                  <pic:spPr bwMode="auto">
                    <a:xfrm>
                      <a:off x="0" y="0"/>
                      <a:ext cx="2872740" cy="50165"/>
                    </a:xfrm>
                    <a:prstGeom prst="rect">
                      <a:avLst/>
                    </a:prstGeom>
                    <a:noFill/>
                  </pic:spPr>
                </pic:pic>
              </a:graphicData>
            </a:graphic>
          </wp:anchor>
        </w:drawing>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1880" w:h="15480" w:orient="portrait"/>
          <w:cols w:equalWidth="0" w:num="1">
            <w:col w:w="9960"/>
          </w:cols>
          <w:pgMar w:left="960" w:top="815" w:right="96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9"/>
          <w:szCs w:val="19"/>
          <w:b w:val="1"/>
          <w:bCs w:val="1"/>
          <w:i w:val="1"/>
          <w:iCs w:val="1"/>
          <w:color w:val="auto"/>
        </w:rPr>
        <w:t>Comparison of Fiscal Years Ended January 31, 2024 and 2023</w:t>
      </w: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Revenue</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 January 31,</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57"/>
        </w:trPr>
        <w:tc>
          <w:tcPr>
            <w:tcW w:w="4700" w:type="dxa"/>
            <w:vAlign w:val="bottom"/>
          </w:tcPr>
          <w:p>
            <w:pPr>
              <w:spacing w:after="0"/>
              <w:rPr>
                <w:sz w:val="22"/>
                <w:szCs w:val="22"/>
                <w:color w:val="auto"/>
              </w:rPr>
            </w:pPr>
          </w:p>
        </w:tc>
        <w:tc>
          <w:tcPr>
            <w:tcW w:w="12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17"/>
        </w:trPr>
        <w:tc>
          <w:tcPr>
            <w:tcW w:w="4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5"/>
        </w:trPr>
        <w:tc>
          <w:tcPr>
            <w:tcW w:w="4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9"/>
                <w:szCs w:val="19"/>
                <w:color w:val="auto"/>
              </w:rPr>
              <w:t>Revenue</w:t>
            </w: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   4,527,224</w:t>
            </w:r>
          </w:p>
        </w:tc>
        <w:tc>
          <w:tcPr>
            <w:tcW w:w="2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4,392,960</w:t>
            </w:r>
          </w:p>
        </w:tc>
        <w:tc>
          <w:tcPr>
            <w:tcW w:w="32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134,264</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3.1 %</w:t>
            </w:r>
          </w:p>
        </w:tc>
      </w:tr>
    </w:tbl>
    <w:p>
      <w:pPr>
        <w:spacing w:after="0" w:line="20" w:lineRule="exact"/>
        <w:rPr>
          <w:sz w:val="20"/>
          <w:szCs w:val="20"/>
          <w:color w:val="auto"/>
        </w:rPr>
      </w:pPr>
    </w:p>
    <w:p>
      <w:pPr>
        <w:spacing w:after="0" w:line="249" w:lineRule="exact"/>
        <w:rPr>
          <w:sz w:val="20"/>
          <w:szCs w:val="20"/>
          <w:color w:val="auto"/>
        </w:rPr>
      </w:pPr>
    </w:p>
    <w:p>
      <w:pPr>
        <w:jc w:val="both"/>
        <w:ind w:right="20" w:firstLine="524"/>
        <w:spacing w:after="0" w:line="268" w:lineRule="auto"/>
        <w:rPr>
          <w:sz w:val="20"/>
          <w:szCs w:val="20"/>
          <w:color w:val="auto"/>
        </w:rPr>
      </w:pPr>
      <w:r>
        <w:rPr>
          <w:rFonts w:ascii="Times New Roman" w:cs="Times New Roman" w:eastAsia="Times New Roman" w:hAnsi="Times New Roman"/>
          <w:sz w:val="19"/>
          <w:szCs w:val="19"/>
          <w:color w:val="auto"/>
        </w:rPr>
        <w:t>Revenue for the fiscal year ended January 31, 2024 increased by $134.3 million, or 3.1%, compared to the fiscal year ended January 31, 2023. The increase in revenue was due to an 8.7% increase in revenue from subscription services provided to Enterprise customers, of which 80.3% and 19.7% were from existing and new customers, respectively. This increase was partially offset by a 3.8% decline in revenue from subscription services provided to Online customers.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Cost of Revenue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Year Ended January 31,</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71"/>
        </w:trPr>
        <w:tc>
          <w:tcPr>
            <w:tcW w:w="4700" w:type="dxa"/>
            <w:vAlign w:val="bottom"/>
          </w:tcPr>
          <w:p>
            <w:pPr>
              <w:spacing w:after="0"/>
              <w:rPr>
                <w:sz w:val="23"/>
                <w:szCs w:val="23"/>
                <w:color w:val="auto"/>
              </w:rPr>
            </w:pPr>
          </w:p>
        </w:tc>
        <w:tc>
          <w:tcPr>
            <w:tcW w:w="12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3"/>
                <w:szCs w:val="23"/>
                <w:color w:val="auto"/>
              </w:rPr>
            </w:pPr>
          </w:p>
        </w:tc>
        <w:tc>
          <w:tcPr>
            <w:tcW w:w="12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23"/>
                <w:szCs w:val="23"/>
                <w:color w:val="auto"/>
              </w:rPr>
            </w:pPr>
          </w:p>
        </w:tc>
        <w:tc>
          <w:tcPr>
            <w:tcW w:w="12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1"/>
        </w:trPr>
        <w:tc>
          <w:tcPr>
            <w:tcW w:w="4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4"/>
          </w:tcPr>
          <w:p>
            <w:pPr>
              <w:jc w:val="right"/>
              <w:ind w:right="6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9"/>
        </w:trPr>
        <w:tc>
          <w:tcPr>
            <w:tcW w:w="4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9"/>
                <w:szCs w:val="19"/>
                <w:color w:val="auto"/>
              </w:rPr>
              <w:t>Cost of revenue</w:t>
            </w:r>
          </w:p>
        </w:tc>
        <w:tc>
          <w:tcPr>
            <w:tcW w:w="1280" w:type="dxa"/>
            <w:vAlign w:val="bottom"/>
            <w:shd w:val="clear" w:color="auto" w:fill="E0E0E0"/>
          </w:tcPr>
          <w:p>
            <w:pPr>
              <w:jc w:val="right"/>
              <w:ind w:right="168"/>
              <w:spacing w:after="0"/>
              <w:rPr>
                <w:sz w:val="20"/>
                <w:szCs w:val="20"/>
                <w:color w:val="auto"/>
              </w:rPr>
            </w:pPr>
            <w:r>
              <w:rPr>
                <w:rFonts w:ascii="Times New Roman" w:cs="Times New Roman" w:eastAsia="Times New Roman" w:hAnsi="Times New Roman"/>
                <w:sz w:val="19"/>
                <w:szCs w:val="19"/>
                <w:color w:val="auto"/>
              </w:rPr>
              <w:t>$ 1,077,801</w:t>
            </w:r>
          </w:p>
        </w:tc>
        <w:tc>
          <w:tcPr>
            <w:tcW w:w="1320" w:type="dxa"/>
            <w:vAlign w:val="bottom"/>
            <w:gridSpan w:val="2"/>
            <w:shd w:val="clear" w:color="auto" w:fill="E0E0E0"/>
          </w:tcPr>
          <w:p>
            <w:pPr>
              <w:jc w:val="right"/>
              <w:ind w:right="162"/>
              <w:spacing w:after="0"/>
              <w:rPr>
                <w:sz w:val="20"/>
                <w:szCs w:val="20"/>
                <w:color w:val="auto"/>
              </w:rPr>
            </w:pPr>
            <w:r>
              <w:rPr>
                <w:rFonts w:ascii="Times New Roman" w:cs="Times New Roman" w:eastAsia="Times New Roman" w:hAnsi="Times New Roman"/>
                <w:sz w:val="19"/>
                <w:szCs w:val="19"/>
                <w:color w:val="auto"/>
              </w:rPr>
              <w:t>$ 1,100,451</w:t>
            </w:r>
          </w:p>
        </w:tc>
        <w:tc>
          <w:tcPr>
            <w:tcW w:w="30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(22,650)</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(2.1)%</w:t>
            </w:r>
          </w:p>
        </w:tc>
      </w:tr>
      <w:tr>
        <w:trPr>
          <w:trHeight w:val="285"/>
        </w:trPr>
        <w:tc>
          <w:tcPr>
            <w:tcW w:w="47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Gross profit</w:t>
            </w:r>
          </w:p>
        </w:tc>
        <w:tc>
          <w:tcPr>
            <w:tcW w:w="1280" w:type="dxa"/>
            <w:vAlign w:val="bottom"/>
          </w:tcPr>
          <w:p>
            <w:pPr>
              <w:jc w:val="right"/>
              <w:ind w:right="168"/>
              <w:spacing w:after="0"/>
              <w:rPr>
                <w:sz w:val="20"/>
                <w:szCs w:val="20"/>
                <w:color w:val="auto"/>
              </w:rPr>
            </w:pPr>
            <w:r>
              <w:rPr>
                <w:rFonts w:ascii="Times New Roman" w:cs="Times New Roman" w:eastAsia="Times New Roman" w:hAnsi="Times New Roman"/>
                <w:sz w:val="19"/>
                <w:szCs w:val="19"/>
                <w:color w:val="auto"/>
              </w:rPr>
              <w:t>3,449,423</w:t>
            </w:r>
          </w:p>
        </w:tc>
        <w:tc>
          <w:tcPr>
            <w:tcW w:w="1320" w:type="dxa"/>
            <w:vAlign w:val="bottom"/>
            <w:gridSpan w:val="2"/>
          </w:tcPr>
          <w:p>
            <w:pPr>
              <w:jc w:val="right"/>
              <w:ind w:right="162"/>
              <w:spacing w:after="0"/>
              <w:rPr>
                <w:sz w:val="20"/>
                <w:szCs w:val="20"/>
                <w:color w:val="auto"/>
              </w:rPr>
            </w:pPr>
            <w:r>
              <w:rPr>
                <w:rFonts w:ascii="Times New Roman" w:cs="Times New Roman" w:eastAsia="Times New Roman" w:hAnsi="Times New Roman"/>
                <w:sz w:val="19"/>
                <w:szCs w:val="19"/>
                <w:color w:val="auto"/>
              </w:rPr>
              <w:t>3,292,509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156,914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4.8 %</w:t>
            </w:r>
          </w:p>
        </w:tc>
      </w:tr>
      <w:tr>
        <w:trPr>
          <w:trHeight w:val="298"/>
        </w:trPr>
        <w:tc>
          <w:tcPr>
            <w:tcW w:w="4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9"/>
                <w:szCs w:val="19"/>
                <w:color w:val="auto"/>
              </w:rPr>
              <w:t>Gross margin</w:t>
            </w: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76.2 %</w:t>
            </w:r>
          </w:p>
        </w:tc>
        <w:tc>
          <w:tcPr>
            <w:tcW w:w="1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74.9 %</w:t>
            </w:r>
          </w:p>
        </w:tc>
        <w:tc>
          <w:tcPr>
            <w:tcW w:w="8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260" w:type="dxa"/>
            <w:vAlign w:val="bottom"/>
            <w:shd w:val="clear" w:color="auto" w:fill="E0E0E0"/>
          </w:tcPr>
          <w:p>
            <w:pPr>
              <w:spacing w:after="0"/>
              <w:rPr>
                <w:sz w:val="24"/>
                <w:szCs w:val="24"/>
                <w:color w:val="auto"/>
              </w:rPr>
            </w:pPr>
          </w:p>
        </w:tc>
      </w:tr>
    </w:tbl>
    <w:p>
      <w:pPr>
        <w:spacing w:after="0" w:line="20" w:lineRule="exact"/>
        <w:rPr>
          <w:sz w:val="20"/>
          <w:szCs w:val="20"/>
          <w:color w:val="auto"/>
        </w:rPr>
      </w:pPr>
    </w:p>
    <w:p>
      <w:pPr>
        <w:spacing w:after="0" w:line="133" w:lineRule="exact"/>
        <w:rPr>
          <w:sz w:val="20"/>
          <w:szCs w:val="20"/>
          <w:color w:val="auto"/>
        </w:rPr>
      </w:pPr>
    </w:p>
    <w:p>
      <w:pPr>
        <w:jc w:val="both"/>
        <w:ind w:right="20" w:firstLine="524"/>
        <w:spacing w:after="0" w:line="268" w:lineRule="auto"/>
        <w:rPr>
          <w:sz w:val="20"/>
          <w:szCs w:val="20"/>
          <w:color w:val="auto"/>
        </w:rPr>
      </w:pPr>
      <w:r>
        <w:rPr>
          <w:rFonts w:ascii="Times New Roman" w:cs="Times New Roman" w:eastAsia="Times New Roman" w:hAnsi="Times New Roman"/>
          <w:sz w:val="19"/>
          <w:szCs w:val="19"/>
          <w:color w:val="auto"/>
        </w:rPr>
        <w:t>Cost of revenue for the fiscal year ended January 31, 2024, decreased by $22.7 million, or 2.1%, compared to the fiscal year ended January 31, 2023. The decrease was primarily due to a $22.5 million decrease in personnel-related expenses, which includes a $32.6 million decrease in stock-based compensation expense, driven by a prior year change in our equity program, partially offset by restructuring and related expenses of $7.1 million and a $2.9 million increase in payroll taxes and benefits.</w:t>
      </w:r>
    </w:p>
    <w:p>
      <w:pPr>
        <w:spacing w:after="0" w:line="72" w:lineRule="exact"/>
        <w:rPr>
          <w:sz w:val="20"/>
          <w:szCs w:val="20"/>
          <w:color w:val="auto"/>
        </w:rPr>
      </w:pPr>
    </w:p>
    <w:p>
      <w:pPr>
        <w:jc w:val="both"/>
        <w:ind w:right="20" w:firstLine="524"/>
        <w:spacing w:after="0" w:line="294" w:lineRule="auto"/>
        <w:rPr>
          <w:sz w:val="20"/>
          <w:szCs w:val="20"/>
          <w:color w:val="auto"/>
        </w:rPr>
      </w:pPr>
      <w:r>
        <w:rPr>
          <w:rFonts w:ascii="Times New Roman" w:cs="Times New Roman" w:eastAsia="Times New Roman" w:hAnsi="Times New Roman"/>
          <w:sz w:val="19"/>
          <w:szCs w:val="19"/>
          <w:color w:val="auto"/>
        </w:rPr>
        <w:t>Gross margin increased to 76.2% for the fiscal year ended January 31, 2024 from 74.9% for the fiscal year ended January 31, 2023. The increase in gross margin was mainly due to the decrease in personnel-related expenses.</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Operating Expenses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 January 31,</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57"/>
        </w:trPr>
        <w:tc>
          <w:tcPr>
            <w:tcW w:w="46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17"/>
        </w:trPr>
        <w:tc>
          <w:tcPr>
            <w:tcW w:w="4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5"/>
        </w:trPr>
        <w:tc>
          <w:tcPr>
            <w:tcW w:w="46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9"/>
                <w:szCs w:val="19"/>
                <w:color w:val="auto"/>
              </w:rPr>
              <w:t>Research and development</w:t>
            </w:r>
          </w:p>
        </w:tc>
        <w:tc>
          <w:tcPr>
            <w:tcW w:w="320" w:type="dxa"/>
            <w:vAlign w:val="bottom"/>
            <w:shd w:val="clear" w:color="auto" w:fill="E0E0E0"/>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803,187</w:t>
            </w:r>
          </w:p>
        </w:tc>
        <w:tc>
          <w:tcPr>
            <w:tcW w:w="2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774,059</w:t>
            </w:r>
          </w:p>
        </w:tc>
        <w:tc>
          <w:tcPr>
            <w:tcW w:w="28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29,128</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3.8 %</w:t>
            </w:r>
          </w:p>
        </w:tc>
      </w:tr>
    </w:tbl>
    <w:p>
      <w:pPr>
        <w:spacing w:after="0" w:line="20" w:lineRule="exact"/>
        <w:rPr>
          <w:sz w:val="20"/>
          <w:szCs w:val="20"/>
          <w:color w:val="auto"/>
        </w:rPr>
      </w:pPr>
    </w:p>
    <w:p>
      <w:pPr>
        <w:spacing w:after="0" w:line="249" w:lineRule="exact"/>
        <w:rPr>
          <w:sz w:val="20"/>
          <w:szCs w:val="20"/>
          <w:color w:val="auto"/>
        </w:rPr>
      </w:pPr>
    </w:p>
    <w:p>
      <w:pPr>
        <w:jc w:val="both"/>
        <w:ind w:right="20" w:firstLine="524"/>
        <w:spacing w:after="0" w:line="265" w:lineRule="auto"/>
        <w:rPr>
          <w:sz w:val="20"/>
          <w:szCs w:val="20"/>
          <w:color w:val="auto"/>
        </w:rPr>
      </w:pPr>
      <w:r>
        <w:rPr>
          <w:rFonts w:ascii="Times New Roman" w:cs="Times New Roman" w:eastAsia="Times New Roman" w:hAnsi="Times New Roman"/>
          <w:sz w:val="19"/>
          <w:szCs w:val="19"/>
          <w:color w:val="auto"/>
        </w:rPr>
        <w:t>Research and development expense for the fiscal year ended January 31, 2024, increased by $29.1 million, or 3.8%, compared to the fiscal year ended January 31, 2023. The increase was primarily due to a $15.7 million increase in personnel-related expenses, which includes a $25.8 million increase in payroll taxes and benefits, and $19.6 million in restructuring and related expenses, partially offset by a $29.7 million decrease in stock-based compensation expense, driven by a prior year change in our equity program. The remaining increase was primarily due to a $4.3 million increase in software costs.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Sales and Marketing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Year Ended January 31,</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4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3"/>
        </w:trPr>
        <w:tc>
          <w:tcPr>
            <w:tcW w:w="4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5"/>
        </w:trPr>
        <w:tc>
          <w:tcPr>
            <w:tcW w:w="4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9"/>
                <w:szCs w:val="19"/>
                <w:color w:val="auto"/>
              </w:rPr>
              <w:t>Sales and marketing</w:t>
            </w:r>
          </w:p>
        </w:tc>
        <w:tc>
          <w:tcPr>
            <w:tcW w:w="280" w:type="dxa"/>
            <w:vAlign w:val="bottom"/>
            <w:shd w:val="clear" w:color="auto" w:fill="E0E0E0"/>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1,541,307</w:t>
            </w:r>
          </w:p>
        </w:tc>
        <w:tc>
          <w:tcPr>
            <w:tcW w:w="2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1,696,590</w:t>
            </w:r>
          </w:p>
        </w:tc>
        <w:tc>
          <w:tcPr>
            <w:tcW w:w="3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(155,283)</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(9.2)%</w:t>
            </w:r>
          </w:p>
        </w:tc>
      </w:tr>
    </w:tbl>
    <w:p>
      <w:pPr>
        <w:spacing w:after="0" w:line="20" w:lineRule="exact"/>
        <w:rPr>
          <w:sz w:val="20"/>
          <w:szCs w:val="20"/>
          <w:color w:val="auto"/>
        </w:rPr>
      </w:pPr>
    </w:p>
    <w:p>
      <w:pPr>
        <w:spacing w:after="0" w:line="249" w:lineRule="exact"/>
        <w:rPr>
          <w:sz w:val="20"/>
          <w:szCs w:val="20"/>
          <w:color w:val="auto"/>
        </w:rPr>
      </w:pPr>
    </w:p>
    <w:p>
      <w:pPr>
        <w:jc w:val="both"/>
        <w:ind w:right="20" w:firstLine="524"/>
        <w:spacing w:after="0" w:line="268" w:lineRule="auto"/>
        <w:rPr>
          <w:sz w:val="20"/>
          <w:szCs w:val="20"/>
          <w:color w:val="auto"/>
        </w:rPr>
      </w:pPr>
      <w:r>
        <w:rPr>
          <w:rFonts w:ascii="Times New Roman" w:cs="Times New Roman" w:eastAsia="Times New Roman" w:hAnsi="Times New Roman"/>
          <w:sz w:val="19"/>
          <w:szCs w:val="19"/>
          <w:color w:val="auto"/>
        </w:rPr>
        <w:t>Sales and marketing expense for the fiscal year ended January 31, 2024, decreased by $155.3 million, or 9.2%, compared to the fiscal year ended January 31, 2023. The decrease in sales and marketing expense was primarily due to a $167.5 million decrease personnel-related expenses, which includes a $159.3 million decrease in stock-based compensation expense, driven by a prior year change in our equity program, and a $41.0 million decrease in payroll taxes and benefits, partially offset by</w:t>
      </w:r>
    </w:p>
    <w:p>
      <w:pPr>
        <w:sectPr>
          <w:pgSz w:w="11880" w:h="15480" w:orient="portrait"/>
          <w:cols w:equalWidth="0" w:num="1">
            <w:col w:w="9980"/>
          </w:cols>
          <w:pgMar w:left="960" w:top="813" w:right="94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57</w:t>
      </w:r>
    </w:p>
    <w:p>
      <w:pPr>
        <w:sectPr>
          <w:pgSz w:w="11880" w:h="15480" w:orient="portrait"/>
          <w:cols w:equalWidth="0" w:num="1">
            <w:col w:w="9980"/>
          </w:cols>
          <w:pgMar w:left="960" w:top="813" w:right="940" w:bottom="0" w:gutter="0" w:footer="0" w:header="0"/>
          <w:type w:val="continuous"/>
        </w:sectPr>
      </w:pPr>
    </w:p>
    <w:bookmarkStart w:id="61" w:name="page62"/>
    <w:bookmarkEnd w:id="61"/>
    <w:p>
      <w:pPr>
        <w:jc w:val="both"/>
        <w:spacing w:after="0" w:line="294" w:lineRule="auto"/>
        <w:rPr>
          <w:sz w:val="20"/>
          <w:szCs w:val="20"/>
          <w:color w:val="auto"/>
        </w:rPr>
      </w:pPr>
      <w:r>
        <w:rPr>
          <w:rFonts w:ascii="Times New Roman" w:cs="Times New Roman" w:eastAsia="Times New Roman" w:hAnsi="Times New Roman"/>
          <w:sz w:val="19"/>
          <w:szCs w:val="19"/>
          <w:color w:val="auto"/>
        </w:rPr>
        <w:t>restructuring and related expenses of $32.9 million. The decrease in personnel-related expenses was partially offset by a $23.4 million increase in channel partner referral fees.</w:t>
      </w:r>
    </w:p>
    <w:p>
      <w:pPr>
        <w:spacing w:after="0" w:line="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General and Administrative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w w:val="98"/>
              </w:rPr>
              <w:t>Year Ended January 31,</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4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3"/>
        </w:trPr>
        <w:tc>
          <w:tcPr>
            <w:tcW w:w="4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thousands, except percentages)</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5"/>
        </w:trPr>
        <w:tc>
          <w:tcPr>
            <w:tcW w:w="47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320" w:type="dxa"/>
            <w:vAlign w:val="bottom"/>
            <w:shd w:val="clear" w:color="auto" w:fill="E0E0E0"/>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579,650</w:t>
            </w:r>
          </w:p>
        </w:tc>
        <w:tc>
          <w:tcPr>
            <w:tcW w:w="380" w:type="dxa"/>
            <w:vAlign w:val="bottom"/>
            <w:gridSpan w:val="2"/>
            <w:shd w:val="clear" w:color="auto" w:fill="E0E0E0"/>
          </w:tcPr>
          <w:p>
            <w:pPr>
              <w:jc w:val="right"/>
              <w:ind w:right="82"/>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576,431</w:t>
            </w:r>
          </w:p>
        </w:tc>
        <w:tc>
          <w:tcPr>
            <w:tcW w:w="3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3,219</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0.6 %</w:t>
            </w:r>
          </w:p>
        </w:tc>
      </w:tr>
    </w:tbl>
    <w:p>
      <w:pPr>
        <w:spacing w:after="0" w:line="269"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General and administrative expense for the fiscal year ended January 31, 2024, increased by $3.2 million, or 0.6%, compared to the fiscal year ended January 31, 2023. The increase in general and administrative expense was primarily due to $34.8 million increase in legal expense, including litigation settlements, and restructuring and related expenses of $13.3 million; partially offset by $24.3 million decrease in stock-based compensation expense, driven by a prior year change in our equity program and $14.4 million decrease in administrative overhead.</w:t>
      </w:r>
    </w:p>
    <w:p>
      <w:pPr>
        <w:spacing w:after="0" w:line="200" w:lineRule="exact"/>
        <w:rPr>
          <w:sz w:val="20"/>
          <w:szCs w:val="20"/>
          <w:color w:val="auto"/>
        </w:rPr>
      </w:pP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Gains (Losses) on Strategic Investments, Net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Year Ended January 31,</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4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3"/>
        </w:trPr>
        <w:tc>
          <w:tcPr>
            <w:tcW w:w="4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5"/>
        </w:trPr>
        <w:tc>
          <w:tcPr>
            <w:tcW w:w="46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9"/>
                <w:szCs w:val="19"/>
                <w:color w:val="auto"/>
              </w:rPr>
              <w:t>Gains (losses) on strategic investments, net</w:t>
            </w:r>
          </w:p>
        </w:tc>
        <w:tc>
          <w:tcPr>
            <w:tcW w:w="300" w:type="dxa"/>
            <w:vAlign w:val="bottom"/>
            <w:shd w:val="clear" w:color="auto" w:fill="E0E0E0"/>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109,770</w:t>
            </w:r>
          </w:p>
        </w:tc>
        <w:tc>
          <w:tcPr>
            <w:tcW w:w="24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(37,571)</w:t>
            </w:r>
          </w:p>
        </w:tc>
        <w:tc>
          <w:tcPr>
            <w:tcW w:w="3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147,341</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392.2 %</w:t>
            </w:r>
          </w:p>
        </w:tc>
      </w:tr>
    </w:tbl>
    <w:p>
      <w:pPr>
        <w:spacing w:after="0" w:line="20" w:lineRule="exact"/>
        <w:rPr>
          <w:sz w:val="20"/>
          <w:szCs w:val="20"/>
          <w:color w:val="auto"/>
        </w:rPr>
      </w:pPr>
    </w:p>
    <w:p>
      <w:pPr>
        <w:spacing w:after="0" w:line="24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Gains on strategic investments, net, of $109.8 million for the fiscal year ended January 31, 2024, was driven by realized and unrealized gains on our publicly and privately held securities, while losses on strategic investments, net, of $37.6 million for the fiscal year ended January 31, 2023, were primarily driven by unrealized losses recognized on our publicly traded equity securities.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Other Income, Net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Year Ended January 31,</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4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3"/>
        </w:trPr>
        <w:tc>
          <w:tcPr>
            <w:tcW w:w="4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5"/>
        </w:trPr>
        <w:tc>
          <w:tcPr>
            <w:tcW w:w="46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9"/>
                <w:szCs w:val="19"/>
                <w:color w:val="auto"/>
              </w:rPr>
              <w:t>Other income, net</w:t>
            </w:r>
          </w:p>
        </w:tc>
        <w:tc>
          <w:tcPr>
            <w:tcW w:w="300" w:type="dxa"/>
            <w:vAlign w:val="bottom"/>
            <w:shd w:val="clear" w:color="auto" w:fill="E0E0E0"/>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197,263</w:t>
            </w:r>
          </w:p>
        </w:tc>
        <w:tc>
          <w:tcPr>
            <w:tcW w:w="24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41,418</w:t>
            </w:r>
          </w:p>
        </w:tc>
        <w:tc>
          <w:tcPr>
            <w:tcW w:w="3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155,845</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376.3 %</w:t>
            </w:r>
          </w:p>
        </w:tc>
      </w:tr>
    </w:tbl>
    <w:p>
      <w:pPr>
        <w:spacing w:after="0" w:line="20" w:lineRule="exact"/>
        <w:rPr>
          <w:sz w:val="20"/>
          <w:szCs w:val="20"/>
          <w:color w:val="auto"/>
        </w:rPr>
      </w:pPr>
    </w:p>
    <w:p>
      <w:pPr>
        <w:spacing w:after="0" w:line="249"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Other income, net for the fiscal year ended January 31, 2024 increased by $155.8 million, or 376.3%, compared to the fiscal year ended January 31, 2023. The increase was mainly driven by an increase of $155.9 million in investment yield on our marketable securities.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Provision for Income Taxes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 January 31,</w:t>
            </w: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 w:type="dxa"/>
            <w:vAlign w:val="bottom"/>
          </w:tcPr>
          <w:p>
            <w:pPr>
              <w:spacing w:after="0"/>
              <w:rPr>
                <w:sz w:val="18"/>
                <w:szCs w:val="18"/>
                <w:color w:val="auto"/>
              </w:rPr>
            </w:pPr>
          </w:p>
        </w:tc>
      </w:tr>
      <w:tr>
        <w:trPr>
          <w:trHeight w:val="273"/>
        </w:trPr>
        <w:tc>
          <w:tcPr>
            <w:tcW w:w="4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5"/>
        </w:trPr>
        <w:tc>
          <w:tcPr>
            <w:tcW w:w="46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9"/>
                <w:szCs w:val="19"/>
                <w:color w:val="auto"/>
              </w:rPr>
              <w:t>Provision for income taxes</w:t>
            </w:r>
          </w:p>
        </w:tc>
        <w:tc>
          <w:tcPr>
            <w:tcW w:w="320" w:type="dxa"/>
            <w:vAlign w:val="bottom"/>
            <w:shd w:val="clear" w:color="auto" w:fill="E0E0E0"/>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194,850</w:t>
            </w:r>
          </w:p>
        </w:tc>
        <w:tc>
          <w:tcPr>
            <w:tcW w:w="2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145,565</w:t>
            </w:r>
          </w:p>
        </w:tc>
        <w:tc>
          <w:tcPr>
            <w:tcW w:w="3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49,285</w:t>
            </w:r>
          </w:p>
        </w:tc>
        <w:tc>
          <w:tcPr>
            <w:tcW w:w="1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33.9 %</w:t>
            </w:r>
          </w:p>
        </w:tc>
        <w:tc>
          <w:tcPr>
            <w:tcW w:w="20" w:type="dxa"/>
            <w:vAlign w:val="bottom"/>
            <w:shd w:val="clear" w:color="auto" w:fill="E0E0E0"/>
          </w:tcPr>
          <w:p>
            <w:pPr>
              <w:spacing w:after="0"/>
              <w:rPr>
                <w:sz w:val="24"/>
                <w:szCs w:val="24"/>
                <w:color w:val="auto"/>
              </w:rPr>
            </w:pPr>
          </w:p>
        </w:tc>
      </w:tr>
    </w:tbl>
    <w:p>
      <w:pPr>
        <w:spacing w:after="0" w:line="20" w:lineRule="exact"/>
        <w:rPr>
          <w:sz w:val="20"/>
          <w:szCs w:val="20"/>
          <w:color w:val="auto"/>
        </w:rPr>
      </w:pPr>
    </w:p>
    <w:p>
      <w:pPr>
        <w:spacing w:after="0" w:line="133"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Provision for income taxes for the fiscal year ended January 31, 2024 increased by $49.3 million, or 33.9%, compared to the fiscal year ended January 31, 2023. The change in income taxes was primarily due to changes in income before taxes, tax shortfalls on stock-based compensation, the foreign-derived intangible income deduction, and the valuation allowance recorded against certain federal, state, and foreign deferred tax assets as of January 31, 2024. See Note 11 of the Notes to Consolidated Financial Statements for further information.</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ectPr>
          <w:pgSz w:w="11880" w:h="15480" w:orient="portrait"/>
          <w:cols w:equalWidth="0" w:num="1">
            <w:col w:w="9960"/>
          </w:cols>
          <w:pgMar w:left="960" w:top="821" w:right="960" w:bottom="0" w:gutter="0" w:footer="0" w:header="0"/>
          <w:type w:val="continuous"/>
        </w:sectPr>
      </w:pPr>
    </w:p>
    <w:bookmarkStart w:id="62" w:name="page63"/>
    <w:bookmarkEnd w:id="62"/>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For a discussion of the fiscal year ended January 31, 2023 compared to the fiscal year ended January 31, 2022, please refer to Part II, Item 7, “Management's Discussion and Analysis of Financial Condition and Results of Operations” in our Annual Report on Form 10-K for the fiscal year ended January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38"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As of January 31, 2024, our principal sources of liquidity were cash, cash equivalents, and marketable securities of $7.0 billion, which were held for working capital purposes and for investment in growth opportunities. Our marketable securities generally consist of high-grade commercial paper, corporate bonds, agency bonds, corporate and other debt securities, U.S. government agency securities, and treasury bills.</w:t>
      </w:r>
    </w:p>
    <w:p>
      <w:pPr>
        <w:spacing w:after="0" w:line="72"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We have financed our operations primarily through income from operations and sales of equity securities. Cash from operations could also be affected by various risks and uncertainties, including, but not limited to, the recent macroeconomic shifts, such as high inflation, changes in interest rates and the responses by central banking authorities, potential recessionary environments, and the fluctuations in foreign currency exchange rates, which could impact the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319"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Our material cash requirements from known contractual and other obligations primarily relate to our leases for office space and equipment, as well as non-cancelable purchase obligations. Expected timing of those payments are as follows: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5"/>
                <w:szCs w:val="15"/>
                <w:color w:val="auto"/>
              </w:rPr>
            </w:pPr>
          </w:p>
        </w:tc>
        <w:tc>
          <w:tcPr>
            <w:tcW w:w="980" w:type="dxa"/>
            <w:vAlign w:val="bottom"/>
          </w:tcPr>
          <w:p>
            <w:pPr>
              <w:jc w:val="right"/>
              <w:ind w:right="151"/>
              <w:spacing w:after="0" w:line="180"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center"/>
              <w:ind w:right="173"/>
              <w:spacing w:after="0" w:line="180" w:lineRule="exact"/>
              <w:rPr>
                <w:sz w:val="20"/>
                <w:szCs w:val="20"/>
                <w:color w:val="auto"/>
              </w:rPr>
            </w:pPr>
            <w:r>
              <w:rPr>
                <w:rFonts w:ascii="Times New Roman" w:cs="Times New Roman" w:eastAsia="Times New Roman" w:hAnsi="Times New Roman"/>
                <w:sz w:val="16"/>
                <w:szCs w:val="16"/>
                <w:b w:val="1"/>
                <w:bCs w:val="1"/>
                <w:color w:val="auto"/>
                <w:w w:val="99"/>
              </w:rPr>
              <w:t>1 – 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51"/>
              <w:spacing w:after="0" w:line="180" w:lineRule="exact"/>
              <w:rPr>
                <w:sz w:val="20"/>
                <w:szCs w:val="20"/>
                <w:color w:val="auto"/>
              </w:rPr>
            </w:pPr>
            <w:r>
              <w:rPr>
                <w:rFonts w:ascii="Times New Roman" w:cs="Times New Roman" w:eastAsia="Times New Roman" w:hAnsi="Times New Roman"/>
                <w:sz w:val="16"/>
                <w:szCs w:val="16"/>
                <w:b w:val="1"/>
                <w:bCs w:val="1"/>
                <w:color w:val="auto"/>
              </w:rPr>
              <w:t>3 – 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More Than</w:t>
            </w:r>
          </w:p>
        </w:tc>
        <w:tc>
          <w:tcPr>
            <w:tcW w:w="0" w:type="dxa"/>
            <w:vAlign w:val="bottom"/>
          </w:tcPr>
          <w:p>
            <w:pPr>
              <w:spacing w:after="0"/>
              <w:rPr>
                <w:sz w:val="1"/>
                <w:szCs w:val="1"/>
                <w:color w:val="auto"/>
              </w:rPr>
            </w:pPr>
          </w:p>
        </w:tc>
      </w:tr>
      <w:tr>
        <w:trPr>
          <w:trHeight w:val="208"/>
        </w:trPr>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Years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5 Years</w:t>
            </w:r>
          </w:p>
        </w:tc>
        <w:tc>
          <w:tcPr>
            <w:tcW w:w="0" w:type="dxa"/>
            <w:vAlign w:val="bottom"/>
          </w:tcPr>
          <w:p>
            <w:pPr>
              <w:spacing w:after="0"/>
              <w:rPr>
                <w:sz w:val="1"/>
                <w:szCs w:val="1"/>
                <w:color w:val="auto"/>
              </w:rPr>
            </w:pPr>
          </w:p>
        </w:tc>
      </w:tr>
      <w:tr>
        <w:trPr>
          <w:trHeight w:val="273"/>
        </w:trPr>
        <w:tc>
          <w:tcPr>
            <w:tcW w:w="3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8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3740" w:type="dxa"/>
            <w:vAlign w:val="bottom"/>
            <w:gridSpan w:val="2"/>
            <w:shd w:val="clear" w:color="auto" w:fill="DEDEDE"/>
          </w:tcPr>
          <w:p>
            <w:pPr>
              <w:ind w:left="40"/>
              <w:spacing w:after="0"/>
              <w:rPr>
                <w:sz w:val="20"/>
                <w:szCs w:val="20"/>
                <w:color w:val="auto"/>
              </w:rPr>
            </w:pPr>
            <w:r>
              <w:rPr>
                <w:rFonts w:ascii="Times New Roman" w:cs="Times New Roman" w:eastAsia="Times New Roman" w:hAnsi="Times New Roman"/>
                <w:sz w:val="19"/>
                <w:szCs w:val="19"/>
                <w:color w:val="auto"/>
              </w:rPr>
              <w:t>Operating lease obligations</w:t>
            </w:r>
          </w:p>
        </w:tc>
        <w:tc>
          <w:tcPr>
            <w:tcW w:w="260" w:type="dxa"/>
            <w:vAlign w:val="bottom"/>
            <w:shd w:val="clear" w:color="auto" w:fill="DEDEDE"/>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78,411</w:t>
            </w:r>
          </w:p>
        </w:tc>
        <w:tc>
          <w:tcPr>
            <w:tcW w:w="60" w:type="dxa"/>
            <w:vAlign w:val="bottom"/>
            <w:shd w:val="clear" w:color="auto" w:fill="DEDEDE"/>
          </w:tcPr>
          <w:p>
            <w:pPr>
              <w:spacing w:after="0"/>
              <w:rPr>
                <w:sz w:val="24"/>
                <w:szCs w:val="24"/>
                <w:color w:val="auto"/>
              </w:rPr>
            </w:pPr>
          </w:p>
        </w:tc>
        <w:tc>
          <w:tcPr>
            <w:tcW w:w="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26,922</w:t>
            </w:r>
          </w:p>
        </w:tc>
        <w:tc>
          <w:tcPr>
            <w:tcW w:w="340" w:type="dxa"/>
            <w:vAlign w:val="bottom"/>
            <w:gridSpan w:val="2"/>
            <w:shd w:val="clear" w:color="auto" w:fill="DEDEDE"/>
          </w:tcPr>
          <w:p>
            <w:pPr>
              <w:jc w:val="right"/>
              <w:ind w:right="3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35,405</w:t>
            </w:r>
          </w:p>
        </w:tc>
        <w:tc>
          <w:tcPr>
            <w:tcW w:w="360" w:type="dxa"/>
            <w:vAlign w:val="bottom"/>
            <w:gridSpan w:val="2"/>
            <w:shd w:val="clear" w:color="auto" w:fill="DEDEDE"/>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15,467</w:t>
            </w:r>
          </w:p>
        </w:tc>
        <w:tc>
          <w:tcPr>
            <w:tcW w:w="2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617</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740" w:type="dxa"/>
            <w:vAlign w:val="bottom"/>
            <w:tcBorders>
              <w:bottom w:val="single" w:sz="8" w:color="DEDEDE"/>
            </w:tcBorders>
            <w:gridSpan w:val="2"/>
          </w:tcPr>
          <w:p>
            <w:pPr>
              <w:ind w:left="40"/>
              <w:spacing w:after="0"/>
              <w:rPr>
                <w:sz w:val="20"/>
                <w:szCs w:val="20"/>
                <w:color w:val="auto"/>
              </w:rPr>
            </w:pPr>
            <w:r>
              <w:rPr>
                <w:rFonts w:ascii="Times New Roman" w:cs="Times New Roman" w:eastAsia="Times New Roman" w:hAnsi="Times New Roman"/>
                <w:sz w:val="19"/>
                <w:szCs w:val="19"/>
                <w:color w:val="auto"/>
              </w:rPr>
              <w:t>Non-cancelable purchase obligations</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615,761</w:t>
            </w:r>
          </w:p>
        </w:tc>
        <w:tc>
          <w:tcPr>
            <w:tcW w:w="60" w:type="dxa"/>
            <w:vAlign w:val="bottom"/>
            <w:tcBorders>
              <w:bottom w:val="single" w:sz="8" w:color="DEDEDE"/>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247,361</w:t>
            </w:r>
          </w:p>
        </w:tc>
        <w:tc>
          <w:tcPr>
            <w:tcW w:w="80" w:type="dxa"/>
            <w:vAlign w:val="bottom"/>
            <w:tcBorders>
              <w:bottom w:val="single" w:sz="8" w:color="DEDEDE"/>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356,536</w:t>
            </w:r>
          </w:p>
        </w:tc>
        <w:tc>
          <w:tcPr>
            <w:tcW w:w="80" w:type="dxa"/>
            <w:vAlign w:val="bottom"/>
            <w:tcBorders>
              <w:bottom w:val="single" w:sz="8" w:color="DEDEDE"/>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11,864</w:t>
            </w:r>
          </w:p>
        </w:tc>
        <w:tc>
          <w:tcPr>
            <w:tcW w:w="80" w:type="dxa"/>
            <w:vAlign w:val="bottom"/>
            <w:tcBorders>
              <w:bottom w:val="single" w:sz="8" w:color="DEDEDE"/>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DEDEDE"/>
            </w:tcBorders>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720" w:type="dxa"/>
            <w:vAlign w:val="bottom"/>
            <w:tcBorders>
              <w:bottom w:val="single" w:sz="8" w:color="DEDEDE"/>
            </w:tcBorders>
            <w:shd w:val="clear" w:color="auto" w:fill="DEDEDE"/>
          </w:tcPr>
          <w:p>
            <w:pPr>
              <w:ind w:left="400"/>
              <w:spacing w:after="0"/>
              <w:rPr>
                <w:sz w:val="20"/>
                <w:szCs w:val="20"/>
                <w:color w:val="auto"/>
              </w:rPr>
            </w:pPr>
            <w:r>
              <w:rPr>
                <w:rFonts w:ascii="Times New Roman" w:cs="Times New Roman" w:eastAsia="Times New Roman" w:hAnsi="Times New Roman"/>
                <w:sz w:val="19"/>
                <w:szCs w:val="19"/>
                <w:color w:val="auto"/>
              </w:rPr>
              <w:t>Total contractual obligations</w:t>
            </w:r>
          </w:p>
        </w:tc>
        <w:tc>
          <w:tcPr>
            <w:tcW w:w="20" w:type="dxa"/>
            <w:vAlign w:val="bottom"/>
            <w:tcBorders>
              <w:bottom w:val="single" w:sz="8" w:color="auto"/>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694,172</w:t>
            </w:r>
          </w:p>
        </w:tc>
        <w:tc>
          <w:tcPr>
            <w:tcW w:w="6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274,283</w:t>
            </w:r>
          </w:p>
        </w:tc>
        <w:tc>
          <w:tcPr>
            <w:tcW w:w="8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jc w:val="right"/>
              <w:ind w:right="3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391,941</w:t>
            </w:r>
          </w:p>
        </w:tc>
        <w:tc>
          <w:tcPr>
            <w:tcW w:w="8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auto"/>
            </w:tcBorders>
            <w:shd w:val="clear" w:color="auto" w:fill="DEDEDE"/>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27,331</w:t>
            </w:r>
          </w:p>
        </w:tc>
        <w:tc>
          <w:tcPr>
            <w:tcW w:w="80" w:type="dxa"/>
            <w:vAlign w:val="bottom"/>
            <w:tcBorders>
              <w:bottom w:val="single" w:sz="8" w:color="DEDEDE"/>
            </w:tcBorders>
            <w:shd w:val="clear" w:color="auto" w:fill="DEDEDE"/>
          </w:tcPr>
          <w:p>
            <w:pPr>
              <w:spacing w:after="0"/>
              <w:rPr>
                <w:sz w:val="24"/>
                <w:szCs w:val="24"/>
                <w:color w:val="auto"/>
              </w:rPr>
            </w:pPr>
          </w:p>
        </w:tc>
        <w:tc>
          <w:tcPr>
            <w:tcW w:w="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617</w:t>
            </w:r>
          </w:p>
        </w:tc>
        <w:tc>
          <w:tcPr>
            <w:tcW w:w="20" w:type="dxa"/>
            <w:vAlign w:val="bottom"/>
            <w:tcBorders>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-43180</wp:posOffset>
            </wp:positionV>
            <wp:extent cx="3945255" cy="50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extLst>
                    </a:blip>
                    <a:srcRect/>
                    <a:stretch>
                      <a:fillRect/>
                    </a:stretch>
                  </pic:blipFill>
                  <pic:spPr bwMode="auto">
                    <a:xfrm>
                      <a:off x="0" y="0"/>
                      <a:ext cx="3945255" cy="50165"/>
                    </a:xfrm>
                    <a:prstGeom prst="rect">
                      <a:avLst/>
                    </a:prstGeom>
                    <a:noFill/>
                  </pic:spPr>
                </pic:pic>
              </a:graphicData>
            </a:graphic>
          </wp:anchor>
        </w:drawing>
      </w:r>
    </w:p>
    <w:p>
      <w:pPr>
        <w:spacing w:after="0" w:line="103"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The contractual commitment amounts in the table above are associated with agreements that are enforceable and legally binding. Obligations under contracts that we can cancel without a significant penalty are not included in the table above. Refer to the “Future minimum lease payments” table in Note 7 and “Non-cancelable Purchase Obligations” in Note 9 to our consolidated financial statements included in Part II, Item 8 of this Annual Report on Form 10-K for more details.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Cash Flows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The following table summarizes our cash flows for the periods presented: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center"/>
              <w:ind w:left="991"/>
              <w:spacing w:after="0"/>
              <w:rPr>
                <w:sz w:val="20"/>
                <w:szCs w:val="20"/>
                <w:color w:val="auto"/>
              </w:rPr>
            </w:pPr>
            <w:r>
              <w:rPr>
                <w:rFonts w:ascii="Times New Roman" w:cs="Times New Roman" w:eastAsia="Times New Roman" w:hAnsi="Times New Roman"/>
                <w:sz w:val="16"/>
                <w:szCs w:val="16"/>
                <w:b w:val="1"/>
                <w:bCs w:val="1"/>
                <w:color w:val="auto"/>
                <w:w w:val="96"/>
              </w:rPr>
              <w:t>Year Ended January 31,</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3"/>
        </w:trPr>
        <w:tc>
          <w:tcPr>
            <w:tcW w:w="5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3"/>
        </w:trPr>
        <w:tc>
          <w:tcPr>
            <w:tcW w:w="5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85"/>
        </w:trPr>
        <w:tc>
          <w:tcPr>
            <w:tcW w:w="54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Net cash provided by operating activities</w:t>
            </w:r>
          </w:p>
        </w:tc>
        <w:tc>
          <w:tcPr>
            <w:tcW w:w="340" w:type="dxa"/>
            <w:vAlign w:val="bottom"/>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1,598,836</w:t>
            </w:r>
          </w:p>
        </w:tc>
        <w:tc>
          <w:tcPr>
            <w:tcW w:w="26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1,290,262</w:t>
            </w: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300" w:type="dxa"/>
            <w:vAlign w:val="bottom"/>
            <w:shd w:val="clear" w:color="auto" w:fill="DEDEDE"/>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1,605,266</w:t>
            </w:r>
          </w:p>
        </w:tc>
      </w:tr>
      <w:tr>
        <w:trPr>
          <w:trHeight w:val="271"/>
        </w:trPr>
        <w:tc>
          <w:tcPr>
            <w:tcW w:w="54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Net cash used in investing activities</w:t>
            </w: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(1,183,689)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(318,322)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(2,859,097)</w:t>
            </w:r>
          </w:p>
        </w:tc>
      </w:tr>
      <w:tr>
        <w:trPr>
          <w:trHeight w:val="282"/>
        </w:trPr>
        <w:tc>
          <w:tcPr>
            <w:tcW w:w="54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Net cash provided by (used in) financing activities</w:t>
            </w:r>
          </w:p>
        </w:tc>
        <w:tc>
          <w:tcPr>
            <w:tcW w:w="340" w:type="dxa"/>
            <w:vAlign w:val="bottom"/>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60,186</w:t>
            </w:r>
          </w:p>
        </w:tc>
        <w:tc>
          <w:tcPr>
            <w:tcW w:w="26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(936,942)</w:t>
            </w: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300" w:type="dxa"/>
            <w:vAlign w:val="bottom"/>
            <w:shd w:val="clear" w:color="auto" w:fill="DEDEDE"/>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34,068</w:t>
            </w:r>
          </w:p>
        </w:tc>
      </w:tr>
    </w:tbl>
    <w:p>
      <w:pPr>
        <w:spacing w:after="0" w:line="2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Operating Activities</w:t>
      </w:r>
    </w:p>
    <w:p>
      <w:pPr>
        <w:spacing w:after="0" w:line="139"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Our largest source of operating cash is cash collections from our customers for subscriptions to our platform. Our primary uses of cash from operating activities are for employee-related expenditures, costs related to hosting our platform, and</w:t>
      </w:r>
    </w:p>
    <w:p>
      <w:pPr>
        <w:sectPr>
          <w:pgSz w:w="11880" w:h="15480" w:orient="portrait"/>
          <w:cols w:equalWidth="0" w:num="1">
            <w:col w:w="9960"/>
          </w:cols>
          <w:pgMar w:left="960" w:top="821" w:right="960" w:bottom="0"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1880" w:h="15480" w:orient="portrait"/>
          <w:cols w:equalWidth="0" w:num="1">
            <w:col w:w="9960"/>
          </w:cols>
          <w:pgMar w:left="960" w:top="821" w:right="960" w:bottom="0" w:gutter="0" w:footer="0" w:header="0"/>
          <w:type w:val="continuous"/>
        </w:sectPr>
      </w:pPr>
    </w:p>
    <w:bookmarkStart w:id="63" w:name="page64"/>
    <w:bookmarkEnd w:id="63"/>
    <w:p>
      <w:pPr>
        <w:jc w:val="both"/>
        <w:spacing w:after="0" w:line="275" w:lineRule="auto"/>
        <w:rPr>
          <w:sz w:val="20"/>
          <w:szCs w:val="20"/>
          <w:color w:val="auto"/>
        </w:rPr>
      </w:pPr>
      <w:r>
        <w:rPr>
          <w:rFonts w:ascii="Times New Roman" w:cs="Times New Roman" w:eastAsia="Times New Roman" w:hAnsi="Times New Roman"/>
          <w:sz w:val="19"/>
          <w:szCs w:val="19"/>
          <w:color w:val="auto"/>
        </w:rPr>
        <w:t>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spacing w:after="0" w:line="64"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Net cash provided by operating activities was $1,598.8 million for the fiscal year ended January 31, 2024, compared to $1,290.3 million for the fiscal year ended January 31, 2023. The increase in operating cash flow was mainly driven by higher net income of $533.8 million and the positive impact from changes in operating assets and liabilities of $158.2 million, offset by a decrease in non-cash adjustments of $383.5 million, which is primarily a result of higher gains on strategic investments, net, and lower stock-based compensation expense.</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Investing Activities</w:t>
      </w:r>
    </w:p>
    <w:p>
      <w:pPr>
        <w:spacing w:after="0" w:line="13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Net cash used in investing activities of $1,183.7 million for the fiscal year ended January 31, 2024 was due to net purchases of marketable securities of $951.4 million, cash paid for acquisition, net of cash acquired, of $204.9 million, purchases of property and equipment of $127.0 million, purchases of strategic investments of $70.5 million, partially offset by proceeds from strategic investments of $170.1 million.</w:t>
      </w:r>
    </w:p>
    <w:p>
      <w:pPr>
        <w:spacing w:after="0" w:line="72"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Net cash used in investing activities of $318.3 million for the fiscal year ended January 31, 2023 was primarily due to cash paid for acquisition, net of cash acquired, of $120.6 million, purchases of property and equipment of $103.8 million, purchases of strategic investments of $69.1 million, net purchases of marketable securities of $13.9 million, and purchases of intangible assets of $11.3 million.</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Financing Activities</w:t>
      </w:r>
    </w:p>
    <w:p>
      <w:pPr>
        <w:spacing w:after="0" w:line="13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Net cash provided by financing activities of $60.2 million for the fiscal year ended January 31, 2024 was due to proceeds from issuance of common stock pursuant to our employee stock purchase plan (“ESPP”) of $54.1 million and proceeds from the exercise of stock options of $10.2 million, partially offset by proceeds from employee equity transactions remitted to employees and tax authorities, net, of $4.1 million.</w:t>
      </w:r>
    </w:p>
    <w:p>
      <w:pPr>
        <w:spacing w:after="0" w:line="72"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Net cash used in financing activities of $936.9 million for the fiscal year ended January 31, 2023 was primarily due to cash paid for repurchases of common stock of $1.0 billion, offset by proceeds from issuance of common stock pursuant to our employee stock purchase plan (“ESPP”) of $53.7 million and proceeds from the exercise of stock options of $8.6 million.</w:t>
      </w:r>
    </w:p>
    <w:p>
      <w:pPr>
        <w:spacing w:after="0" w:line="64"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For a discussion of the fiscal year ended January 31, 2022, please refer to Part II, Item 7, “Management's Discussion and Analysis of Financial Condition and Results of Operations” in our Annual Report on Form 10-K for the fiscal year ended January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Stock Repurchase Program</w:t>
      </w:r>
    </w:p>
    <w:p>
      <w:pPr>
        <w:spacing w:after="0" w:line="138"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In February 2024, our Board of Directors authorized a stock repurchase program of up to $1.5 billion of our Class A common stock. Repurchases of our Class A common stock may be effected, from time to time, either on the open market (including pre-set trading plans), in privately negotiated transactions, and other transactions in accordance with applicable securities laws.</w:t>
      </w:r>
    </w:p>
    <w:p>
      <w:pPr>
        <w:spacing w:after="0" w:line="72"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 As of March 1, 2024, there have been no repurchases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Off-Balance Sheet Arrangements</w:t>
      </w:r>
    </w:p>
    <w:p>
      <w:pPr>
        <w:spacing w:after="0" w:line="138"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We do not have any off-balance sheet arrangements as defined in Item 303(a)(4)(ii) of Regulation S-K promulgated by the SEC under the Securities Act.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Estimates</w:t>
      </w:r>
    </w:p>
    <w:p>
      <w:pPr>
        <w:spacing w:after="0" w:line="138"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ectPr>
          <w:pgSz w:w="11880" w:h="15480" w:orient="portrait"/>
          <w:cols w:equalWidth="0" w:num="1">
            <w:col w:w="9960"/>
          </w:cols>
          <w:pgMar w:left="960" w:top="821" w:right="960" w:bottom="0" w:gutter="0" w:footer="0" w:header="0"/>
          <w:type w:val="continuous"/>
        </w:sectPr>
      </w:pPr>
    </w:p>
    <w:bookmarkStart w:id="64" w:name="page65"/>
    <w:bookmarkEnd w:id="64"/>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We believe that of our significant accounting policies, which are described in Note 1 “Summary of Business and Significant Accounting Policies” to our consolidated financial statements, the following critical estimates involve a greater degree of judgment and complexity.</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Revenue Recognition</w:t>
      </w:r>
    </w:p>
    <w:p>
      <w:pPr>
        <w:spacing w:after="0" w:line="139"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We derive our revenue primarily from subscription agreements with customers for access to our unified communications and collaboration platform and services. We also provide other services, which include professional services, consulting services, and online event hosting, which were immaterial to our consolidated financial statements. Revenue is recognized when a customer obtains control of promised services. The amount of revenue recognized reflects the consideration that we expect to receive in exchange for these services over the contract term which can include a free period discount. We apply judgment during the identification of a contract to determine the customer’s ability and intent to pay, which is based on a variety of factors, including the customer’s historical payment experience or, in the case of a new customer, credit and financial information pertaining to the customer. 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w:t>
      </w:r>
    </w:p>
    <w:p>
      <w:pPr>
        <w:spacing w:after="0" w:line="200" w:lineRule="exact"/>
        <w:rPr>
          <w:sz w:val="20"/>
          <w:szCs w:val="20"/>
          <w:color w:val="auto"/>
        </w:rPr>
      </w:pP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Cost to Obtain a Contract</w:t>
      </w:r>
    </w:p>
    <w:p>
      <w:pPr>
        <w:spacing w:after="0" w:line="13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We primarily capitalize sales commissions and associated payroll taxes paid to internal sales personnel that are incremental costs from the acquisition of customer contracts. These costs are recorded as deferred contract acquisition costs in the consolidated balance sheets. We determine whether costs should be deferred based on our sales compensation plans and if the commissions are incremental and would not have occurred absent the customer contract.</w:t>
      </w:r>
    </w:p>
    <w:p>
      <w:pPr>
        <w:spacing w:after="0" w:line="72"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Sales commissions paid upon the initial acquisition of a customer contract are amortized over an estimated period of benefit of three years, which is typically greater than the contractual terms of the customer contracts. Significant judgment is required in arriving at this estimated period of benefit. We determine the period of benefit for commissions paid for the acquisition of the initial customer contract by taking into consideration the initial estimated customer life and the technological life of our unified communications and collaboration platform and related significant features. Sales commission is generally not paid upon contract renewal. Amortization is recognized on a straight-line basis commensurate with the pattern of revenue recognition.</w:t>
      </w: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Business Combinations and Valuation of Goodwill and Intangible Assets</w:t>
      </w:r>
    </w:p>
    <w:p>
      <w:pPr>
        <w:spacing w:after="0" w:line="139"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estimates and assumptions, especially with respect to intangible assets. Our estimates of fair value are based upon assumptions believed to be reasonable, but which are inherently uncertain and unpredictable and, as a result, actual results may differ from estimates.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spacing w:after="0" w:line="85"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Goodwill amounts are not amortized, but rather tested for impairment at least annually, in the fourth quarter of each fiscal year, or more often if circumstances indicate that the carrying value may not be recoverable. As of January 31, 2024, no impairment of goodwill has been identified.</w:t>
      </w:r>
    </w:p>
    <w:p>
      <w:pPr>
        <w:spacing w:after="0" w:line="64"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Intangible assets consist of acquired identifiable intangible assets resulting from business combinations, as well as other intangible assets purchased outside of a business combination. Finite-lived intangible assets are initially recorded at fair value and are amortized on a straight-line basis over their estimated useful lives. We routinely evaluate the estimated remaining useful lives of our finite-lived intangible assets and whether events or changes in circumstances warrant a revision to the remaining period of amortization. Indefinite-lived intangible assets are recorded at fair value and are not amortized. We review the useful lives of indefinite-lived intangible assets each reporting period to determine whether events and circumstances continue to support the indefinite useful life classification. If we determine that the life of an intangible asset is no longer indefinite, that asset would be tested for impairment and amortized prospectively over its estimated remaining useful life. We have not recorded any impairment charges during the fiscal years presented.</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Strategic Investments</w:t>
      </w:r>
    </w:p>
    <w:p>
      <w:pPr>
        <w:sectPr>
          <w:pgSz w:w="11880" w:h="15480" w:orient="portrait"/>
          <w:cols w:equalWidth="0" w:num="1">
            <w:col w:w="9960"/>
          </w:cols>
          <w:pgMar w:left="960" w:top="821" w:right="960" w:bottom="0" w:gutter="0" w:footer="0" w:header="0"/>
        </w:sect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ectPr>
          <w:pgSz w:w="11880" w:h="15480" w:orient="portrait"/>
          <w:cols w:equalWidth="0" w:num="1">
            <w:col w:w="9960"/>
          </w:cols>
          <w:pgMar w:left="960" w:top="821" w:right="960" w:bottom="0" w:gutter="0" w:footer="0" w:header="0"/>
          <w:type w:val="continuous"/>
        </w:sectPr>
      </w:pPr>
    </w:p>
    <w:bookmarkStart w:id="65" w:name="page66"/>
    <w:bookmarkEnd w:id="65"/>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Accounting for strategic investments in privately held debt and equity securities in which we do not have a controlling interest or significant influence requires us to make significant estimates and assumptions.</w:t>
      </w:r>
    </w:p>
    <w:p>
      <w:pPr>
        <w:spacing w:after="0" w:line="47"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Valuations of privately held securities are inherently complex and require judgment due to the lack of readily available market data. Privately held debt and equity securities are valued using significant unobservable inputs or data in an inactive market. The valuation requires our judgment due to the absence of market prices and inherent lack of liquidity. The carrying values of our privately held equity securities are adjusted if there are observable price changes in a same or similar security from the same issuer or if there are identified events or changes in circumstances that may indicate impairment, as discussed below. In determining the estimated fair value of our strategic investments in privately held companies, we utilize the most recent data available, as adjusted to reflect the specific rights and preferences of those securities we hold.</w:t>
      </w:r>
    </w:p>
    <w:p>
      <w:pPr>
        <w:spacing w:after="0" w:line="78"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We assess our privately held debt and equity securities strategic investment portfolio quarterly for indicators for impairment. Our impairment analysis encompasses a qualitative assessment evaluates key factors including but not limited to the investee’s financial metrics, market acceptance of the product or technology, and the rate at which the investee is using its cash. If the investment is considered to be impaired, we record the investment at fair value by recognizing an impairment through the consolidated statement of operations and establishing a new carrying value for the investment.</w:t>
      </w:r>
    </w:p>
    <w:p>
      <w:pPr>
        <w:spacing w:after="0" w:line="75" w:lineRule="exact"/>
        <w:rPr>
          <w:sz w:val="20"/>
          <w:szCs w:val="20"/>
          <w:color w:val="auto"/>
        </w:rPr>
      </w:pPr>
    </w:p>
    <w:p>
      <w:pPr>
        <w:jc w:val="both"/>
        <w:ind w:firstLine="524"/>
        <w:spacing w:after="0" w:line="264" w:lineRule="auto"/>
        <w:rPr>
          <w:sz w:val="20"/>
          <w:szCs w:val="20"/>
          <w:color w:val="auto"/>
        </w:rPr>
      </w:pPr>
      <w:r>
        <w:rPr>
          <w:rFonts w:ascii="Times New Roman" w:cs="Times New Roman" w:eastAsia="Times New Roman" w:hAnsi="Times New Roman"/>
          <w:sz w:val="19"/>
          <w:szCs w:val="19"/>
          <w:color w:val="auto"/>
        </w:rPr>
        <w:t>The privately held debt and equity securities we hold, and their rights and preferences relative to those of other securities within the capital structure, may impact the magnitude by which our investment value moves in relation to movement of the total enterprise value of the company. As a result, our investment value in a specific company may move by more or less than any change in the value of that overall company. An immediate decrease of ten percent in enterprise value of our largest privately held equity securities held as of January 31, 2024 would not have had a material impact on the value of our investment portfolio.</w:t>
      </w:r>
    </w:p>
    <w:p>
      <w:pPr>
        <w:spacing w:after="0" w:line="3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139"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We use the asset and liability method of accounting for income taxes. Under this method, income tax expense is recognized based on the amount of taxes payable or refundable for the current year and deferred tax liabilities and assets for the future tax consequences of events that have been recognized in our consolidated financial statements or tax returns. We make assumptions, judgments and estimates to determine the current income tax provision (benefit), deferred tax asset and liabilities and valuation allowance recorded against a deferred tax asset. The assumptions, judgments and estimates relative to the current income tax provision (benefit) take into account current tax laws, their interpretation and possible results of foreign and domestic tax audits. Changes in tax law, their interpretation and resolution of tax audits could significantly impact the income taxes provided in our consolidated financial statements. Assumptions, judgments and estimates relative to the amount of deferred income taxes take into account future taxable income. Any of the assumptions, judgments and estimates mentioned above could cause the actual income tax obligations to differ from our estimates.</w:t>
      </w:r>
    </w:p>
    <w:p>
      <w:pPr>
        <w:spacing w:after="0" w:line="79"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Critical accounting estimates and the related assumptions are evaluated periodically as conditions warrant, and changes to such estimates are recorded as new information or changed conditions require.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 Accounting Pronouncements</w:t>
      </w:r>
    </w:p>
    <w:p>
      <w:pPr>
        <w:spacing w:after="0" w:line="138"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See “Summary of Business and Significant Accounting Policies” in Note 1 to our consolidated financial statements included in Part II, Item 8 of this Form 10-K.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7A. QUALITATIVE AND QUANTITATIVE DISCLOSURES ABOUT MARKET RISK</w:t>
      </w:r>
    </w:p>
    <w:p>
      <w:pPr>
        <w:spacing w:after="0" w:line="2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Foreign Currency and Exchange Risk</w:t>
      </w:r>
    </w:p>
    <w:p>
      <w:pPr>
        <w:spacing w:after="0" w:line="139"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The majority of our cash generated from revenue is denominated in U.S. dollars, with a portion of our revenue from amounts denominated in foreign currencies. Our expenses are generally denominated in the currencies of the jurisdictions in which we conduct our operations, which are primarily in Australia, China, Europe and the United States. Our results of current and future operations and cash flows are, therefore, subject to fluctuations due to changes in foreign currency exchange rates. For the fiscal year ending January 31, 2024, 2023 and 2022, 19.3% , 20.0% and 22.6% of our revenue, respectively and 13.7%, 10.8% and 16.8% of our expenses, respectively were denominated in currencies other than the U.S. dollar. The effect of a hypothetical 10% change in foreign currency exchange rates applicable to our business would not have had a material impact on our historical consolidated financial statements for the fiscal years ended January 31, 2024, 2023, and 2022. As the impact of</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1880" w:h="15480" w:orient="portrait"/>
          <w:cols w:equalWidth="0" w:num="1">
            <w:col w:w="9960"/>
          </w:cols>
          <w:pgMar w:left="960" w:top="821" w:right="960" w:bottom="0" w:gutter="0" w:footer="0" w:header="0"/>
          <w:type w:val="continuous"/>
        </w:sectPr>
      </w:pPr>
    </w:p>
    <w:bookmarkStart w:id="66" w:name="page67"/>
    <w:bookmarkEnd w:id="66"/>
    <w:p>
      <w:pPr>
        <w:jc w:val="both"/>
        <w:spacing w:after="0" w:line="294" w:lineRule="auto"/>
        <w:rPr>
          <w:sz w:val="20"/>
          <w:szCs w:val="20"/>
          <w:color w:val="auto"/>
        </w:rPr>
      </w:pPr>
      <w:r>
        <w:rPr>
          <w:rFonts w:ascii="Times New Roman" w:cs="Times New Roman" w:eastAsia="Times New Roman" w:hAnsi="Times New Roman"/>
          <w:sz w:val="19"/>
          <w:szCs w:val="19"/>
          <w:color w:val="auto"/>
        </w:rPr>
        <w:t>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Interest Rate Risk</w:t>
      </w:r>
    </w:p>
    <w:p>
      <w:pPr>
        <w:spacing w:after="0" w:line="139"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We had cash and cash equivalents of $1.6 billion and marketable securities of $5.4 billion as of January 31, 2024. Cash and cash equivalents consist of bank deposits, money market funds and high-grade commercial paper, and agency bonds.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 for the fiscal years ended January 31, 2024, 2023, and 2022.</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ectPr>
          <w:pgSz w:w="11880" w:h="15480" w:orient="portrait"/>
          <w:cols w:equalWidth="0" w:num="1">
            <w:col w:w="9960"/>
          </w:cols>
          <w:pgMar w:left="960" w:top="821" w:right="96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9"/>
          <w:szCs w:val="19"/>
          <w:b w:val="1"/>
          <w:bCs w:val="1"/>
          <w:color w:val="auto"/>
        </w:rPr>
        <w:t>Item 8. FINANCIAL STATEMENTS AND SUPPLEMENTARY DATA</w:t>
      </w:r>
    </w:p>
    <w:p>
      <w:pPr>
        <w:spacing w:after="0" w:line="24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b w:val="1"/>
          <w:bCs w:val="1"/>
          <w:color w:val="auto"/>
        </w:rPr>
        <w:t>ZOOM VIDEO COMMUNICATIONS, INC.</w:t>
      </w:r>
    </w:p>
    <w:p>
      <w:pPr>
        <w:spacing w:after="0" w:line="24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9"/>
          <w:szCs w:val="19"/>
          <w:b w:val="1"/>
          <w:bCs w:val="1"/>
          <w:color w:val="auto"/>
        </w:rPr>
        <w:t>INDEX TO CONSOLIDATED FINANCIAL STATEMENTS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980" w:type="dxa"/>
            <w:vAlign w:val="bottom"/>
            <w:tcBorders>
              <w:bottom w:val="single" w:sz="8" w:color="DEDEDE"/>
            </w:tcBorders>
          </w:tcPr>
          <w:p>
            <w:pPr>
              <w:spacing w:after="0"/>
              <w:rPr>
                <w:sz w:val="22"/>
                <w:szCs w:val="22"/>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Page</w:t>
            </w:r>
          </w:p>
        </w:tc>
        <w:tc>
          <w:tcPr>
            <w:tcW w:w="20" w:type="dxa"/>
            <w:vAlign w:val="bottom"/>
            <w:tcBorders>
              <w:bottom w:val="single" w:sz="8" w:color="auto"/>
            </w:tcBorders>
          </w:tcPr>
          <w:p>
            <w:pPr>
              <w:spacing w:after="0"/>
              <w:rPr>
                <w:sz w:val="22"/>
                <w:szCs w:val="22"/>
                <w:color w:val="auto"/>
              </w:rPr>
            </w:pPr>
          </w:p>
        </w:tc>
      </w:tr>
      <w:tr>
        <w:trPr>
          <w:trHeight w:val="296"/>
        </w:trPr>
        <w:tc>
          <w:tcPr>
            <w:tcW w:w="79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Report of Independent Registered Public Accounting Firm</w:t>
            </w:r>
          </w:p>
        </w:tc>
        <w:tc>
          <w:tcPr>
            <w:tcW w:w="198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9"/>
                <w:szCs w:val="19"/>
                <w:color w:val="auto"/>
                <w:w w:val="94"/>
              </w:rPr>
              <w:t>65</w:t>
            </w:r>
          </w:p>
        </w:tc>
        <w:tc>
          <w:tcPr>
            <w:tcW w:w="20" w:type="dxa"/>
            <w:vAlign w:val="bottom"/>
            <w:shd w:val="clear" w:color="auto" w:fill="DEDEDE"/>
          </w:tcPr>
          <w:p>
            <w:pPr>
              <w:spacing w:after="0"/>
              <w:rPr>
                <w:sz w:val="24"/>
                <w:szCs w:val="24"/>
                <w:color w:val="auto"/>
              </w:rPr>
            </w:pPr>
          </w:p>
        </w:tc>
      </w:tr>
      <w:tr>
        <w:trPr>
          <w:trHeight w:val="299"/>
        </w:trPr>
        <w:tc>
          <w:tcPr>
            <w:tcW w:w="7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Consolidated Balance Sheets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67</w:t>
            </w:r>
          </w:p>
        </w:tc>
        <w:tc>
          <w:tcPr>
            <w:tcW w:w="20" w:type="dxa"/>
            <w:vAlign w:val="bottom"/>
          </w:tcPr>
          <w:p>
            <w:pPr>
              <w:spacing w:after="0"/>
              <w:rPr>
                <w:sz w:val="24"/>
                <w:szCs w:val="24"/>
                <w:color w:val="auto"/>
              </w:rPr>
            </w:pPr>
          </w:p>
        </w:tc>
      </w:tr>
      <w:tr>
        <w:trPr>
          <w:trHeight w:val="312"/>
        </w:trPr>
        <w:tc>
          <w:tcPr>
            <w:tcW w:w="79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Consolidated Statements of Operations</w:t>
            </w:r>
          </w:p>
        </w:tc>
        <w:tc>
          <w:tcPr>
            <w:tcW w:w="198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9"/>
                <w:szCs w:val="19"/>
                <w:color w:val="auto"/>
                <w:w w:val="94"/>
              </w:rPr>
              <w:t>68</w:t>
            </w:r>
          </w:p>
        </w:tc>
        <w:tc>
          <w:tcPr>
            <w:tcW w:w="20" w:type="dxa"/>
            <w:vAlign w:val="bottom"/>
            <w:tcBorders>
              <w:bottom w:val="single" w:sz="8" w:color="DEDEDE"/>
            </w:tcBorders>
            <w:shd w:val="clear" w:color="auto" w:fill="DEDEDE"/>
          </w:tcPr>
          <w:p>
            <w:pPr>
              <w:spacing w:after="0"/>
              <w:rPr>
                <w:sz w:val="24"/>
                <w:szCs w:val="24"/>
                <w:color w:val="auto"/>
              </w:rPr>
            </w:pPr>
          </w:p>
        </w:tc>
      </w:tr>
      <w:tr>
        <w:trPr>
          <w:trHeight w:val="279"/>
        </w:trPr>
        <w:tc>
          <w:tcPr>
            <w:tcW w:w="7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Consolidated Statements of Comprehensive Income</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69</w:t>
            </w:r>
          </w:p>
        </w:tc>
        <w:tc>
          <w:tcPr>
            <w:tcW w:w="20" w:type="dxa"/>
            <w:vAlign w:val="bottom"/>
          </w:tcPr>
          <w:p>
            <w:pPr>
              <w:spacing w:after="0"/>
              <w:rPr>
                <w:sz w:val="24"/>
                <w:szCs w:val="24"/>
                <w:color w:val="auto"/>
              </w:rPr>
            </w:pPr>
          </w:p>
        </w:tc>
      </w:tr>
      <w:tr>
        <w:trPr>
          <w:trHeight w:val="312"/>
        </w:trPr>
        <w:tc>
          <w:tcPr>
            <w:tcW w:w="79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Consolidated Statements of Stockholders’ Equity</w:t>
            </w:r>
          </w:p>
        </w:tc>
        <w:tc>
          <w:tcPr>
            <w:tcW w:w="198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9"/>
                <w:szCs w:val="19"/>
                <w:color w:val="auto"/>
                <w:w w:val="94"/>
              </w:rPr>
              <w:t>70</w:t>
            </w:r>
          </w:p>
        </w:tc>
        <w:tc>
          <w:tcPr>
            <w:tcW w:w="20" w:type="dxa"/>
            <w:vAlign w:val="bottom"/>
            <w:shd w:val="clear" w:color="auto" w:fill="DEDEDE"/>
          </w:tcPr>
          <w:p>
            <w:pPr>
              <w:spacing w:after="0"/>
              <w:rPr>
                <w:sz w:val="24"/>
                <w:szCs w:val="24"/>
                <w:color w:val="auto"/>
              </w:rPr>
            </w:pPr>
          </w:p>
        </w:tc>
      </w:tr>
      <w:tr>
        <w:trPr>
          <w:trHeight w:val="299"/>
        </w:trPr>
        <w:tc>
          <w:tcPr>
            <w:tcW w:w="7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Consolidated Statements of Cash Flows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71</w:t>
            </w:r>
          </w:p>
        </w:tc>
        <w:tc>
          <w:tcPr>
            <w:tcW w:w="20" w:type="dxa"/>
            <w:vAlign w:val="bottom"/>
          </w:tcPr>
          <w:p>
            <w:pPr>
              <w:spacing w:after="0"/>
              <w:rPr>
                <w:sz w:val="24"/>
                <w:szCs w:val="24"/>
                <w:color w:val="auto"/>
              </w:rPr>
            </w:pPr>
          </w:p>
        </w:tc>
      </w:tr>
      <w:tr>
        <w:trPr>
          <w:trHeight w:val="312"/>
        </w:trPr>
        <w:tc>
          <w:tcPr>
            <w:tcW w:w="79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Notes to Consolidated Financial Statements</w:t>
            </w:r>
          </w:p>
        </w:tc>
        <w:tc>
          <w:tcPr>
            <w:tcW w:w="198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9"/>
                <w:szCs w:val="19"/>
                <w:color w:val="auto"/>
                <w:w w:val="94"/>
              </w:rPr>
              <w:t>73</w:t>
            </w:r>
          </w:p>
        </w:tc>
        <w:tc>
          <w:tcPr>
            <w:tcW w:w="20" w:type="dxa"/>
            <w:vAlign w:val="bottom"/>
            <w:shd w:val="clear" w:color="auto" w:fill="DEDEDE"/>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6311265</wp:posOffset>
            </wp:positionH>
            <wp:positionV relativeFrom="paragraph">
              <wp:posOffset>-1370965</wp:posOffset>
            </wp:positionV>
            <wp:extent cx="25400" cy="138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extLst>
                    </a:blip>
                    <a:srcRect/>
                    <a:stretch>
                      <a:fillRect/>
                    </a:stretch>
                  </pic:blipFill>
                  <pic:spPr bwMode="auto">
                    <a:xfrm>
                      <a:off x="0" y="0"/>
                      <a:ext cx="25400" cy="1384300"/>
                    </a:xfrm>
                    <a:prstGeom prst="rect">
                      <a:avLst/>
                    </a:prstGeom>
                    <a:noFill/>
                  </pic:spPr>
                </pic:pic>
              </a:graphicData>
            </a:graphic>
          </wp:anchor>
        </w:drawing>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1880" w:h="15480" w:orient="portrait"/>
          <w:cols w:equalWidth="0" w:num="1">
            <w:col w:w="9960"/>
          </w:cols>
          <w:pgMar w:left="960" w:top="815" w:right="96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Stockholders and Board of Directors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Zoom Video Communications,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Opinions on the Consolidated Financial Statements and Internal Control Over Financial Reporting</w:t>
      </w:r>
    </w:p>
    <w:p>
      <w:pPr>
        <w:spacing w:after="0" w:line="255" w:lineRule="exact"/>
        <w:rPr>
          <w:sz w:val="20"/>
          <w:szCs w:val="20"/>
          <w:color w:val="auto"/>
        </w:rPr>
      </w:pPr>
    </w:p>
    <w:p>
      <w:pPr>
        <w:jc w:val="both"/>
        <w:ind w:firstLine="699"/>
        <w:spacing w:after="0" w:line="262"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Zoom Video Communications, Inc. and subsidiaries (the Company) as of January 31, 2024 and 2023, the related consolidated statements of operations, comprehensive income, stockholders’ equity, and cash flows for each of the years in the three-year period ended January 31, 2024, and the related notes and financial statement schedule II: valuation and qualifying accounts (collectively, the consolidated financial statements). We also have audited the Company’s internal control over financial reporting as of January 31, 2024, based on criteria established in Internal Control – Integrated Framework (2013) issued by the Committee of Sponsoring Organizations of the Treadway Commission.</w:t>
      </w:r>
    </w:p>
    <w:p>
      <w:pPr>
        <w:spacing w:after="0" w:line="194" w:lineRule="exact"/>
        <w:rPr>
          <w:sz w:val="20"/>
          <w:szCs w:val="20"/>
          <w:color w:val="auto"/>
        </w:rPr>
      </w:pPr>
    </w:p>
    <w:p>
      <w:pPr>
        <w:jc w:val="both"/>
        <w:ind w:firstLine="699"/>
        <w:spacing w:after="0" w:line="263" w:lineRule="auto"/>
        <w:rPr>
          <w:sz w:val="20"/>
          <w:szCs w:val="20"/>
          <w:color w:val="auto"/>
        </w:rPr>
      </w:pPr>
      <w:r>
        <w:rPr>
          <w:rFonts w:ascii="Times New Roman" w:cs="Times New Roman" w:eastAsia="Times New Roman" w:hAnsi="Times New Roman"/>
          <w:sz w:val="19"/>
          <w:szCs w:val="19"/>
          <w:color w:val="auto"/>
        </w:rPr>
        <w:t>In our opinion, the consolidated financial statements referred to above present fairly, in all material respects, the financial position of the Company as of January 31, 2024 and 2023, and the results of its operations and its cash flows for each of the years in the three-year period ended January 31, 2024, in conformity with U.S. generally accepted accounting principles. Also in our opinion, the Company maintained, in all material respects, effective internal control over financial reporting as of January 31, 2024 based on criteria established in Internal Control – Integrated Framework (2013) issued by the Committee of Sponsoring Organizations of the Treadway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for Opinions</w:t>
      </w:r>
    </w:p>
    <w:p>
      <w:pPr>
        <w:spacing w:after="0" w:line="246" w:lineRule="exact"/>
        <w:rPr>
          <w:sz w:val="20"/>
          <w:szCs w:val="20"/>
          <w:color w:val="auto"/>
        </w:rPr>
      </w:pPr>
    </w:p>
    <w:p>
      <w:pPr>
        <w:jc w:val="both"/>
        <w:ind w:firstLine="699"/>
        <w:spacing w:after="0" w:line="261" w:lineRule="auto"/>
        <w:rPr>
          <w:sz w:val="20"/>
          <w:szCs w:val="20"/>
          <w:color w:val="auto"/>
        </w:rPr>
      </w:pPr>
      <w:r>
        <w:rPr>
          <w:rFonts w:ascii="Times New Roman" w:cs="Times New Roman" w:eastAsia="Times New Roman" w:hAnsi="Times New Roman"/>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33" w:lineRule="exact"/>
        <w:rPr>
          <w:sz w:val="20"/>
          <w:szCs w:val="20"/>
          <w:color w:val="auto"/>
        </w:rPr>
      </w:pPr>
    </w:p>
    <w:p>
      <w:pPr>
        <w:jc w:val="both"/>
        <w:ind w:firstLine="699"/>
        <w:spacing w:after="0" w:line="268"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9" w:lineRule="exact"/>
        <w:rPr>
          <w:sz w:val="20"/>
          <w:szCs w:val="20"/>
          <w:color w:val="auto"/>
        </w:rPr>
      </w:pPr>
    </w:p>
    <w:p>
      <w:pPr>
        <w:jc w:val="both"/>
        <w:ind w:firstLine="699"/>
        <w:spacing w:after="0" w:line="260" w:lineRule="auto"/>
        <w:rPr>
          <w:sz w:val="20"/>
          <w:szCs w:val="20"/>
          <w:color w:val="auto"/>
        </w:rPr>
      </w:pPr>
      <w:r>
        <w:rPr>
          <w:rFonts w:ascii="Times New Roman" w:cs="Times New Roman" w:eastAsia="Times New Roman" w:hAnsi="Times New Roman"/>
          <w:sz w:val="19"/>
          <w:szCs w:val="19"/>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Definition and Limitations of Internal Control Over Financial Reporting</w:t>
      </w:r>
    </w:p>
    <w:p>
      <w:pPr>
        <w:spacing w:after="0" w:line="255" w:lineRule="exact"/>
        <w:rPr>
          <w:sz w:val="20"/>
          <w:szCs w:val="20"/>
          <w:color w:val="auto"/>
        </w:rPr>
      </w:pPr>
    </w:p>
    <w:p>
      <w:pPr>
        <w:jc w:val="both"/>
        <w:ind w:firstLine="699"/>
        <w:spacing w:after="0" w:line="260"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880" w:h="15480" w:orient="portrait"/>
          <w:cols w:equalWidth="0" w:num="1">
            <w:col w:w="9960"/>
          </w:cols>
          <w:pgMar w:left="960" w:top="815" w:right="960" w:bottom="0"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ectPr>
          <w:pgSz w:w="11880" w:h="15480" w:orient="portrait"/>
          <w:cols w:equalWidth="0" w:num="1">
            <w:col w:w="9960"/>
          </w:cols>
          <w:pgMar w:left="960" w:top="815" w:right="960" w:bottom="0" w:gutter="0" w:footer="0" w:header="0"/>
          <w:type w:val="continuous"/>
        </w:sectPr>
      </w:pPr>
    </w:p>
    <w:bookmarkStart w:id="69" w:name="page70"/>
    <w:bookmarkEnd w:id="69"/>
    <w:p>
      <w:pPr>
        <w:jc w:val="both"/>
        <w:ind w:firstLine="699"/>
        <w:spacing w:after="0" w:line="275"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Critical Audit Matter</w:t>
      </w:r>
    </w:p>
    <w:p>
      <w:pPr>
        <w:spacing w:after="0" w:line="255" w:lineRule="exact"/>
        <w:rPr>
          <w:sz w:val="20"/>
          <w:szCs w:val="20"/>
          <w:color w:val="auto"/>
        </w:rPr>
      </w:pPr>
    </w:p>
    <w:p>
      <w:pPr>
        <w:jc w:val="both"/>
        <w:ind w:firstLine="699"/>
        <w:spacing w:after="0" w:line="263"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Sufficiency of Audit Evidence Over Revenue</w:t>
      </w:r>
    </w:p>
    <w:p>
      <w:pPr>
        <w:spacing w:after="0" w:line="250" w:lineRule="exact"/>
        <w:rPr>
          <w:sz w:val="20"/>
          <w:szCs w:val="20"/>
          <w:color w:val="auto"/>
        </w:rPr>
      </w:pPr>
    </w:p>
    <w:p>
      <w:pPr>
        <w:jc w:val="both"/>
        <w:ind w:left="700" w:firstLine="699"/>
        <w:spacing w:after="0" w:line="275" w:lineRule="auto"/>
        <w:rPr>
          <w:sz w:val="20"/>
          <w:szCs w:val="20"/>
          <w:color w:val="auto"/>
        </w:rPr>
      </w:pPr>
      <w:r>
        <w:rPr>
          <w:rFonts w:ascii="Times New Roman" w:cs="Times New Roman" w:eastAsia="Times New Roman" w:hAnsi="Times New Roman"/>
          <w:sz w:val="19"/>
          <w:szCs w:val="19"/>
          <w:color w:val="auto"/>
        </w:rPr>
        <w:t>As discussed in Notes 1 and 2 to the consolidated financial statements, the Company’s revenue is principally derived from the sale of subscriptions to the Company’s video communications platform. The Company recorded $4,527 million of revenue for the year ended January 31, 2024.</w:t>
      </w:r>
    </w:p>
    <w:p>
      <w:pPr>
        <w:spacing w:after="0" w:line="181" w:lineRule="exact"/>
        <w:rPr>
          <w:sz w:val="20"/>
          <w:szCs w:val="20"/>
          <w:color w:val="auto"/>
        </w:rPr>
      </w:pPr>
    </w:p>
    <w:p>
      <w:pPr>
        <w:jc w:val="both"/>
        <w:ind w:left="700" w:firstLine="699"/>
        <w:spacing w:after="0" w:line="265" w:lineRule="auto"/>
        <w:rPr>
          <w:sz w:val="20"/>
          <w:szCs w:val="20"/>
          <w:color w:val="auto"/>
        </w:rPr>
      </w:pPr>
      <w:r>
        <w:rPr>
          <w:rFonts w:ascii="Times New Roman" w:cs="Times New Roman" w:eastAsia="Times New Roman" w:hAnsi="Times New Roman"/>
          <w:sz w:val="19"/>
          <w:szCs w:val="19"/>
          <w:color w:val="auto"/>
        </w:rPr>
        <w:t>We identified the evaluation of sufficiency of audit evidence over revenue as a critical audit matter. This matter required especially subjective auditor judgment because the Company’s revenue recognition process is highly automated and is reliant upon a number of customized and proprietary information technology (IT) systems. Involvement of IT professionals with specialized skills and knowledge was required to assist with the performance of certain procedures and determination of IT applications subject to testing.</w:t>
      </w:r>
    </w:p>
    <w:p>
      <w:pPr>
        <w:spacing w:after="0" w:line="191" w:lineRule="exact"/>
        <w:rPr>
          <w:sz w:val="20"/>
          <w:szCs w:val="20"/>
          <w:color w:val="auto"/>
        </w:rPr>
      </w:pPr>
    </w:p>
    <w:p>
      <w:pPr>
        <w:jc w:val="both"/>
        <w:ind w:left="700" w:firstLine="699"/>
        <w:spacing w:after="0" w:line="259" w:lineRule="auto"/>
        <w:rPr>
          <w:sz w:val="20"/>
          <w:szCs w:val="20"/>
          <w:color w:val="auto"/>
        </w:rPr>
      </w:pPr>
      <w:r>
        <w:rPr>
          <w:rFonts w:ascii="Times New Roman" w:cs="Times New Roman" w:eastAsia="Times New Roman" w:hAnsi="Times New Roman"/>
          <w:sz w:val="19"/>
          <w:szCs w:val="19"/>
          <w:color w:val="auto"/>
        </w:rPr>
        <w:t>The following are the primary procedures we performed to address this critical audit matter. We applied auditor judgment to determine the nature and extent of procedures to be performed over revenue. We evaluated the design and tested the operating effectiveness of certain internal controls related to revenue recognition. This included certain controls related to the Company’s general information technology and application controls related to the systems utilized within the Company’s revenue recognition process. We involved IT professionals with specialized skills and knowledge, who assisted in testing the IT controls of the various systems interacting with the Company’s revenue recognition process. We recalculated revenue for system-generated sales transactions during the year using a software audit tool. For a sample of transactions, we compared the amounts recognized for consistency with underlying documentation, including contracts with customers and cash receipts. Additionally, for the same sample of transactions, we recalculated the amount of revenue recognized in the period based on the terms of the arrangement and the satisfaction of the underlying performance obligation. In addition, we evaluated the sufficiency of audit evidence obtained over revenue by assessing the results of procedures performed.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KPMG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2016.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 Francisco, California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1, 2024</w:t>
      </w:r>
    </w:p>
    <w:p>
      <w:pPr>
        <w:sectPr>
          <w:pgSz w:w="11880" w:h="15480" w:orient="portrait"/>
          <w:cols w:equalWidth="0" w:num="1">
            <w:col w:w="9960"/>
          </w:cols>
          <w:pgMar w:left="960" w:top="105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ectPr>
          <w:pgSz w:w="11880" w:h="15480" w:orient="portrait"/>
          <w:cols w:equalWidth="0" w:num="1">
            <w:col w:w="9960"/>
          </w:cols>
          <w:pgMar w:left="960" w:top="1054" w:right="960" w:bottom="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9"/>
          <w:szCs w:val="19"/>
          <w:b w:val="1"/>
          <w:bCs w:val="1"/>
          <w:color w:val="auto"/>
        </w:rPr>
        <w:t>ZOOM VIDEO COMMUNICATIONS,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share and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January 31,</w:t>
            </w:r>
          </w:p>
        </w:tc>
        <w:tc>
          <w:tcPr>
            <w:tcW w:w="900" w:type="dxa"/>
            <w:vAlign w:val="bottom"/>
            <w:tcBorders>
              <w:bottom w:val="single" w:sz="8" w:color="auto"/>
            </w:tcBorders>
          </w:tcPr>
          <w:p>
            <w:pPr>
              <w:spacing w:after="0"/>
              <w:rPr>
                <w:sz w:val="18"/>
                <w:szCs w:val="18"/>
                <w:color w:val="auto"/>
              </w:rPr>
            </w:pPr>
          </w:p>
        </w:tc>
      </w:tr>
      <w:tr>
        <w:trPr>
          <w:trHeight w:val="228"/>
        </w:trPr>
        <w:tc>
          <w:tcPr>
            <w:tcW w:w="6940" w:type="dxa"/>
            <w:vAlign w:val="bottom"/>
            <w:tcBorders>
              <w:bottom w:val="single" w:sz="8" w:color="DEDED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EDEDE"/>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w w:val="93"/>
              </w:rPr>
              <w:t>2023</w:t>
            </w:r>
          </w:p>
        </w:tc>
      </w:tr>
      <w:tr>
        <w:trPr>
          <w:trHeight w:val="247"/>
        </w:trPr>
        <w:tc>
          <w:tcPr>
            <w:tcW w:w="694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60" w:type="dxa"/>
            <w:vAlign w:val="bottom"/>
            <w:tcBorders>
              <w:bottom w:val="single" w:sz="8" w:color="DEDEDE"/>
            </w:tcBorders>
            <w:shd w:val="clear" w:color="auto" w:fill="DEDEDE"/>
          </w:tcPr>
          <w:p>
            <w:pPr>
              <w:spacing w:after="0"/>
              <w:rPr>
                <w:sz w:val="21"/>
                <w:szCs w:val="21"/>
                <w:color w:val="auto"/>
              </w:rPr>
            </w:pPr>
          </w:p>
        </w:tc>
        <w:tc>
          <w:tcPr>
            <w:tcW w:w="1080" w:type="dxa"/>
            <w:vAlign w:val="bottom"/>
            <w:tcBorders>
              <w:bottom w:val="single" w:sz="8" w:color="DEDEDE"/>
            </w:tcBorders>
            <w:shd w:val="clear" w:color="auto" w:fill="DEDEDE"/>
          </w:tcPr>
          <w:p>
            <w:pPr>
              <w:spacing w:after="0"/>
              <w:rPr>
                <w:sz w:val="21"/>
                <w:szCs w:val="21"/>
                <w:color w:val="auto"/>
              </w:rPr>
            </w:pPr>
          </w:p>
        </w:tc>
        <w:tc>
          <w:tcPr>
            <w:tcW w:w="80" w:type="dxa"/>
            <w:vAlign w:val="bottom"/>
            <w:tcBorders>
              <w:bottom w:val="single" w:sz="8" w:color="DEDEDE"/>
            </w:tcBorders>
            <w:shd w:val="clear" w:color="auto" w:fill="DEDEDE"/>
          </w:tcPr>
          <w:p>
            <w:pPr>
              <w:spacing w:after="0"/>
              <w:rPr>
                <w:sz w:val="21"/>
                <w:szCs w:val="21"/>
                <w:color w:val="auto"/>
              </w:rPr>
            </w:pPr>
          </w:p>
        </w:tc>
        <w:tc>
          <w:tcPr>
            <w:tcW w:w="560" w:type="dxa"/>
            <w:vAlign w:val="bottom"/>
            <w:tcBorders>
              <w:bottom w:val="single" w:sz="8" w:color="DEDEDE"/>
            </w:tcBorders>
            <w:shd w:val="clear" w:color="auto" w:fill="DEDEDE"/>
          </w:tcPr>
          <w:p>
            <w:pPr>
              <w:spacing w:after="0"/>
              <w:rPr>
                <w:sz w:val="21"/>
                <w:szCs w:val="21"/>
                <w:color w:val="auto"/>
              </w:rPr>
            </w:pPr>
          </w:p>
        </w:tc>
        <w:tc>
          <w:tcPr>
            <w:tcW w:w="900" w:type="dxa"/>
            <w:vAlign w:val="bottom"/>
            <w:tcBorders>
              <w:bottom w:val="single" w:sz="8" w:color="DEDEDE"/>
            </w:tcBorders>
            <w:shd w:val="clear" w:color="auto" w:fill="DEDEDE"/>
          </w:tcPr>
          <w:p>
            <w:pPr>
              <w:spacing w:after="0"/>
              <w:rPr>
                <w:sz w:val="21"/>
                <w:szCs w:val="21"/>
                <w:color w:val="auto"/>
              </w:rPr>
            </w:pPr>
          </w:p>
        </w:tc>
      </w:tr>
      <w:tr>
        <w:trPr>
          <w:trHeight w:val="246"/>
        </w:trPr>
        <w:tc>
          <w:tcPr>
            <w:tcW w:w="6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Current assets: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1"/>
        </w:trPr>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7"/>
        </w:trPr>
        <w:tc>
          <w:tcPr>
            <w:tcW w:w="694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60" w:type="dxa"/>
            <w:vAlign w:val="bottom"/>
            <w:shd w:val="clear" w:color="auto" w:fill="DEDEDE"/>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1,558,252</w:t>
            </w:r>
          </w:p>
        </w:tc>
        <w:tc>
          <w:tcPr>
            <w:tcW w:w="640" w:type="dxa"/>
            <w:vAlign w:val="bottom"/>
            <w:gridSpan w:val="2"/>
            <w:shd w:val="clear" w:color="auto" w:fill="DEDEDE"/>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1,086,830</w:t>
            </w:r>
          </w:p>
        </w:tc>
      </w:tr>
      <w:tr>
        <w:trPr>
          <w:trHeight w:val="269"/>
        </w:trPr>
        <w:tc>
          <w:tcPr>
            <w:tcW w:w="6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Marketable securities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5,404,233</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4,325,836</w:t>
            </w:r>
          </w:p>
        </w:tc>
      </w:tr>
      <w:tr>
        <w:trPr>
          <w:trHeight w:val="201"/>
        </w:trPr>
        <w:tc>
          <w:tcPr>
            <w:tcW w:w="694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Accounts receivable, net of allowances of $32,371 and $33,206 as of January 31, 2024 and</w:t>
            </w:r>
          </w:p>
        </w:tc>
        <w:tc>
          <w:tcPr>
            <w:tcW w:w="360" w:type="dxa"/>
            <w:vAlign w:val="bottom"/>
            <w:shd w:val="clear" w:color="auto" w:fill="DEDEDE"/>
          </w:tcPr>
          <w:p>
            <w:pPr>
              <w:spacing w:after="0"/>
              <w:rPr>
                <w:sz w:val="17"/>
                <w:szCs w:val="17"/>
                <w:color w:val="auto"/>
              </w:rPr>
            </w:pPr>
          </w:p>
        </w:tc>
        <w:tc>
          <w:tcPr>
            <w:tcW w:w="108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c>
          <w:tcPr>
            <w:tcW w:w="560" w:type="dxa"/>
            <w:vAlign w:val="bottom"/>
            <w:shd w:val="clear" w:color="auto" w:fill="DEDEDE"/>
          </w:tcPr>
          <w:p>
            <w:pPr>
              <w:spacing w:after="0"/>
              <w:rPr>
                <w:sz w:val="17"/>
                <w:szCs w:val="17"/>
                <w:color w:val="auto"/>
              </w:rPr>
            </w:pPr>
          </w:p>
        </w:tc>
        <w:tc>
          <w:tcPr>
            <w:tcW w:w="900" w:type="dxa"/>
            <w:vAlign w:val="bottom"/>
            <w:shd w:val="clear" w:color="auto" w:fill="DEDEDE"/>
          </w:tcPr>
          <w:p>
            <w:pPr>
              <w:spacing w:after="0"/>
              <w:rPr>
                <w:sz w:val="17"/>
                <w:szCs w:val="17"/>
                <w:color w:val="auto"/>
              </w:rPr>
            </w:pPr>
          </w:p>
        </w:tc>
      </w:tr>
      <w:tr>
        <w:trPr>
          <w:trHeight w:val="272"/>
        </w:trPr>
        <w:tc>
          <w:tcPr>
            <w:tcW w:w="694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2023, respectively</w:t>
            </w:r>
          </w:p>
        </w:tc>
        <w:tc>
          <w:tcPr>
            <w:tcW w:w="360" w:type="dxa"/>
            <w:vAlign w:val="bottom"/>
            <w:shd w:val="clear" w:color="auto" w:fill="DEDEDE"/>
          </w:tcPr>
          <w:p>
            <w:pPr>
              <w:spacing w:after="0"/>
              <w:rPr>
                <w:sz w:val="23"/>
                <w:szCs w:val="23"/>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536,078</w:t>
            </w:r>
          </w:p>
        </w:tc>
        <w:tc>
          <w:tcPr>
            <w:tcW w:w="80" w:type="dxa"/>
            <w:vAlign w:val="bottom"/>
            <w:shd w:val="clear" w:color="auto" w:fill="DEDEDE"/>
          </w:tcPr>
          <w:p>
            <w:pPr>
              <w:spacing w:after="0"/>
              <w:rPr>
                <w:sz w:val="23"/>
                <w:szCs w:val="23"/>
                <w:color w:val="auto"/>
              </w:rPr>
            </w:pPr>
          </w:p>
        </w:tc>
        <w:tc>
          <w:tcPr>
            <w:tcW w:w="560" w:type="dxa"/>
            <w:vAlign w:val="bottom"/>
            <w:shd w:val="clear" w:color="auto" w:fill="DEDEDE"/>
          </w:tcPr>
          <w:p>
            <w:pPr>
              <w:spacing w:after="0"/>
              <w:rPr>
                <w:sz w:val="23"/>
                <w:szCs w:val="23"/>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557,404</w:t>
            </w:r>
          </w:p>
        </w:tc>
      </w:tr>
      <w:tr>
        <w:trPr>
          <w:trHeight w:val="269"/>
        </w:trPr>
        <w:tc>
          <w:tcPr>
            <w:tcW w:w="6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Deferred contract acquisition costs, current</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208,474</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223,250</w:t>
            </w:r>
          </w:p>
        </w:tc>
      </w:tr>
      <w:tr>
        <w:trPr>
          <w:trHeight w:val="292"/>
        </w:trPr>
        <w:tc>
          <w:tcPr>
            <w:tcW w:w="6940" w:type="dxa"/>
            <w:vAlign w:val="bottom"/>
            <w:tcBorders>
              <w:bottom w:val="single" w:sz="8" w:color="DEDEDE"/>
            </w:tcBorders>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60" w:type="dxa"/>
            <w:vAlign w:val="bottom"/>
            <w:tcBorders>
              <w:bottom w:val="single" w:sz="8" w:color="auto"/>
            </w:tcBorders>
            <w:shd w:val="clear" w:color="auto" w:fill="DEDEDE"/>
          </w:tcPr>
          <w:p>
            <w:pPr>
              <w:spacing w:after="0"/>
              <w:rPr>
                <w:sz w:val="24"/>
                <w:szCs w:val="24"/>
                <w:color w:val="auto"/>
              </w:rPr>
            </w:pPr>
          </w:p>
        </w:tc>
        <w:tc>
          <w:tcPr>
            <w:tcW w:w="10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219,182</w:t>
            </w:r>
          </w:p>
        </w:tc>
        <w:tc>
          <w:tcPr>
            <w:tcW w:w="80" w:type="dxa"/>
            <w:vAlign w:val="bottom"/>
            <w:tcBorders>
              <w:bottom w:val="single" w:sz="8" w:color="DEDEDE"/>
            </w:tcBorders>
            <w:shd w:val="clear" w:color="auto" w:fill="DEDEDE"/>
          </w:tcPr>
          <w:p>
            <w:pPr>
              <w:spacing w:after="0"/>
              <w:rPr>
                <w:sz w:val="24"/>
                <w:szCs w:val="24"/>
                <w:color w:val="auto"/>
              </w:rPr>
            </w:pPr>
          </w:p>
        </w:tc>
        <w:tc>
          <w:tcPr>
            <w:tcW w:w="56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163,092</w:t>
            </w:r>
          </w:p>
        </w:tc>
      </w:tr>
      <w:tr>
        <w:trPr>
          <w:trHeight w:val="241"/>
        </w:trPr>
        <w:tc>
          <w:tcPr>
            <w:tcW w:w="6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Total current assets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7,926,219</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6,356,412</w:t>
            </w:r>
          </w:p>
        </w:tc>
      </w:tr>
      <w:tr>
        <w:trPr>
          <w:trHeight w:val="284"/>
        </w:trPr>
        <w:tc>
          <w:tcPr>
            <w:tcW w:w="69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Deferred contract acquisition costs, noncurrent</w:t>
            </w:r>
          </w:p>
        </w:tc>
        <w:tc>
          <w:tcPr>
            <w:tcW w:w="360" w:type="dxa"/>
            <w:vAlign w:val="bottom"/>
            <w:shd w:val="clear" w:color="auto" w:fill="DEDEDE"/>
          </w:tcPr>
          <w:p>
            <w:pPr>
              <w:spacing w:after="0"/>
              <w:rPr>
                <w:sz w:val="24"/>
                <w:szCs w:val="24"/>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138,724</w:t>
            </w:r>
          </w:p>
        </w:tc>
        <w:tc>
          <w:tcPr>
            <w:tcW w:w="80" w:type="dxa"/>
            <w:vAlign w:val="bottom"/>
            <w:shd w:val="clear" w:color="auto" w:fill="DEDEDE"/>
          </w:tcPr>
          <w:p>
            <w:pPr>
              <w:spacing w:after="0"/>
              <w:rPr>
                <w:sz w:val="24"/>
                <w:szCs w:val="24"/>
                <w:color w:val="auto"/>
              </w:rPr>
            </w:pPr>
          </w:p>
        </w:tc>
        <w:tc>
          <w:tcPr>
            <w:tcW w:w="56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179,991</w:t>
            </w:r>
          </w:p>
        </w:tc>
      </w:tr>
      <w:tr>
        <w:trPr>
          <w:trHeight w:val="269"/>
        </w:trPr>
        <w:tc>
          <w:tcPr>
            <w:tcW w:w="6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293,704</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252,821</w:t>
            </w:r>
          </w:p>
        </w:tc>
      </w:tr>
      <w:tr>
        <w:trPr>
          <w:trHeight w:val="284"/>
        </w:trPr>
        <w:tc>
          <w:tcPr>
            <w:tcW w:w="69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60" w:type="dxa"/>
            <w:vAlign w:val="bottom"/>
            <w:shd w:val="clear" w:color="auto" w:fill="DEDEDE"/>
          </w:tcPr>
          <w:p>
            <w:pPr>
              <w:spacing w:after="0"/>
              <w:rPr>
                <w:sz w:val="24"/>
                <w:szCs w:val="24"/>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58,975</w:t>
            </w:r>
          </w:p>
        </w:tc>
        <w:tc>
          <w:tcPr>
            <w:tcW w:w="80" w:type="dxa"/>
            <w:vAlign w:val="bottom"/>
            <w:shd w:val="clear" w:color="auto" w:fill="DEDEDE"/>
          </w:tcPr>
          <w:p>
            <w:pPr>
              <w:spacing w:after="0"/>
              <w:rPr>
                <w:sz w:val="24"/>
                <w:szCs w:val="24"/>
                <w:color w:val="auto"/>
              </w:rPr>
            </w:pPr>
          </w:p>
        </w:tc>
        <w:tc>
          <w:tcPr>
            <w:tcW w:w="56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80,906</w:t>
            </w:r>
          </w:p>
        </w:tc>
      </w:tr>
      <w:tr>
        <w:trPr>
          <w:trHeight w:val="269"/>
        </w:trPr>
        <w:tc>
          <w:tcPr>
            <w:tcW w:w="6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Strategic investments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409,222</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398,992</w:t>
            </w:r>
          </w:p>
        </w:tc>
      </w:tr>
      <w:tr>
        <w:trPr>
          <w:trHeight w:val="284"/>
        </w:trPr>
        <w:tc>
          <w:tcPr>
            <w:tcW w:w="69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Goodwill</w:t>
            </w:r>
          </w:p>
        </w:tc>
        <w:tc>
          <w:tcPr>
            <w:tcW w:w="360" w:type="dxa"/>
            <w:vAlign w:val="bottom"/>
            <w:shd w:val="clear" w:color="auto" w:fill="DEDEDE"/>
          </w:tcPr>
          <w:p>
            <w:pPr>
              <w:spacing w:after="0"/>
              <w:rPr>
                <w:sz w:val="24"/>
                <w:szCs w:val="24"/>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307,295</w:t>
            </w:r>
          </w:p>
        </w:tc>
        <w:tc>
          <w:tcPr>
            <w:tcW w:w="80" w:type="dxa"/>
            <w:vAlign w:val="bottom"/>
            <w:shd w:val="clear" w:color="auto" w:fill="DEDEDE"/>
          </w:tcPr>
          <w:p>
            <w:pPr>
              <w:spacing w:after="0"/>
              <w:rPr>
                <w:sz w:val="24"/>
                <w:szCs w:val="24"/>
                <w:color w:val="auto"/>
              </w:rPr>
            </w:pPr>
          </w:p>
        </w:tc>
        <w:tc>
          <w:tcPr>
            <w:tcW w:w="56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122,641</w:t>
            </w:r>
          </w:p>
        </w:tc>
      </w:tr>
      <w:tr>
        <w:trPr>
          <w:trHeight w:val="269"/>
        </w:trPr>
        <w:tc>
          <w:tcPr>
            <w:tcW w:w="6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Deferred tax assets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662,177</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558,428</w:t>
            </w:r>
          </w:p>
        </w:tc>
      </w:tr>
      <w:tr>
        <w:trPr>
          <w:trHeight w:val="292"/>
        </w:trPr>
        <w:tc>
          <w:tcPr>
            <w:tcW w:w="694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Other assets, noncurrent</w:t>
            </w:r>
          </w:p>
        </w:tc>
        <w:tc>
          <w:tcPr>
            <w:tcW w:w="360" w:type="dxa"/>
            <w:vAlign w:val="bottom"/>
            <w:tcBorders>
              <w:bottom w:val="single" w:sz="8" w:color="auto"/>
            </w:tcBorders>
            <w:shd w:val="clear" w:color="auto" w:fill="DEDEDE"/>
          </w:tcPr>
          <w:p>
            <w:pPr>
              <w:spacing w:after="0"/>
              <w:rPr>
                <w:sz w:val="24"/>
                <w:szCs w:val="24"/>
                <w:color w:val="auto"/>
              </w:rPr>
            </w:pPr>
          </w:p>
        </w:tc>
        <w:tc>
          <w:tcPr>
            <w:tcW w:w="10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133,477</w:t>
            </w:r>
          </w:p>
        </w:tc>
        <w:tc>
          <w:tcPr>
            <w:tcW w:w="80" w:type="dxa"/>
            <w:vAlign w:val="bottom"/>
            <w:tcBorders>
              <w:bottom w:val="single" w:sz="8" w:color="DEDEDE"/>
            </w:tcBorders>
            <w:shd w:val="clear" w:color="auto" w:fill="DEDEDE"/>
          </w:tcPr>
          <w:p>
            <w:pPr>
              <w:spacing w:after="0"/>
              <w:rPr>
                <w:sz w:val="24"/>
                <w:szCs w:val="24"/>
                <w:color w:val="auto"/>
              </w:rPr>
            </w:pPr>
          </w:p>
        </w:tc>
        <w:tc>
          <w:tcPr>
            <w:tcW w:w="56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177,874</w:t>
            </w:r>
          </w:p>
        </w:tc>
      </w:tr>
      <w:tr>
        <w:trPr>
          <w:trHeight w:val="258"/>
        </w:trPr>
        <w:tc>
          <w:tcPr>
            <w:tcW w:w="6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assets</w:t>
            </w:r>
          </w:p>
        </w:tc>
        <w:tc>
          <w:tcPr>
            <w:tcW w:w="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9,929,793</w:t>
            </w:r>
          </w:p>
        </w:tc>
        <w:tc>
          <w:tcPr>
            <w:tcW w:w="640" w:type="dxa"/>
            <w:vAlign w:val="bottom"/>
            <w:gridSpan w:val="2"/>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8,128,065</w:t>
            </w:r>
          </w:p>
        </w:tc>
      </w:tr>
      <w:tr>
        <w:trPr>
          <w:trHeight w:val="228"/>
        </w:trPr>
        <w:tc>
          <w:tcPr>
            <w:tcW w:w="6940" w:type="dxa"/>
            <w:vAlign w:val="bottom"/>
            <w:tcBorders>
              <w:top w:val="single" w:sz="8" w:color="DEDEDE"/>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60" w:type="dxa"/>
            <w:vAlign w:val="bottom"/>
            <w:tcBorders>
              <w:top w:val="single" w:sz="8" w:color="auto"/>
              <w:bottom w:val="single" w:sz="8" w:color="DEDEDE"/>
            </w:tcBorders>
            <w:shd w:val="clear" w:color="auto" w:fill="DEDEDE"/>
          </w:tcPr>
          <w:p>
            <w:pPr>
              <w:spacing w:after="0"/>
              <w:rPr>
                <w:sz w:val="19"/>
                <w:szCs w:val="19"/>
                <w:color w:val="auto"/>
              </w:rPr>
            </w:pPr>
          </w:p>
        </w:tc>
        <w:tc>
          <w:tcPr>
            <w:tcW w:w="1080" w:type="dxa"/>
            <w:vAlign w:val="bottom"/>
            <w:tcBorders>
              <w:top w:val="single" w:sz="8" w:color="auto"/>
              <w:bottom w:val="single" w:sz="8" w:color="DEDEDE"/>
            </w:tcBorders>
            <w:shd w:val="clear" w:color="auto" w:fill="DEDEDE"/>
          </w:tcPr>
          <w:p>
            <w:pPr>
              <w:spacing w:after="0"/>
              <w:rPr>
                <w:sz w:val="19"/>
                <w:szCs w:val="19"/>
                <w:color w:val="auto"/>
              </w:rPr>
            </w:pP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560" w:type="dxa"/>
            <w:vAlign w:val="bottom"/>
            <w:tcBorders>
              <w:top w:val="single" w:sz="8" w:color="auto"/>
              <w:bottom w:val="single" w:sz="8" w:color="DEDEDE"/>
            </w:tcBorders>
            <w:shd w:val="clear" w:color="auto" w:fill="DEDEDE"/>
          </w:tcPr>
          <w:p>
            <w:pPr>
              <w:spacing w:after="0"/>
              <w:rPr>
                <w:sz w:val="19"/>
                <w:szCs w:val="19"/>
                <w:color w:val="auto"/>
              </w:rPr>
            </w:pPr>
          </w:p>
        </w:tc>
        <w:tc>
          <w:tcPr>
            <w:tcW w:w="900" w:type="dxa"/>
            <w:vAlign w:val="bottom"/>
            <w:tcBorders>
              <w:top w:val="single" w:sz="8" w:color="auto"/>
              <w:bottom w:val="single" w:sz="8" w:color="DEDEDE"/>
            </w:tcBorders>
            <w:shd w:val="clear" w:color="auto" w:fill="DEDEDE"/>
          </w:tcPr>
          <w:p>
            <w:pPr>
              <w:spacing w:after="0"/>
              <w:rPr>
                <w:sz w:val="19"/>
                <w:szCs w:val="19"/>
                <w:color w:val="auto"/>
              </w:rPr>
            </w:pPr>
          </w:p>
        </w:tc>
      </w:tr>
      <w:tr>
        <w:trPr>
          <w:trHeight w:val="245"/>
        </w:trPr>
        <w:tc>
          <w:tcPr>
            <w:tcW w:w="6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Current liabilities: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2"/>
        </w:trPr>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7"/>
        </w:trPr>
        <w:tc>
          <w:tcPr>
            <w:tcW w:w="694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shd w:val="clear" w:color="auto" w:fill="DEDEDE"/>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10,175</w:t>
            </w:r>
          </w:p>
        </w:tc>
        <w:tc>
          <w:tcPr>
            <w:tcW w:w="640" w:type="dxa"/>
            <w:vAlign w:val="bottom"/>
            <w:gridSpan w:val="2"/>
            <w:shd w:val="clear" w:color="auto" w:fill="DEDEDE"/>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14,414</w:t>
            </w:r>
          </w:p>
        </w:tc>
      </w:tr>
      <w:tr>
        <w:trPr>
          <w:trHeight w:val="269"/>
        </w:trPr>
        <w:tc>
          <w:tcPr>
            <w:tcW w:w="6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500,164</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457,716</w:t>
            </w:r>
          </w:p>
        </w:tc>
      </w:tr>
      <w:tr>
        <w:trPr>
          <w:trHeight w:val="292"/>
        </w:trPr>
        <w:tc>
          <w:tcPr>
            <w:tcW w:w="6940" w:type="dxa"/>
            <w:vAlign w:val="bottom"/>
            <w:tcBorders>
              <w:bottom w:val="single" w:sz="8" w:color="DEDEDE"/>
            </w:tcBorders>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Deferred revenue, current</w:t>
            </w:r>
          </w:p>
        </w:tc>
        <w:tc>
          <w:tcPr>
            <w:tcW w:w="360" w:type="dxa"/>
            <w:vAlign w:val="bottom"/>
            <w:tcBorders>
              <w:bottom w:val="single" w:sz="8" w:color="auto"/>
            </w:tcBorders>
            <w:shd w:val="clear" w:color="auto" w:fill="DEDEDE"/>
          </w:tcPr>
          <w:p>
            <w:pPr>
              <w:spacing w:after="0"/>
              <w:rPr>
                <w:sz w:val="24"/>
                <w:szCs w:val="24"/>
                <w:color w:val="auto"/>
              </w:rPr>
            </w:pPr>
          </w:p>
        </w:tc>
        <w:tc>
          <w:tcPr>
            <w:tcW w:w="10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1,251,848</w:t>
            </w:r>
          </w:p>
        </w:tc>
        <w:tc>
          <w:tcPr>
            <w:tcW w:w="80" w:type="dxa"/>
            <w:vAlign w:val="bottom"/>
            <w:tcBorders>
              <w:bottom w:val="single" w:sz="8" w:color="DEDEDE"/>
            </w:tcBorders>
            <w:shd w:val="clear" w:color="auto" w:fill="DEDEDE"/>
          </w:tcPr>
          <w:p>
            <w:pPr>
              <w:spacing w:after="0"/>
              <w:rPr>
                <w:sz w:val="24"/>
                <w:szCs w:val="24"/>
                <w:color w:val="auto"/>
              </w:rPr>
            </w:pPr>
          </w:p>
        </w:tc>
        <w:tc>
          <w:tcPr>
            <w:tcW w:w="56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1,266,514</w:t>
            </w:r>
          </w:p>
        </w:tc>
      </w:tr>
      <w:tr>
        <w:trPr>
          <w:trHeight w:val="241"/>
        </w:trPr>
        <w:tc>
          <w:tcPr>
            <w:tcW w:w="6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1,762,187</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1,738,644</w:t>
            </w:r>
          </w:p>
        </w:tc>
      </w:tr>
      <w:tr>
        <w:trPr>
          <w:trHeight w:val="285"/>
        </w:trPr>
        <w:tc>
          <w:tcPr>
            <w:tcW w:w="69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360" w:type="dxa"/>
            <w:vAlign w:val="bottom"/>
            <w:shd w:val="clear" w:color="auto" w:fill="DEDEDE"/>
          </w:tcPr>
          <w:p>
            <w:pPr>
              <w:spacing w:after="0"/>
              <w:rPr>
                <w:sz w:val="24"/>
                <w:szCs w:val="24"/>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18,514</w:t>
            </w:r>
          </w:p>
        </w:tc>
        <w:tc>
          <w:tcPr>
            <w:tcW w:w="80" w:type="dxa"/>
            <w:vAlign w:val="bottom"/>
            <w:shd w:val="clear" w:color="auto" w:fill="DEDEDE"/>
          </w:tcPr>
          <w:p>
            <w:pPr>
              <w:spacing w:after="0"/>
              <w:rPr>
                <w:sz w:val="24"/>
                <w:szCs w:val="24"/>
                <w:color w:val="auto"/>
              </w:rPr>
            </w:pPr>
          </w:p>
        </w:tc>
        <w:tc>
          <w:tcPr>
            <w:tcW w:w="56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41,932</w:t>
            </w:r>
          </w:p>
        </w:tc>
      </w:tr>
      <w:tr>
        <w:trPr>
          <w:trHeight w:val="269"/>
        </w:trPr>
        <w:tc>
          <w:tcPr>
            <w:tcW w:w="6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48,308</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73,687</w:t>
            </w:r>
          </w:p>
        </w:tc>
      </w:tr>
      <w:tr>
        <w:trPr>
          <w:trHeight w:val="292"/>
        </w:trPr>
        <w:tc>
          <w:tcPr>
            <w:tcW w:w="694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360" w:type="dxa"/>
            <w:vAlign w:val="bottom"/>
            <w:tcBorders>
              <w:bottom w:val="single" w:sz="8" w:color="auto"/>
            </w:tcBorders>
            <w:shd w:val="clear" w:color="auto" w:fill="DEDEDE"/>
          </w:tcPr>
          <w:p>
            <w:pPr>
              <w:spacing w:after="0"/>
              <w:rPr>
                <w:sz w:val="24"/>
                <w:szCs w:val="24"/>
                <w:color w:val="auto"/>
              </w:rPr>
            </w:pPr>
          </w:p>
        </w:tc>
        <w:tc>
          <w:tcPr>
            <w:tcW w:w="10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81,378</w:t>
            </w:r>
          </w:p>
        </w:tc>
        <w:tc>
          <w:tcPr>
            <w:tcW w:w="80" w:type="dxa"/>
            <w:vAlign w:val="bottom"/>
            <w:tcBorders>
              <w:bottom w:val="single" w:sz="8" w:color="DEDEDE"/>
            </w:tcBorders>
            <w:shd w:val="clear" w:color="auto" w:fill="DEDEDE"/>
          </w:tcPr>
          <w:p>
            <w:pPr>
              <w:spacing w:after="0"/>
              <w:rPr>
                <w:sz w:val="24"/>
                <w:szCs w:val="24"/>
                <w:color w:val="auto"/>
              </w:rPr>
            </w:pPr>
          </w:p>
        </w:tc>
        <w:tc>
          <w:tcPr>
            <w:tcW w:w="56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67,195</w:t>
            </w:r>
          </w:p>
        </w:tc>
      </w:tr>
      <w:tr>
        <w:trPr>
          <w:trHeight w:val="239"/>
        </w:trPr>
        <w:tc>
          <w:tcPr>
            <w:tcW w:w="694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7"/>
                <w:szCs w:val="17"/>
                <w:color w:val="auto"/>
              </w:rPr>
              <w:t>Total liabilities</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1,910,387</w:t>
            </w:r>
          </w:p>
        </w:tc>
        <w:tc>
          <w:tcPr>
            <w:tcW w:w="80" w:type="dxa"/>
            <w:vAlign w:val="bottom"/>
            <w:tcBorders>
              <w:bottom w:val="single" w:sz="8" w:color="DEDEDE"/>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1,921,458</w:t>
            </w:r>
          </w:p>
        </w:tc>
      </w:tr>
      <w:tr>
        <w:trPr>
          <w:trHeight w:val="247"/>
        </w:trPr>
        <w:tc>
          <w:tcPr>
            <w:tcW w:w="694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Commitments and contingencies (Note 9)</w:t>
            </w:r>
          </w:p>
        </w:tc>
        <w:tc>
          <w:tcPr>
            <w:tcW w:w="360" w:type="dxa"/>
            <w:vAlign w:val="bottom"/>
            <w:tcBorders>
              <w:bottom w:val="single" w:sz="8" w:color="DEDEDE"/>
            </w:tcBorders>
            <w:shd w:val="clear" w:color="auto" w:fill="DEDEDE"/>
          </w:tcPr>
          <w:p>
            <w:pPr>
              <w:spacing w:after="0"/>
              <w:rPr>
                <w:sz w:val="21"/>
                <w:szCs w:val="21"/>
                <w:color w:val="auto"/>
              </w:rPr>
            </w:pPr>
          </w:p>
        </w:tc>
        <w:tc>
          <w:tcPr>
            <w:tcW w:w="1080" w:type="dxa"/>
            <w:vAlign w:val="bottom"/>
            <w:tcBorders>
              <w:bottom w:val="single" w:sz="8" w:color="DEDEDE"/>
            </w:tcBorders>
            <w:shd w:val="clear" w:color="auto" w:fill="DEDEDE"/>
          </w:tcPr>
          <w:p>
            <w:pPr>
              <w:spacing w:after="0"/>
              <w:rPr>
                <w:sz w:val="21"/>
                <w:szCs w:val="21"/>
                <w:color w:val="auto"/>
              </w:rPr>
            </w:pPr>
          </w:p>
        </w:tc>
        <w:tc>
          <w:tcPr>
            <w:tcW w:w="80" w:type="dxa"/>
            <w:vAlign w:val="bottom"/>
            <w:tcBorders>
              <w:bottom w:val="single" w:sz="8" w:color="DEDEDE"/>
            </w:tcBorders>
            <w:shd w:val="clear" w:color="auto" w:fill="DEDEDE"/>
          </w:tcPr>
          <w:p>
            <w:pPr>
              <w:spacing w:after="0"/>
              <w:rPr>
                <w:sz w:val="21"/>
                <w:szCs w:val="21"/>
                <w:color w:val="auto"/>
              </w:rPr>
            </w:pPr>
          </w:p>
        </w:tc>
        <w:tc>
          <w:tcPr>
            <w:tcW w:w="560" w:type="dxa"/>
            <w:vAlign w:val="bottom"/>
            <w:tcBorders>
              <w:bottom w:val="single" w:sz="8" w:color="DEDEDE"/>
            </w:tcBorders>
            <w:shd w:val="clear" w:color="auto" w:fill="DEDEDE"/>
          </w:tcPr>
          <w:p>
            <w:pPr>
              <w:spacing w:after="0"/>
              <w:rPr>
                <w:sz w:val="21"/>
                <w:szCs w:val="21"/>
                <w:color w:val="auto"/>
              </w:rPr>
            </w:pPr>
          </w:p>
        </w:tc>
        <w:tc>
          <w:tcPr>
            <w:tcW w:w="900" w:type="dxa"/>
            <w:vAlign w:val="bottom"/>
            <w:tcBorders>
              <w:bottom w:val="single" w:sz="8" w:color="DEDEDE"/>
            </w:tcBorders>
            <w:shd w:val="clear" w:color="auto" w:fill="DEDEDE"/>
          </w:tcPr>
          <w:p>
            <w:pPr>
              <w:spacing w:after="0"/>
              <w:rPr>
                <w:sz w:val="21"/>
                <w:szCs w:val="21"/>
                <w:color w:val="auto"/>
              </w:rPr>
            </w:pPr>
          </w:p>
        </w:tc>
      </w:tr>
      <w:tr>
        <w:trPr>
          <w:trHeight w:val="245"/>
        </w:trPr>
        <w:tc>
          <w:tcPr>
            <w:tcW w:w="6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Stockholders’ equity:</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2"/>
        </w:trPr>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6940" w:type="dxa"/>
            <w:vAlign w:val="bottom"/>
            <w:shd w:val="clear" w:color="auto" w:fill="DEDEDE"/>
          </w:tcPr>
          <w:p>
            <w:pPr>
              <w:ind w:left="280"/>
              <w:spacing w:after="0" w:line="193" w:lineRule="exact"/>
              <w:rPr>
                <w:sz w:val="20"/>
                <w:szCs w:val="20"/>
                <w:color w:val="auto"/>
              </w:rPr>
            </w:pPr>
            <w:r>
              <w:rPr>
                <w:rFonts w:ascii="Times New Roman" w:cs="Times New Roman" w:eastAsia="Times New Roman" w:hAnsi="Times New Roman"/>
                <w:sz w:val="17"/>
                <w:szCs w:val="17"/>
                <w:color w:val="auto"/>
              </w:rPr>
              <w:t>Preferred stock, $0.001 par value per share, 200,000,000 shares authorized as of January 31,</w:t>
            </w:r>
          </w:p>
        </w:tc>
        <w:tc>
          <w:tcPr>
            <w:tcW w:w="360" w:type="dxa"/>
            <w:vAlign w:val="bottom"/>
            <w:shd w:val="clear" w:color="auto" w:fill="DEDEDE"/>
          </w:tcPr>
          <w:p>
            <w:pPr>
              <w:spacing w:after="0"/>
              <w:rPr>
                <w:sz w:val="16"/>
                <w:szCs w:val="16"/>
                <w:color w:val="auto"/>
              </w:rPr>
            </w:pPr>
          </w:p>
        </w:tc>
        <w:tc>
          <w:tcPr>
            <w:tcW w:w="1080" w:type="dxa"/>
            <w:vAlign w:val="bottom"/>
            <w:shd w:val="clear" w:color="auto" w:fill="DEDEDE"/>
          </w:tcPr>
          <w:p>
            <w:pPr>
              <w:spacing w:after="0"/>
              <w:rPr>
                <w:sz w:val="16"/>
                <w:szCs w:val="16"/>
                <w:color w:val="auto"/>
              </w:rPr>
            </w:pPr>
          </w:p>
        </w:tc>
        <w:tc>
          <w:tcPr>
            <w:tcW w:w="80" w:type="dxa"/>
            <w:vAlign w:val="bottom"/>
            <w:shd w:val="clear" w:color="auto" w:fill="DEDEDE"/>
          </w:tcPr>
          <w:p>
            <w:pPr>
              <w:spacing w:after="0"/>
              <w:rPr>
                <w:sz w:val="16"/>
                <w:szCs w:val="16"/>
                <w:color w:val="auto"/>
              </w:rPr>
            </w:pPr>
          </w:p>
        </w:tc>
        <w:tc>
          <w:tcPr>
            <w:tcW w:w="560" w:type="dxa"/>
            <w:vAlign w:val="bottom"/>
            <w:shd w:val="clear" w:color="auto" w:fill="DEDEDE"/>
          </w:tcPr>
          <w:p>
            <w:pPr>
              <w:spacing w:after="0"/>
              <w:rPr>
                <w:sz w:val="16"/>
                <w:szCs w:val="16"/>
                <w:color w:val="auto"/>
              </w:rPr>
            </w:pPr>
          </w:p>
        </w:tc>
        <w:tc>
          <w:tcPr>
            <w:tcW w:w="900" w:type="dxa"/>
            <w:vAlign w:val="bottom"/>
            <w:shd w:val="clear" w:color="auto" w:fill="DEDEDE"/>
          </w:tcPr>
          <w:p>
            <w:pPr>
              <w:spacing w:after="0"/>
              <w:rPr>
                <w:sz w:val="16"/>
                <w:szCs w:val="16"/>
                <w:color w:val="auto"/>
              </w:rPr>
            </w:pPr>
          </w:p>
        </w:tc>
      </w:tr>
      <w:tr>
        <w:trPr>
          <w:trHeight w:val="259"/>
        </w:trPr>
        <w:tc>
          <w:tcPr>
            <w:tcW w:w="694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2024 and 2023; zero shares issued and outstanding as of January 31, 2024 and 2023</w:t>
            </w:r>
          </w:p>
        </w:tc>
        <w:tc>
          <w:tcPr>
            <w:tcW w:w="360" w:type="dxa"/>
            <w:vAlign w:val="bottom"/>
            <w:shd w:val="clear" w:color="auto" w:fill="DEDEDE"/>
          </w:tcPr>
          <w:p>
            <w:pPr>
              <w:spacing w:after="0"/>
              <w:rPr>
                <w:sz w:val="22"/>
                <w:szCs w:val="22"/>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DEDEDE"/>
          </w:tcPr>
          <w:p>
            <w:pPr>
              <w:spacing w:after="0"/>
              <w:rPr>
                <w:sz w:val="22"/>
                <w:szCs w:val="22"/>
                <w:color w:val="auto"/>
              </w:rPr>
            </w:pPr>
          </w:p>
        </w:tc>
        <w:tc>
          <w:tcPr>
            <w:tcW w:w="560" w:type="dxa"/>
            <w:vAlign w:val="bottom"/>
            <w:shd w:val="clear" w:color="auto" w:fill="DEDEDE"/>
          </w:tcPr>
          <w:p>
            <w:pPr>
              <w:spacing w:after="0"/>
              <w:rPr>
                <w:sz w:val="22"/>
                <w:szCs w:val="22"/>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2"/>
        </w:trPr>
        <w:tc>
          <w:tcPr>
            <w:tcW w:w="6940" w:type="dxa"/>
            <w:vAlign w:val="bottom"/>
          </w:tcPr>
          <w:p>
            <w:pPr>
              <w:ind w:left="280"/>
              <w:spacing w:after="0" w:line="193" w:lineRule="exact"/>
              <w:rPr>
                <w:sz w:val="20"/>
                <w:szCs w:val="20"/>
                <w:color w:val="auto"/>
              </w:rPr>
            </w:pPr>
            <w:r>
              <w:rPr>
                <w:rFonts w:ascii="Times New Roman" w:cs="Times New Roman" w:eastAsia="Times New Roman" w:hAnsi="Times New Roman"/>
                <w:sz w:val="17"/>
                <w:szCs w:val="17"/>
                <w:color w:val="auto"/>
              </w:rPr>
              <w:t>Common stock, $0.001 par value per share, 2,000,000,000 Class A shares authorized as of</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75"/>
        </w:trPr>
        <w:tc>
          <w:tcPr>
            <w:tcW w:w="6940" w:type="dxa"/>
            <w:vAlign w:val="bottom"/>
          </w:tcPr>
          <w:p>
            <w:pPr>
              <w:ind w:left="280"/>
              <w:spacing w:after="0" w:line="175" w:lineRule="exact"/>
              <w:rPr>
                <w:sz w:val="20"/>
                <w:szCs w:val="20"/>
                <w:color w:val="auto"/>
              </w:rPr>
            </w:pPr>
            <w:r>
              <w:rPr>
                <w:rFonts w:ascii="Times New Roman" w:cs="Times New Roman" w:eastAsia="Times New Roman" w:hAnsi="Times New Roman"/>
                <w:sz w:val="17"/>
                <w:szCs w:val="17"/>
                <w:color w:val="auto"/>
              </w:rPr>
              <w:t>January 31, 2024 and 2023; 260,896,822 and 247,151,956 shares issued and outstanding as of</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6940" w:type="dxa"/>
            <w:vAlign w:val="bottom"/>
          </w:tcPr>
          <w:p>
            <w:pPr>
              <w:ind w:left="280"/>
              <w:spacing w:after="0" w:line="175" w:lineRule="exact"/>
              <w:rPr>
                <w:sz w:val="20"/>
                <w:szCs w:val="20"/>
                <w:color w:val="auto"/>
              </w:rPr>
            </w:pPr>
            <w:r>
              <w:rPr>
                <w:rFonts w:ascii="Times New Roman" w:cs="Times New Roman" w:eastAsia="Times New Roman" w:hAnsi="Times New Roman"/>
                <w:sz w:val="17"/>
                <w:szCs w:val="17"/>
                <w:color w:val="auto"/>
              </w:rPr>
              <w:t>January 31, 2024 and 2023, respectively; 300,000,000 Class B shares authorized as of</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6940" w:type="dxa"/>
            <w:vAlign w:val="bottom"/>
          </w:tcPr>
          <w:p>
            <w:pPr>
              <w:ind w:left="280"/>
              <w:spacing w:after="0" w:line="175" w:lineRule="exact"/>
              <w:rPr>
                <w:sz w:val="20"/>
                <w:szCs w:val="20"/>
                <w:color w:val="auto"/>
              </w:rPr>
            </w:pPr>
            <w:r>
              <w:rPr>
                <w:rFonts w:ascii="Times New Roman" w:cs="Times New Roman" w:eastAsia="Times New Roman" w:hAnsi="Times New Roman"/>
                <w:sz w:val="17"/>
                <w:szCs w:val="17"/>
                <w:color w:val="auto"/>
              </w:rPr>
              <w:t>January 31, 2024 and 2023; 46,661,531 and 46,670,894 shares issued and outstanding as of</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1"/>
        </w:trPr>
        <w:tc>
          <w:tcPr>
            <w:tcW w:w="6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January 31, 2024 and 2023, respectively</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285"/>
        </w:trPr>
        <w:tc>
          <w:tcPr>
            <w:tcW w:w="694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60" w:type="dxa"/>
            <w:vAlign w:val="bottom"/>
            <w:shd w:val="clear" w:color="auto" w:fill="DEDEDE"/>
          </w:tcPr>
          <w:p>
            <w:pPr>
              <w:spacing w:after="0"/>
              <w:rPr>
                <w:sz w:val="24"/>
                <w:szCs w:val="24"/>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5,228,756</w:t>
            </w:r>
          </w:p>
        </w:tc>
        <w:tc>
          <w:tcPr>
            <w:tcW w:w="80" w:type="dxa"/>
            <w:vAlign w:val="bottom"/>
            <w:shd w:val="clear" w:color="auto" w:fill="DEDEDE"/>
          </w:tcPr>
          <w:p>
            <w:pPr>
              <w:spacing w:after="0"/>
              <w:rPr>
                <w:sz w:val="24"/>
                <w:szCs w:val="24"/>
                <w:color w:val="auto"/>
              </w:rPr>
            </w:pPr>
          </w:p>
        </w:tc>
        <w:tc>
          <w:tcPr>
            <w:tcW w:w="56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4,104,880</w:t>
            </w:r>
          </w:p>
        </w:tc>
      </w:tr>
      <w:tr>
        <w:trPr>
          <w:trHeight w:val="268"/>
        </w:trPr>
        <w:tc>
          <w:tcPr>
            <w:tcW w:w="6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(50,385)</w:t>
            </w:r>
          </w:p>
        </w:tc>
      </w:tr>
      <w:tr>
        <w:trPr>
          <w:trHeight w:val="292"/>
        </w:trPr>
        <w:tc>
          <w:tcPr>
            <w:tcW w:w="6940" w:type="dxa"/>
            <w:vAlign w:val="bottom"/>
            <w:tcBorders>
              <w:bottom w:val="single" w:sz="8" w:color="DEDEDE"/>
            </w:tcBorders>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Retained earnings</w:t>
            </w:r>
          </w:p>
        </w:tc>
        <w:tc>
          <w:tcPr>
            <w:tcW w:w="360" w:type="dxa"/>
            <w:vAlign w:val="bottom"/>
            <w:tcBorders>
              <w:bottom w:val="single" w:sz="8" w:color="auto"/>
            </w:tcBorders>
            <w:shd w:val="clear" w:color="auto" w:fill="DEDEDE"/>
          </w:tcPr>
          <w:p>
            <w:pPr>
              <w:spacing w:after="0"/>
              <w:rPr>
                <w:sz w:val="24"/>
                <w:szCs w:val="24"/>
                <w:color w:val="auto"/>
              </w:rPr>
            </w:pPr>
          </w:p>
        </w:tc>
        <w:tc>
          <w:tcPr>
            <w:tcW w:w="10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2,789,280</w:t>
            </w:r>
          </w:p>
        </w:tc>
        <w:tc>
          <w:tcPr>
            <w:tcW w:w="80" w:type="dxa"/>
            <w:vAlign w:val="bottom"/>
            <w:tcBorders>
              <w:bottom w:val="single" w:sz="8" w:color="DEDEDE"/>
            </w:tcBorders>
            <w:shd w:val="clear" w:color="auto" w:fill="DEDEDE"/>
          </w:tcPr>
          <w:p>
            <w:pPr>
              <w:spacing w:after="0"/>
              <w:rPr>
                <w:sz w:val="24"/>
                <w:szCs w:val="24"/>
                <w:color w:val="auto"/>
              </w:rPr>
            </w:pPr>
          </w:p>
        </w:tc>
        <w:tc>
          <w:tcPr>
            <w:tcW w:w="56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2,151,818</w:t>
            </w:r>
          </w:p>
        </w:tc>
      </w:tr>
      <w:tr>
        <w:trPr>
          <w:trHeight w:val="239"/>
        </w:trPr>
        <w:tc>
          <w:tcPr>
            <w:tcW w:w="694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8,019,406</w:t>
            </w:r>
          </w:p>
        </w:tc>
        <w:tc>
          <w:tcPr>
            <w:tcW w:w="80" w:type="dxa"/>
            <w:vAlign w:val="bottom"/>
            <w:tcBorders>
              <w:bottom w:val="single" w:sz="8" w:color="DEDEDE"/>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6,206,607</w:t>
            </w:r>
          </w:p>
        </w:tc>
      </w:tr>
      <w:tr>
        <w:trPr>
          <w:trHeight w:val="276"/>
        </w:trPr>
        <w:tc>
          <w:tcPr>
            <w:tcW w:w="694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360" w:type="dxa"/>
            <w:vAlign w:val="bottom"/>
            <w:tcBorders>
              <w:bottom w:val="single" w:sz="8" w:color="auto"/>
            </w:tcBorders>
            <w:shd w:val="clear" w:color="auto" w:fill="DEDEDE"/>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9,929,793</w:t>
            </w:r>
          </w:p>
        </w:tc>
        <w:tc>
          <w:tcPr>
            <w:tcW w:w="80" w:type="dxa"/>
            <w:vAlign w:val="bottom"/>
            <w:tcBorders>
              <w:bottom w:val="single" w:sz="8" w:color="DEDEDE"/>
            </w:tcBorders>
            <w:shd w:val="clear" w:color="auto" w:fill="DEDEDE"/>
          </w:tcPr>
          <w:p>
            <w:pPr>
              <w:spacing w:after="0"/>
              <w:rPr>
                <w:sz w:val="24"/>
                <w:szCs w:val="24"/>
                <w:color w:val="auto"/>
              </w:rPr>
            </w:pPr>
          </w:p>
        </w:tc>
        <w:tc>
          <w:tcPr>
            <w:tcW w:w="560" w:type="dxa"/>
            <w:vAlign w:val="bottom"/>
            <w:tcBorders>
              <w:bottom w:val="single" w:sz="8" w:color="auto"/>
            </w:tcBorders>
            <w:shd w:val="clear" w:color="auto" w:fill="DEDEDE"/>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8,128,065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-3935095</wp:posOffset>
            </wp:positionV>
            <wp:extent cx="1911350" cy="50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extLst>
                    </a:blip>
                    <a:srcRect/>
                    <a:stretch>
                      <a:fillRect/>
                    </a:stretch>
                  </pic:blipFill>
                  <pic:spPr bwMode="auto">
                    <a:xfrm>
                      <a:off x="0" y="0"/>
                      <a:ext cx="1911350" cy="5016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-43180</wp:posOffset>
            </wp:positionV>
            <wp:extent cx="1911350" cy="50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extLst>
                    </a:blip>
                    <a:srcRect/>
                    <a:stretch>
                      <a:fillRect/>
                    </a:stretch>
                  </pic:blipFill>
                  <pic:spPr bwMode="auto">
                    <a:xfrm>
                      <a:off x="0" y="0"/>
                      <a:ext cx="1911350" cy="5016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The accompanying notes are an integral part of these consolidated financial statements.</w:t>
      </w:r>
    </w:p>
    <w:p>
      <w:pPr>
        <w:sectPr>
          <w:pgSz w:w="11880" w:h="15480" w:orient="portrait"/>
          <w:cols w:equalWidth="0" w:num="1">
            <w:col w:w="9920"/>
          </w:cols>
          <w:pgMar w:left="980" w:top="81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ectPr>
          <w:pgSz w:w="11880" w:h="15480" w:orient="portrait"/>
          <w:cols w:equalWidth="0" w:num="1">
            <w:col w:w="9920"/>
          </w:cols>
          <w:pgMar w:left="980" w:top="815" w:right="980" w:bottom="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9"/>
          <w:szCs w:val="19"/>
          <w:b w:val="1"/>
          <w:bCs w:val="1"/>
          <w:color w:val="auto"/>
        </w:rPr>
        <w:t>ZOOM VIDEO COMMUNICATIONS,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share and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Year Ended January 31,</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28"/>
        </w:trPr>
        <w:tc>
          <w:tcPr>
            <w:tcW w:w="516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7"/>
        </w:trPr>
        <w:tc>
          <w:tcPr>
            <w:tcW w:w="51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Revenue</w:t>
            </w:r>
          </w:p>
        </w:tc>
        <w:tc>
          <w:tcPr>
            <w:tcW w:w="320" w:type="dxa"/>
            <w:vAlign w:val="bottom"/>
            <w:shd w:val="clear" w:color="auto" w:fill="DEDEDE"/>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4,527,224</w:t>
            </w:r>
          </w:p>
        </w:tc>
        <w:tc>
          <w:tcPr>
            <w:tcW w:w="400" w:type="dxa"/>
            <w:vAlign w:val="bottom"/>
            <w:gridSpan w:val="2"/>
            <w:shd w:val="clear" w:color="auto" w:fill="DEDEDE"/>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4,392,960</w:t>
            </w:r>
          </w:p>
        </w:tc>
        <w:tc>
          <w:tcPr>
            <w:tcW w:w="60" w:type="dxa"/>
            <w:vAlign w:val="bottom"/>
            <w:shd w:val="clear" w:color="auto" w:fill="DEDEDE"/>
          </w:tcPr>
          <w:p>
            <w:pPr>
              <w:spacing w:after="0"/>
              <w:rPr>
                <w:sz w:val="23"/>
                <w:szCs w:val="23"/>
                <w:color w:val="auto"/>
              </w:rPr>
            </w:pPr>
          </w:p>
        </w:tc>
        <w:tc>
          <w:tcPr>
            <w:tcW w:w="320" w:type="dxa"/>
            <w:vAlign w:val="bottom"/>
            <w:shd w:val="clear" w:color="auto" w:fill="DEDEDE"/>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4,099,864</w:t>
            </w:r>
          </w:p>
        </w:tc>
      </w:tr>
      <w:tr>
        <w:trPr>
          <w:trHeight w:val="266"/>
        </w:trPr>
        <w:tc>
          <w:tcPr>
            <w:tcW w:w="516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9"/>
                <w:szCs w:val="19"/>
                <w:color w:val="auto"/>
              </w:rPr>
              <w:t>Cost of revenue</w:t>
            </w: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1,077,801</w:t>
            </w:r>
          </w:p>
        </w:tc>
        <w:tc>
          <w:tcPr>
            <w:tcW w:w="60" w:type="dxa"/>
            <w:vAlign w:val="bottom"/>
            <w:tcBorders>
              <w:bottom w:val="single" w:sz="8" w:color="DEDEDE"/>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1,100,451</w:t>
            </w:r>
          </w:p>
        </w:tc>
        <w:tc>
          <w:tcPr>
            <w:tcW w:w="60" w:type="dxa"/>
            <w:vAlign w:val="bottom"/>
            <w:tcBorders>
              <w:bottom w:val="single" w:sz="8" w:color="DEDED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1,054,554</w:t>
            </w:r>
          </w:p>
        </w:tc>
      </w:tr>
      <w:tr>
        <w:trPr>
          <w:trHeight w:val="276"/>
        </w:trPr>
        <w:tc>
          <w:tcPr>
            <w:tcW w:w="516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Gross profit</w:t>
            </w:r>
          </w:p>
        </w:tc>
        <w:tc>
          <w:tcPr>
            <w:tcW w:w="320" w:type="dxa"/>
            <w:vAlign w:val="bottom"/>
            <w:tcBorders>
              <w:bottom w:val="single" w:sz="8" w:color="auto"/>
            </w:tcBorders>
            <w:shd w:val="clear" w:color="auto" w:fill="DEDEDE"/>
          </w:tcPr>
          <w:p>
            <w:pPr>
              <w:spacing w:after="0"/>
              <w:rPr>
                <w:sz w:val="24"/>
                <w:szCs w:val="24"/>
                <w:color w:val="auto"/>
              </w:rPr>
            </w:pPr>
          </w:p>
        </w:tc>
        <w:tc>
          <w:tcPr>
            <w:tcW w:w="12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3,449,423</w:t>
            </w:r>
          </w:p>
        </w:tc>
        <w:tc>
          <w:tcPr>
            <w:tcW w:w="60" w:type="dxa"/>
            <w:vAlign w:val="bottom"/>
            <w:tcBorders>
              <w:bottom w:val="single" w:sz="8" w:color="DEDEDE"/>
            </w:tcBorders>
            <w:shd w:val="clear" w:color="auto" w:fill="DEDEDE"/>
          </w:tcPr>
          <w:p>
            <w:pPr>
              <w:spacing w:after="0"/>
              <w:rPr>
                <w:sz w:val="24"/>
                <w:szCs w:val="24"/>
                <w:color w:val="auto"/>
              </w:rPr>
            </w:pPr>
          </w:p>
        </w:tc>
        <w:tc>
          <w:tcPr>
            <w:tcW w:w="340" w:type="dxa"/>
            <w:vAlign w:val="bottom"/>
            <w:tcBorders>
              <w:bottom w:val="single" w:sz="8" w:color="auto"/>
            </w:tcBorders>
            <w:shd w:val="clear" w:color="auto" w:fill="DEDEDE"/>
          </w:tcPr>
          <w:p>
            <w:pPr>
              <w:spacing w:after="0"/>
              <w:rPr>
                <w:sz w:val="24"/>
                <w:szCs w:val="24"/>
                <w:color w:val="auto"/>
              </w:rPr>
            </w:pPr>
          </w:p>
        </w:tc>
        <w:tc>
          <w:tcPr>
            <w:tcW w:w="12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3,292,509</w:t>
            </w:r>
          </w:p>
        </w:tc>
        <w:tc>
          <w:tcPr>
            <w:tcW w:w="6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2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3,045,310</w:t>
            </w:r>
          </w:p>
        </w:tc>
      </w:tr>
      <w:tr>
        <w:trPr>
          <w:trHeight w:val="241"/>
        </w:trPr>
        <w:tc>
          <w:tcPr>
            <w:tcW w:w="5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Operating expenses: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2"/>
        </w:trPr>
        <w:tc>
          <w:tcPr>
            <w:tcW w:w="516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9"/>
                <w:szCs w:val="19"/>
                <w:color w:val="auto"/>
              </w:rPr>
              <w:t>Research and development</w:t>
            </w:r>
          </w:p>
        </w:tc>
        <w:tc>
          <w:tcPr>
            <w:tcW w:w="320" w:type="dxa"/>
            <w:vAlign w:val="bottom"/>
            <w:shd w:val="clear" w:color="auto" w:fill="DEDEDE"/>
          </w:tcPr>
          <w:p>
            <w:pPr>
              <w:spacing w:after="0"/>
              <w:rPr>
                <w:sz w:val="24"/>
                <w:szCs w:val="24"/>
                <w:color w:val="auto"/>
              </w:rPr>
            </w:pPr>
          </w:p>
        </w:tc>
        <w:tc>
          <w:tcPr>
            <w:tcW w:w="1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803,187</w:t>
            </w: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774,059</w:t>
            </w:r>
          </w:p>
        </w:tc>
        <w:tc>
          <w:tcPr>
            <w:tcW w:w="6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362,990</w:t>
            </w:r>
          </w:p>
        </w:tc>
      </w:tr>
      <w:tr>
        <w:trPr>
          <w:trHeight w:val="271"/>
        </w:trPr>
        <w:tc>
          <w:tcPr>
            <w:tcW w:w="516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Sales and marketing</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1,541,307</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1,696,590</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1,135,959</w:t>
            </w:r>
          </w:p>
        </w:tc>
      </w:tr>
      <w:tr>
        <w:trPr>
          <w:trHeight w:val="292"/>
        </w:trPr>
        <w:tc>
          <w:tcPr>
            <w:tcW w:w="5160" w:type="dxa"/>
            <w:vAlign w:val="bottom"/>
            <w:tcBorders>
              <w:bottom w:val="single" w:sz="8" w:color="DEDEDE"/>
            </w:tcBorders>
            <w:shd w:val="clear" w:color="auto" w:fill="DEDEDE"/>
          </w:tcPr>
          <w:p>
            <w:pPr>
              <w:ind w:left="28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320" w:type="dxa"/>
            <w:vAlign w:val="bottom"/>
            <w:tcBorders>
              <w:bottom w:val="single" w:sz="8" w:color="auto"/>
            </w:tcBorders>
            <w:shd w:val="clear" w:color="auto" w:fill="DEDEDE"/>
          </w:tcPr>
          <w:p>
            <w:pPr>
              <w:spacing w:after="0"/>
              <w:rPr>
                <w:sz w:val="24"/>
                <w:szCs w:val="24"/>
                <w:color w:val="auto"/>
              </w:rPr>
            </w:pPr>
          </w:p>
        </w:tc>
        <w:tc>
          <w:tcPr>
            <w:tcW w:w="12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579,650</w:t>
            </w:r>
          </w:p>
        </w:tc>
        <w:tc>
          <w:tcPr>
            <w:tcW w:w="60" w:type="dxa"/>
            <w:vAlign w:val="bottom"/>
            <w:tcBorders>
              <w:bottom w:val="single" w:sz="8" w:color="DEDEDE"/>
            </w:tcBorders>
            <w:shd w:val="clear" w:color="auto" w:fill="DEDEDE"/>
          </w:tcPr>
          <w:p>
            <w:pPr>
              <w:spacing w:after="0"/>
              <w:rPr>
                <w:sz w:val="24"/>
                <w:szCs w:val="24"/>
                <w:color w:val="auto"/>
              </w:rPr>
            </w:pPr>
          </w:p>
        </w:tc>
        <w:tc>
          <w:tcPr>
            <w:tcW w:w="340" w:type="dxa"/>
            <w:vAlign w:val="bottom"/>
            <w:tcBorders>
              <w:bottom w:val="single" w:sz="8" w:color="auto"/>
            </w:tcBorders>
            <w:shd w:val="clear" w:color="auto" w:fill="DEDEDE"/>
          </w:tcPr>
          <w:p>
            <w:pPr>
              <w:spacing w:after="0"/>
              <w:rPr>
                <w:sz w:val="24"/>
                <w:szCs w:val="24"/>
                <w:color w:val="auto"/>
              </w:rPr>
            </w:pPr>
          </w:p>
        </w:tc>
        <w:tc>
          <w:tcPr>
            <w:tcW w:w="12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576,431</w:t>
            </w:r>
          </w:p>
        </w:tc>
        <w:tc>
          <w:tcPr>
            <w:tcW w:w="6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2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482,770</w:t>
            </w:r>
          </w:p>
        </w:tc>
      </w:tr>
      <w:tr>
        <w:trPr>
          <w:trHeight w:val="237"/>
        </w:trPr>
        <w:tc>
          <w:tcPr>
            <w:tcW w:w="5160" w:type="dxa"/>
            <w:vAlign w:val="bottom"/>
            <w:tcBorders>
              <w:bottom w:val="single" w:sz="8" w:color="DEDEDE"/>
            </w:tcBorders>
          </w:tcPr>
          <w:p>
            <w:pPr>
              <w:ind w:left="540"/>
              <w:spacing w:after="0"/>
              <w:rPr>
                <w:sz w:val="20"/>
                <w:szCs w:val="20"/>
                <w:color w:val="auto"/>
              </w:rPr>
            </w:pPr>
            <w:r>
              <w:rPr>
                <w:rFonts w:ascii="Times New Roman" w:cs="Times New Roman" w:eastAsia="Times New Roman" w:hAnsi="Times New Roman"/>
                <w:sz w:val="19"/>
                <w:szCs w:val="19"/>
                <w:color w:val="auto"/>
              </w:rPr>
              <w:t>Total operating expenses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2,924,144</w:t>
            </w:r>
          </w:p>
        </w:tc>
        <w:tc>
          <w:tcPr>
            <w:tcW w:w="60" w:type="dxa"/>
            <w:vAlign w:val="bottom"/>
            <w:tcBorders>
              <w:bottom w:val="single" w:sz="8" w:color="DEDED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3,047,080</w:t>
            </w:r>
          </w:p>
        </w:tc>
        <w:tc>
          <w:tcPr>
            <w:tcW w:w="60" w:type="dxa"/>
            <w:vAlign w:val="bottom"/>
            <w:tcBorders>
              <w:bottom w:val="single" w:sz="8" w:color="DEDED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1,981,719</w:t>
            </w:r>
          </w:p>
        </w:tc>
      </w:tr>
      <w:tr>
        <w:trPr>
          <w:trHeight w:val="267"/>
        </w:trPr>
        <w:tc>
          <w:tcPr>
            <w:tcW w:w="51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Income from operations</w:t>
            </w:r>
          </w:p>
        </w:tc>
        <w:tc>
          <w:tcPr>
            <w:tcW w:w="320" w:type="dxa"/>
            <w:vAlign w:val="bottom"/>
            <w:shd w:val="clear" w:color="auto" w:fill="DEDEDE"/>
          </w:tcPr>
          <w:p>
            <w:pPr>
              <w:spacing w:after="0"/>
              <w:rPr>
                <w:sz w:val="23"/>
                <w:szCs w:val="23"/>
                <w:color w:val="auto"/>
              </w:rPr>
            </w:pPr>
          </w:p>
        </w:tc>
        <w:tc>
          <w:tcPr>
            <w:tcW w:w="1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525,279</w:t>
            </w:r>
          </w:p>
        </w:tc>
        <w:tc>
          <w:tcPr>
            <w:tcW w:w="60" w:type="dxa"/>
            <w:vAlign w:val="bottom"/>
            <w:shd w:val="clear" w:color="auto" w:fill="DEDEDE"/>
          </w:tcPr>
          <w:p>
            <w:pPr>
              <w:spacing w:after="0"/>
              <w:rPr>
                <w:sz w:val="23"/>
                <w:szCs w:val="23"/>
                <w:color w:val="auto"/>
              </w:rPr>
            </w:pPr>
          </w:p>
        </w:tc>
        <w:tc>
          <w:tcPr>
            <w:tcW w:w="340" w:type="dxa"/>
            <w:vAlign w:val="bottom"/>
            <w:shd w:val="clear" w:color="auto" w:fill="DEDEDE"/>
          </w:tcPr>
          <w:p>
            <w:pPr>
              <w:spacing w:after="0"/>
              <w:rPr>
                <w:sz w:val="23"/>
                <w:szCs w:val="23"/>
                <w:color w:val="auto"/>
              </w:rPr>
            </w:pPr>
          </w:p>
        </w:tc>
        <w:tc>
          <w:tcPr>
            <w:tcW w:w="1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245,429</w:t>
            </w:r>
          </w:p>
        </w:tc>
        <w:tc>
          <w:tcPr>
            <w:tcW w:w="60" w:type="dxa"/>
            <w:vAlign w:val="bottom"/>
            <w:shd w:val="clear" w:color="auto" w:fill="DEDEDE"/>
          </w:tcPr>
          <w:p>
            <w:pPr>
              <w:spacing w:after="0"/>
              <w:rPr>
                <w:sz w:val="23"/>
                <w:szCs w:val="23"/>
                <w:color w:val="auto"/>
              </w:rPr>
            </w:pPr>
          </w:p>
        </w:tc>
        <w:tc>
          <w:tcPr>
            <w:tcW w:w="320" w:type="dxa"/>
            <w:vAlign w:val="bottom"/>
            <w:shd w:val="clear" w:color="auto" w:fill="DEDEDE"/>
          </w:tcPr>
          <w:p>
            <w:pPr>
              <w:spacing w:after="0"/>
              <w:rPr>
                <w:sz w:val="23"/>
                <w:szCs w:val="23"/>
                <w:color w:val="auto"/>
              </w:rPr>
            </w:pPr>
          </w:p>
        </w:tc>
        <w:tc>
          <w:tcPr>
            <w:tcW w:w="1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1,063,591</w:t>
            </w:r>
          </w:p>
        </w:tc>
      </w:tr>
      <w:tr>
        <w:trPr>
          <w:trHeight w:val="271"/>
        </w:trPr>
        <w:tc>
          <w:tcPr>
            <w:tcW w:w="5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Gains (losses) on strategic investments, net</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109,770</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(37,571)</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43,761</w:t>
            </w:r>
          </w:p>
        </w:tc>
      </w:tr>
      <w:tr>
        <w:trPr>
          <w:trHeight w:val="292"/>
        </w:trPr>
        <w:tc>
          <w:tcPr>
            <w:tcW w:w="516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Other income (expense), net</w:t>
            </w:r>
          </w:p>
        </w:tc>
        <w:tc>
          <w:tcPr>
            <w:tcW w:w="320" w:type="dxa"/>
            <w:vAlign w:val="bottom"/>
            <w:tcBorders>
              <w:bottom w:val="single" w:sz="8" w:color="auto"/>
            </w:tcBorders>
            <w:shd w:val="clear" w:color="auto" w:fill="DEDEDE"/>
          </w:tcPr>
          <w:p>
            <w:pPr>
              <w:spacing w:after="0"/>
              <w:rPr>
                <w:sz w:val="24"/>
                <w:szCs w:val="24"/>
                <w:color w:val="auto"/>
              </w:rPr>
            </w:pPr>
          </w:p>
        </w:tc>
        <w:tc>
          <w:tcPr>
            <w:tcW w:w="12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197,263</w:t>
            </w:r>
          </w:p>
        </w:tc>
        <w:tc>
          <w:tcPr>
            <w:tcW w:w="60" w:type="dxa"/>
            <w:vAlign w:val="bottom"/>
            <w:tcBorders>
              <w:bottom w:val="single" w:sz="8" w:color="DEDEDE"/>
            </w:tcBorders>
            <w:shd w:val="clear" w:color="auto" w:fill="DEDEDE"/>
          </w:tcPr>
          <w:p>
            <w:pPr>
              <w:spacing w:after="0"/>
              <w:rPr>
                <w:sz w:val="24"/>
                <w:szCs w:val="24"/>
                <w:color w:val="auto"/>
              </w:rPr>
            </w:pPr>
          </w:p>
        </w:tc>
        <w:tc>
          <w:tcPr>
            <w:tcW w:w="340" w:type="dxa"/>
            <w:vAlign w:val="bottom"/>
            <w:tcBorders>
              <w:bottom w:val="single" w:sz="8" w:color="auto"/>
            </w:tcBorders>
            <w:shd w:val="clear" w:color="auto" w:fill="DEDEDE"/>
          </w:tcPr>
          <w:p>
            <w:pPr>
              <w:spacing w:after="0"/>
              <w:rPr>
                <w:sz w:val="24"/>
                <w:szCs w:val="24"/>
                <w:color w:val="auto"/>
              </w:rPr>
            </w:pPr>
          </w:p>
        </w:tc>
        <w:tc>
          <w:tcPr>
            <w:tcW w:w="12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41,418</w:t>
            </w:r>
          </w:p>
        </w:tc>
        <w:tc>
          <w:tcPr>
            <w:tcW w:w="6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2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(5,720)</w:t>
            </w:r>
          </w:p>
        </w:tc>
      </w:tr>
      <w:tr>
        <w:trPr>
          <w:trHeight w:val="241"/>
        </w:trPr>
        <w:tc>
          <w:tcPr>
            <w:tcW w:w="5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Income before provision for (benefit from) income taxes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832,312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249,276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1,101,632</w:t>
            </w:r>
          </w:p>
        </w:tc>
      </w:tr>
      <w:tr>
        <w:trPr>
          <w:trHeight w:val="292"/>
        </w:trPr>
        <w:tc>
          <w:tcPr>
            <w:tcW w:w="516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Provision for (benefit from) income taxes</w:t>
            </w:r>
          </w:p>
        </w:tc>
        <w:tc>
          <w:tcPr>
            <w:tcW w:w="320" w:type="dxa"/>
            <w:vAlign w:val="bottom"/>
            <w:tcBorders>
              <w:bottom w:val="single" w:sz="8" w:color="auto"/>
            </w:tcBorders>
            <w:shd w:val="clear" w:color="auto" w:fill="DEDEDE"/>
          </w:tcPr>
          <w:p>
            <w:pPr>
              <w:spacing w:after="0"/>
              <w:rPr>
                <w:sz w:val="24"/>
                <w:szCs w:val="24"/>
                <w:color w:val="auto"/>
              </w:rPr>
            </w:pPr>
          </w:p>
        </w:tc>
        <w:tc>
          <w:tcPr>
            <w:tcW w:w="12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194,850</w:t>
            </w:r>
          </w:p>
        </w:tc>
        <w:tc>
          <w:tcPr>
            <w:tcW w:w="60" w:type="dxa"/>
            <w:vAlign w:val="bottom"/>
            <w:tcBorders>
              <w:bottom w:val="single" w:sz="8" w:color="DEDEDE"/>
            </w:tcBorders>
            <w:shd w:val="clear" w:color="auto" w:fill="DEDEDE"/>
          </w:tcPr>
          <w:p>
            <w:pPr>
              <w:spacing w:after="0"/>
              <w:rPr>
                <w:sz w:val="24"/>
                <w:szCs w:val="24"/>
                <w:color w:val="auto"/>
              </w:rPr>
            </w:pPr>
          </w:p>
        </w:tc>
        <w:tc>
          <w:tcPr>
            <w:tcW w:w="340" w:type="dxa"/>
            <w:vAlign w:val="bottom"/>
            <w:tcBorders>
              <w:bottom w:val="single" w:sz="8" w:color="auto"/>
            </w:tcBorders>
            <w:shd w:val="clear" w:color="auto" w:fill="DEDEDE"/>
          </w:tcPr>
          <w:p>
            <w:pPr>
              <w:spacing w:after="0"/>
              <w:rPr>
                <w:sz w:val="24"/>
                <w:szCs w:val="24"/>
                <w:color w:val="auto"/>
              </w:rPr>
            </w:pPr>
          </w:p>
        </w:tc>
        <w:tc>
          <w:tcPr>
            <w:tcW w:w="12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145,565</w:t>
            </w:r>
          </w:p>
        </w:tc>
        <w:tc>
          <w:tcPr>
            <w:tcW w:w="6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2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(274,007)</w:t>
            </w:r>
          </w:p>
        </w:tc>
      </w:tr>
      <w:tr>
        <w:trPr>
          <w:trHeight w:val="241"/>
        </w:trPr>
        <w:tc>
          <w:tcPr>
            <w:tcW w:w="5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Net income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637,462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103,711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1,375,639</w:t>
            </w:r>
          </w:p>
        </w:tc>
      </w:tr>
      <w:tr>
        <w:trPr>
          <w:trHeight w:val="292"/>
        </w:trPr>
        <w:tc>
          <w:tcPr>
            <w:tcW w:w="516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Undistributed earnings attributable to participating securities</w:t>
            </w:r>
          </w:p>
        </w:tc>
        <w:tc>
          <w:tcPr>
            <w:tcW w:w="320" w:type="dxa"/>
            <w:vAlign w:val="bottom"/>
            <w:tcBorders>
              <w:bottom w:val="single" w:sz="8" w:color="auto"/>
            </w:tcBorders>
            <w:shd w:val="clear" w:color="auto" w:fill="DEDEDE"/>
          </w:tcPr>
          <w:p>
            <w:pPr>
              <w:spacing w:after="0"/>
              <w:rPr>
                <w:sz w:val="24"/>
                <w:szCs w:val="24"/>
                <w:color w:val="auto"/>
              </w:rPr>
            </w:pPr>
          </w:p>
        </w:tc>
        <w:tc>
          <w:tcPr>
            <w:tcW w:w="12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EDEDE"/>
            </w:tcBorders>
            <w:shd w:val="clear" w:color="auto" w:fill="DEDEDE"/>
          </w:tcPr>
          <w:p>
            <w:pPr>
              <w:spacing w:after="0"/>
              <w:rPr>
                <w:sz w:val="24"/>
                <w:szCs w:val="24"/>
                <w:color w:val="auto"/>
              </w:rPr>
            </w:pPr>
          </w:p>
        </w:tc>
        <w:tc>
          <w:tcPr>
            <w:tcW w:w="340" w:type="dxa"/>
            <w:vAlign w:val="bottom"/>
            <w:tcBorders>
              <w:bottom w:val="single" w:sz="8" w:color="auto"/>
            </w:tcBorders>
            <w:shd w:val="clear" w:color="auto" w:fill="DEDEDE"/>
          </w:tcPr>
          <w:p>
            <w:pPr>
              <w:spacing w:after="0"/>
              <w:rPr>
                <w:sz w:val="24"/>
                <w:szCs w:val="24"/>
                <w:color w:val="auto"/>
              </w:rPr>
            </w:pPr>
          </w:p>
        </w:tc>
        <w:tc>
          <w:tcPr>
            <w:tcW w:w="12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6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2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(582)</w:t>
            </w:r>
          </w:p>
        </w:tc>
      </w:tr>
      <w:tr>
        <w:trPr>
          <w:trHeight w:val="256"/>
        </w:trPr>
        <w:tc>
          <w:tcPr>
            <w:tcW w:w="5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Net income attributable to common stockholders</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637,462</w:t>
            </w:r>
          </w:p>
        </w:tc>
        <w:tc>
          <w:tcPr>
            <w:tcW w:w="40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103,704</w:t>
            </w:r>
          </w:p>
        </w:tc>
        <w:tc>
          <w:tcPr>
            <w:tcW w:w="60" w:type="dxa"/>
            <w:vAlign w:val="bottom"/>
          </w:tcPr>
          <w:p>
            <w:pPr>
              <w:spacing w:after="0"/>
              <w:rPr>
                <w:sz w:val="22"/>
                <w:szCs w:val="22"/>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1,375,057</w:t>
            </w:r>
          </w:p>
        </w:tc>
      </w:tr>
      <w:tr>
        <w:trPr>
          <w:trHeight w:val="242"/>
        </w:trPr>
        <w:tc>
          <w:tcPr>
            <w:tcW w:w="5160" w:type="dxa"/>
            <w:vAlign w:val="bottom"/>
            <w:tcBorders>
              <w:top w:val="single" w:sz="8" w:color="DEDEDE"/>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Net income per share attributable to common stockholders:</w:t>
            </w:r>
          </w:p>
        </w:tc>
        <w:tc>
          <w:tcPr>
            <w:tcW w:w="320" w:type="dxa"/>
            <w:vAlign w:val="bottom"/>
            <w:tcBorders>
              <w:top w:val="single" w:sz="8" w:color="auto"/>
              <w:bottom w:val="single" w:sz="8" w:color="DEDEDE"/>
            </w:tcBorders>
            <w:shd w:val="clear" w:color="auto" w:fill="DEDEDE"/>
          </w:tcPr>
          <w:p>
            <w:pPr>
              <w:spacing w:after="0"/>
              <w:rPr>
                <w:sz w:val="21"/>
                <w:szCs w:val="21"/>
                <w:color w:val="auto"/>
              </w:rPr>
            </w:pPr>
          </w:p>
        </w:tc>
        <w:tc>
          <w:tcPr>
            <w:tcW w:w="1240" w:type="dxa"/>
            <w:vAlign w:val="bottom"/>
            <w:tcBorders>
              <w:top w:val="single" w:sz="8" w:color="auto"/>
              <w:bottom w:val="single" w:sz="8" w:color="DEDEDE"/>
            </w:tcBorders>
            <w:shd w:val="clear" w:color="auto" w:fill="DEDEDE"/>
          </w:tcPr>
          <w:p>
            <w:pPr>
              <w:spacing w:after="0"/>
              <w:rPr>
                <w:sz w:val="21"/>
                <w:szCs w:val="21"/>
                <w:color w:val="auto"/>
              </w:rPr>
            </w:pPr>
          </w:p>
        </w:tc>
        <w:tc>
          <w:tcPr>
            <w:tcW w:w="60" w:type="dxa"/>
            <w:vAlign w:val="bottom"/>
            <w:tcBorders>
              <w:top w:val="single" w:sz="8" w:color="DEDEDE"/>
              <w:bottom w:val="single" w:sz="8" w:color="DEDEDE"/>
            </w:tcBorders>
            <w:shd w:val="clear" w:color="auto" w:fill="DEDEDE"/>
          </w:tcPr>
          <w:p>
            <w:pPr>
              <w:spacing w:after="0"/>
              <w:rPr>
                <w:sz w:val="21"/>
                <w:szCs w:val="21"/>
                <w:color w:val="auto"/>
              </w:rPr>
            </w:pPr>
          </w:p>
        </w:tc>
        <w:tc>
          <w:tcPr>
            <w:tcW w:w="340" w:type="dxa"/>
            <w:vAlign w:val="bottom"/>
            <w:tcBorders>
              <w:top w:val="single" w:sz="8" w:color="auto"/>
              <w:bottom w:val="single" w:sz="8" w:color="DEDEDE"/>
            </w:tcBorders>
            <w:shd w:val="clear" w:color="auto" w:fill="DEDEDE"/>
          </w:tcPr>
          <w:p>
            <w:pPr>
              <w:spacing w:after="0"/>
              <w:rPr>
                <w:sz w:val="21"/>
                <w:szCs w:val="21"/>
                <w:color w:val="auto"/>
              </w:rPr>
            </w:pPr>
          </w:p>
        </w:tc>
        <w:tc>
          <w:tcPr>
            <w:tcW w:w="1220" w:type="dxa"/>
            <w:vAlign w:val="bottom"/>
            <w:tcBorders>
              <w:top w:val="single" w:sz="8" w:color="auto"/>
              <w:bottom w:val="single" w:sz="8" w:color="DEDEDE"/>
            </w:tcBorders>
            <w:shd w:val="clear" w:color="auto" w:fill="DEDEDE"/>
          </w:tcPr>
          <w:p>
            <w:pPr>
              <w:spacing w:after="0"/>
              <w:rPr>
                <w:sz w:val="21"/>
                <w:szCs w:val="21"/>
                <w:color w:val="auto"/>
              </w:rPr>
            </w:pPr>
          </w:p>
        </w:tc>
        <w:tc>
          <w:tcPr>
            <w:tcW w:w="60" w:type="dxa"/>
            <w:vAlign w:val="bottom"/>
            <w:tcBorders>
              <w:top w:val="single" w:sz="8" w:color="DEDEDE"/>
              <w:bottom w:val="single" w:sz="8" w:color="DEDEDE"/>
            </w:tcBorders>
            <w:shd w:val="clear" w:color="auto" w:fill="DEDEDE"/>
          </w:tcPr>
          <w:p>
            <w:pPr>
              <w:spacing w:after="0"/>
              <w:rPr>
                <w:sz w:val="21"/>
                <w:szCs w:val="21"/>
                <w:color w:val="auto"/>
              </w:rPr>
            </w:pPr>
          </w:p>
        </w:tc>
        <w:tc>
          <w:tcPr>
            <w:tcW w:w="320" w:type="dxa"/>
            <w:vAlign w:val="bottom"/>
            <w:tcBorders>
              <w:top w:val="single" w:sz="8" w:color="auto"/>
              <w:bottom w:val="single" w:sz="8" w:color="DEDEDE"/>
            </w:tcBorders>
            <w:shd w:val="clear" w:color="auto" w:fill="DEDEDE"/>
          </w:tcPr>
          <w:p>
            <w:pPr>
              <w:spacing w:after="0"/>
              <w:rPr>
                <w:sz w:val="21"/>
                <w:szCs w:val="21"/>
                <w:color w:val="auto"/>
              </w:rPr>
            </w:pPr>
          </w:p>
        </w:tc>
        <w:tc>
          <w:tcPr>
            <w:tcW w:w="1240" w:type="dxa"/>
            <w:vAlign w:val="bottom"/>
            <w:tcBorders>
              <w:top w:val="single" w:sz="8" w:color="auto"/>
              <w:bottom w:val="single" w:sz="8" w:color="DEDEDE"/>
            </w:tcBorders>
            <w:shd w:val="clear" w:color="auto" w:fill="DEDEDE"/>
          </w:tcPr>
          <w:p>
            <w:pPr>
              <w:spacing w:after="0"/>
              <w:rPr>
                <w:sz w:val="21"/>
                <w:szCs w:val="21"/>
                <w:color w:val="auto"/>
              </w:rPr>
            </w:pPr>
          </w:p>
        </w:tc>
      </w:tr>
      <w:tr>
        <w:trPr>
          <w:trHeight w:val="286"/>
        </w:trPr>
        <w:tc>
          <w:tcPr>
            <w:tcW w:w="516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Basic</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2.12</w:t>
            </w:r>
          </w:p>
        </w:tc>
        <w:tc>
          <w:tcPr>
            <w:tcW w:w="40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0.35</w:t>
            </w:r>
          </w:p>
        </w:tc>
        <w:tc>
          <w:tcPr>
            <w:tcW w:w="60" w:type="dxa"/>
            <w:vAlign w:val="bottom"/>
          </w:tcPr>
          <w:p>
            <w:pPr>
              <w:spacing w:after="0"/>
              <w:rPr>
                <w:sz w:val="24"/>
                <w:szCs w:val="24"/>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4.64</w:t>
            </w:r>
          </w:p>
        </w:tc>
      </w:tr>
      <w:tr>
        <w:trPr>
          <w:trHeight w:val="257"/>
        </w:trPr>
        <w:tc>
          <w:tcPr>
            <w:tcW w:w="5160" w:type="dxa"/>
            <w:vAlign w:val="bottom"/>
            <w:tcBorders>
              <w:top w:val="single" w:sz="8" w:color="DEDEDE"/>
              <w:bottom w:val="single" w:sz="8" w:color="DEDEDE"/>
            </w:tcBorders>
            <w:shd w:val="clear" w:color="auto" w:fill="DEDEDE"/>
          </w:tcPr>
          <w:p>
            <w:pPr>
              <w:ind w:left="280"/>
              <w:spacing w:after="0"/>
              <w:rPr>
                <w:sz w:val="20"/>
                <w:szCs w:val="20"/>
                <w:color w:val="auto"/>
              </w:rPr>
            </w:pPr>
            <w:r>
              <w:rPr>
                <w:rFonts w:ascii="Times New Roman" w:cs="Times New Roman" w:eastAsia="Times New Roman" w:hAnsi="Times New Roman"/>
                <w:sz w:val="19"/>
                <w:szCs w:val="19"/>
                <w:color w:val="auto"/>
              </w:rPr>
              <w:t>Diluted</w:t>
            </w:r>
          </w:p>
        </w:tc>
        <w:tc>
          <w:tcPr>
            <w:tcW w:w="320" w:type="dxa"/>
            <w:vAlign w:val="bottom"/>
            <w:tcBorders>
              <w:top w:val="single" w:sz="8" w:color="auto"/>
              <w:bottom w:val="single" w:sz="8" w:color="auto"/>
            </w:tcBorders>
            <w:shd w:val="clear" w:color="auto" w:fill="DEDEDE"/>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2.07</w:t>
            </w:r>
          </w:p>
        </w:tc>
        <w:tc>
          <w:tcPr>
            <w:tcW w:w="60" w:type="dxa"/>
            <w:vAlign w:val="bottom"/>
            <w:tcBorders>
              <w:top w:val="single" w:sz="8" w:color="DEDEDE"/>
              <w:bottom w:val="single" w:sz="8" w:color="DEDEDE"/>
            </w:tcBorders>
            <w:shd w:val="clear" w:color="auto" w:fill="DEDEDE"/>
          </w:tcPr>
          <w:p>
            <w:pPr>
              <w:spacing w:after="0"/>
              <w:rPr>
                <w:sz w:val="22"/>
                <w:szCs w:val="22"/>
                <w:color w:val="auto"/>
              </w:rPr>
            </w:pPr>
          </w:p>
        </w:tc>
        <w:tc>
          <w:tcPr>
            <w:tcW w:w="340" w:type="dxa"/>
            <w:vAlign w:val="bottom"/>
            <w:tcBorders>
              <w:top w:val="single" w:sz="8" w:color="auto"/>
              <w:bottom w:val="single" w:sz="8" w:color="auto"/>
            </w:tcBorders>
            <w:shd w:val="clear" w:color="auto" w:fill="DEDEDE"/>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0.34</w:t>
            </w:r>
          </w:p>
        </w:tc>
        <w:tc>
          <w:tcPr>
            <w:tcW w:w="60" w:type="dxa"/>
            <w:vAlign w:val="bottom"/>
            <w:tcBorders>
              <w:top w:val="single" w:sz="8" w:color="DEDEDE"/>
              <w:bottom w:val="single" w:sz="8" w:color="DEDEDE"/>
            </w:tcBorders>
            <w:shd w:val="clear" w:color="auto" w:fill="DEDEDE"/>
          </w:tcPr>
          <w:p>
            <w:pPr>
              <w:spacing w:after="0"/>
              <w:rPr>
                <w:sz w:val="22"/>
                <w:szCs w:val="22"/>
                <w:color w:val="auto"/>
              </w:rPr>
            </w:pPr>
          </w:p>
        </w:tc>
        <w:tc>
          <w:tcPr>
            <w:tcW w:w="320" w:type="dxa"/>
            <w:vAlign w:val="bottom"/>
            <w:tcBorders>
              <w:top w:val="single" w:sz="8" w:color="auto"/>
              <w:bottom w:val="single" w:sz="8" w:color="auto"/>
            </w:tcBorders>
            <w:shd w:val="clear" w:color="auto" w:fill="DEDEDE"/>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4.50</w:t>
            </w:r>
          </w:p>
        </w:tc>
      </w:tr>
      <w:tr>
        <w:trPr>
          <w:trHeight w:val="172"/>
        </w:trPr>
        <w:tc>
          <w:tcPr>
            <w:tcW w:w="5160" w:type="dxa"/>
            <w:vAlign w:val="bottom"/>
          </w:tcPr>
          <w:p>
            <w:pPr>
              <w:ind w:left="60"/>
              <w:spacing w:after="0" w:line="172" w:lineRule="exact"/>
              <w:rPr>
                <w:sz w:val="20"/>
                <w:szCs w:val="20"/>
                <w:color w:val="auto"/>
              </w:rPr>
            </w:pPr>
            <w:r>
              <w:rPr>
                <w:rFonts w:ascii="Times New Roman" w:cs="Times New Roman" w:eastAsia="Times New Roman" w:hAnsi="Times New Roman"/>
                <w:sz w:val="19"/>
                <w:szCs w:val="19"/>
                <w:color w:val="auto"/>
              </w:rPr>
              <w:t>Weighted-average shares used in computing net income per</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59"/>
        </w:trPr>
        <w:tc>
          <w:tcPr>
            <w:tcW w:w="5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share attributable to common stockholders:</w:t>
            </w: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91"/>
        </w:trPr>
        <w:tc>
          <w:tcPr>
            <w:tcW w:w="5160" w:type="dxa"/>
            <w:vAlign w:val="bottom"/>
            <w:tcBorders>
              <w:bottom w:val="single" w:sz="8" w:color="DEDEDE"/>
            </w:tcBorders>
            <w:shd w:val="clear" w:color="auto" w:fill="DEDEDE"/>
          </w:tcPr>
          <w:p>
            <w:pPr>
              <w:ind w:left="280"/>
              <w:spacing w:after="0"/>
              <w:rPr>
                <w:sz w:val="20"/>
                <w:szCs w:val="20"/>
                <w:color w:val="auto"/>
              </w:rPr>
            </w:pPr>
            <w:r>
              <w:rPr>
                <w:rFonts w:ascii="Times New Roman" w:cs="Times New Roman" w:eastAsia="Times New Roman" w:hAnsi="Times New Roman"/>
                <w:sz w:val="19"/>
                <w:szCs w:val="19"/>
                <w:color w:val="auto"/>
              </w:rPr>
              <w:t>Basic</w:t>
            </w:r>
          </w:p>
        </w:tc>
        <w:tc>
          <w:tcPr>
            <w:tcW w:w="320" w:type="dxa"/>
            <w:vAlign w:val="bottom"/>
            <w:tcBorders>
              <w:bottom w:val="single" w:sz="8" w:color="auto"/>
            </w:tcBorders>
            <w:shd w:val="clear" w:color="auto" w:fill="DEDEDE"/>
          </w:tcPr>
          <w:p>
            <w:pPr>
              <w:spacing w:after="0"/>
              <w:rPr>
                <w:sz w:val="24"/>
                <w:szCs w:val="24"/>
                <w:color w:val="auto"/>
              </w:rPr>
            </w:pPr>
          </w:p>
        </w:tc>
        <w:tc>
          <w:tcPr>
            <w:tcW w:w="12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300,748,162</w:t>
            </w:r>
          </w:p>
        </w:tc>
        <w:tc>
          <w:tcPr>
            <w:tcW w:w="60" w:type="dxa"/>
            <w:vAlign w:val="bottom"/>
            <w:tcBorders>
              <w:bottom w:val="single" w:sz="8" w:color="DEDEDE"/>
            </w:tcBorders>
            <w:shd w:val="clear" w:color="auto" w:fill="DEDEDE"/>
          </w:tcPr>
          <w:p>
            <w:pPr>
              <w:spacing w:after="0"/>
              <w:rPr>
                <w:sz w:val="24"/>
                <w:szCs w:val="24"/>
                <w:color w:val="auto"/>
              </w:rPr>
            </w:pPr>
          </w:p>
        </w:tc>
        <w:tc>
          <w:tcPr>
            <w:tcW w:w="340" w:type="dxa"/>
            <w:vAlign w:val="bottom"/>
            <w:tcBorders>
              <w:bottom w:val="single" w:sz="8" w:color="auto"/>
            </w:tcBorders>
            <w:shd w:val="clear" w:color="auto" w:fill="DEDEDE"/>
          </w:tcPr>
          <w:p>
            <w:pPr>
              <w:spacing w:after="0"/>
              <w:rPr>
                <w:sz w:val="24"/>
                <w:szCs w:val="24"/>
                <w:color w:val="auto"/>
              </w:rPr>
            </w:pPr>
          </w:p>
        </w:tc>
        <w:tc>
          <w:tcPr>
            <w:tcW w:w="12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296,560,501</w:t>
            </w:r>
          </w:p>
        </w:tc>
        <w:tc>
          <w:tcPr>
            <w:tcW w:w="6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2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296,334,894</w:t>
            </w:r>
          </w:p>
        </w:tc>
      </w:tr>
      <w:tr>
        <w:trPr>
          <w:trHeight w:val="218"/>
        </w:trPr>
        <w:tc>
          <w:tcPr>
            <w:tcW w:w="516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Diluted</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308,519,897</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304,231,350</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305,826,505</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-1226185</wp:posOffset>
            </wp:positionV>
            <wp:extent cx="3075940" cy="50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extLst>
                    </a:blip>
                    <a:srcRect/>
                    <a:stretch>
                      <a:fillRect/>
                    </a:stretch>
                  </pic:blipFill>
                  <pic:spPr bwMode="auto">
                    <a:xfrm>
                      <a:off x="0" y="0"/>
                      <a:ext cx="3075940" cy="50165"/>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-865505</wp:posOffset>
            </wp:positionV>
            <wp:extent cx="3075940" cy="50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extLst>
                    </a:blip>
                    <a:srcRect/>
                    <a:stretch>
                      <a:fillRect/>
                    </a:stretch>
                  </pic:blipFill>
                  <pic:spPr bwMode="auto">
                    <a:xfrm>
                      <a:off x="0" y="0"/>
                      <a:ext cx="3075940" cy="50165"/>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-690245</wp:posOffset>
            </wp:positionV>
            <wp:extent cx="3075940" cy="50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extLst>
                    </a:blip>
                    <a:srcRect/>
                    <a:stretch>
                      <a:fillRect/>
                    </a:stretch>
                  </pic:blipFill>
                  <pic:spPr bwMode="auto">
                    <a:xfrm>
                      <a:off x="0" y="0"/>
                      <a:ext cx="3075940" cy="50165"/>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-218440</wp:posOffset>
            </wp:positionV>
            <wp:extent cx="3075940" cy="50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extLst>
                    </a:blip>
                    <a:srcRect/>
                    <a:stretch>
                      <a:fillRect/>
                    </a:stretch>
                  </pic:blipFill>
                  <pic:spPr bwMode="auto">
                    <a:xfrm>
                      <a:off x="0" y="0"/>
                      <a:ext cx="3075940" cy="50165"/>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-43180</wp:posOffset>
            </wp:positionV>
            <wp:extent cx="3075940" cy="50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extLst>
                    </a:blip>
                    <a:srcRect/>
                    <a:stretch>
                      <a:fillRect/>
                    </a:stretch>
                  </pic:blipFill>
                  <pic:spPr bwMode="auto">
                    <a:xfrm>
                      <a:off x="0" y="0"/>
                      <a:ext cx="3075940" cy="5016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The accompanying notes are an integral part of these consolidated financial statements.</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ectPr>
          <w:pgSz w:w="11880" w:h="15480" w:orient="portrait"/>
          <w:cols w:equalWidth="0" w:num="1">
            <w:col w:w="9960"/>
          </w:cols>
          <w:pgMar w:left="960" w:top="815" w:right="960" w:bottom="0" w:gutter="0" w:footer="0" w:header="0"/>
          <w:type w:val="continuous"/>
        </w:sectPr>
      </w:pPr>
    </w:p>
    <w:bookmarkStart w:id="72" w:name="page73"/>
    <w:bookmarkEnd w:id="72"/>
    <w:p>
      <w:pPr>
        <w:jc w:val="center"/>
        <w:spacing w:after="0" w:line="289" w:lineRule="auto"/>
        <w:rPr>
          <w:sz w:val="20"/>
          <w:szCs w:val="20"/>
          <w:color w:val="auto"/>
        </w:rPr>
      </w:pPr>
      <w:r>
        <w:rPr>
          <w:rFonts w:ascii="Times New Roman" w:cs="Times New Roman" w:eastAsia="Times New Roman" w:hAnsi="Times New Roman"/>
          <w:sz w:val="19"/>
          <w:szCs w:val="19"/>
          <w:b w:val="1"/>
          <w:bCs w:val="1"/>
          <w:color w:val="auto"/>
        </w:rPr>
        <w:t>ZOOM VIDEO COMMUNICATIONS, INC. CONSOLIDATED STATEMENTS OF COMPREHENSIVE INCOME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Year Ended January 31,</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57"/>
        </w:trPr>
        <w:tc>
          <w:tcPr>
            <w:tcW w:w="5160" w:type="dxa"/>
            <w:vAlign w:val="bottom"/>
            <w:tcBorders>
              <w:bottom w:val="single" w:sz="8" w:color="DEDEDE"/>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DEDEDE"/>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DEDEDE"/>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7"/>
        </w:trPr>
        <w:tc>
          <w:tcPr>
            <w:tcW w:w="51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Net income</w:t>
            </w:r>
          </w:p>
        </w:tc>
        <w:tc>
          <w:tcPr>
            <w:tcW w:w="380" w:type="dxa"/>
            <w:vAlign w:val="bottom"/>
            <w:shd w:val="clear" w:color="auto" w:fill="DEDEDE"/>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637,462</w:t>
            </w:r>
          </w:p>
        </w:tc>
        <w:tc>
          <w:tcPr>
            <w:tcW w:w="46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103,711</w:t>
            </w:r>
          </w:p>
        </w:tc>
        <w:tc>
          <w:tcPr>
            <w:tcW w:w="60" w:type="dxa"/>
            <w:vAlign w:val="bottom"/>
            <w:shd w:val="clear" w:color="auto" w:fill="DEDEDE"/>
          </w:tcPr>
          <w:p>
            <w:pPr>
              <w:spacing w:after="0"/>
              <w:rPr>
                <w:sz w:val="23"/>
                <w:szCs w:val="23"/>
                <w:color w:val="auto"/>
              </w:rPr>
            </w:pPr>
          </w:p>
        </w:tc>
        <w:tc>
          <w:tcPr>
            <w:tcW w:w="380" w:type="dxa"/>
            <w:vAlign w:val="bottom"/>
            <w:shd w:val="clear" w:color="auto" w:fill="DEDEDE"/>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1,375,639</w:t>
            </w:r>
          </w:p>
        </w:tc>
      </w:tr>
      <w:tr>
        <w:trPr>
          <w:trHeight w:val="271"/>
        </w:trPr>
        <w:tc>
          <w:tcPr>
            <w:tcW w:w="5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Other comprehensive income (loss):</w:t>
            </w: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13"/>
        </w:trPr>
        <w:tc>
          <w:tcPr>
            <w:tcW w:w="5160" w:type="dxa"/>
            <w:vAlign w:val="bottom"/>
            <w:shd w:val="clear" w:color="auto" w:fill="DEDEDE"/>
          </w:tcPr>
          <w:p>
            <w:pPr>
              <w:ind w:left="280"/>
              <w:spacing w:after="0" w:line="213" w:lineRule="exact"/>
              <w:rPr>
                <w:sz w:val="20"/>
                <w:szCs w:val="20"/>
                <w:color w:val="auto"/>
              </w:rPr>
            </w:pPr>
            <w:r>
              <w:rPr>
                <w:rFonts w:ascii="Times New Roman" w:cs="Times New Roman" w:eastAsia="Times New Roman" w:hAnsi="Times New Roman"/>
                <w:sz w:val="19"/>
                <w:szCs w:val="19"/>
                <w:color w:val="auto"/>
              </w:rPr>
              <w:t>Unrealized gain (loss) on available-for-sale marketable</w:t>
            </w:r>
          </w:p>
        </w:tc>
        <w:tc>
          <w:tcPr>
            <w:tcW w:w="380" w:type="dxa"/>
            <w:vAlign w:val="bottom"/>
            <w:shd w:val="clear" w:color="auto" w:fill="DEDEDE"/>
          </w:tcPr>
          <w:p>
            <w:pPr>
              <w:spacing w:after="0"/>
              <w:rPr>
                <w:sz w:val="18"/>
                <w:szCs w:val="18"/>
                <w:color w:val="auto"/>
              </w:rPr>
            </w:pPr>
          </w:p>
        </w:tc>
        <w:tc>
          <w:tcPr>
            <w:tcW w:w="118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400" w:type="dxa"/>
            <w:vAlign w:val="bottom"/>
            <w:shd w:val="clear" w:color="auto" w:fill="DEDEDE"/>
          </w:tcPr>
          <w:p>
            <w:pPr>
              <w:spacing w:after="0"/>
              <w:rPr>
                <w:sz w:val="18"/>
                <w:szCs w:val="18"/>
                <w:color w:val="auto"/>
              </w:rPr>
            </w:pPr>
          </w:p>
        </w:tc>
        <w:tc>
          <w:tcPr>
            <w:tcW w:w="11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380" w:type="dxa"/>
            <w:vAlign w:val="bottom"/>
            <w:shd w:val="clear" w:color="auto" w:fill="DEDEDE"/>
          </w:tcPr>
          <w:p>
            <w:pPr>
              <w:spacing w:after="0"/>
              <w:rPr>
                <w:sz w:val="18"/>
                <w:szCs w:val="18"/>
                <w:color w:val="auto"/>
              </w:rPr>
            </w:pPr>
          </w:p>
        </w:tc>
        <w:tc>
          <w:tcPr>
            <w:tcW w:w="1180" w:type="dxa"/>
            <w:vAlign w:val="bottom"/>
            <w:shd w:val="clear" w:color="auto" w:fill="DEDEDE"/>
          </w:tcPr>
          <w:p>
            <w:pPr>
              <w:spacing w:after="0"/>
              <w:rPr>
                <w:sz w:val="18"/>
                <w:szCs w:val="18"/>
                <w:color w:val="auto"/>
              </w:rPr>
            </w:pPr>
          </w:p>
        </w:tc>
      </w:tr>
      <w:tr>
        <w:trPr>
          <w:trHeight w:val="194"/>
        </w:trPr>
        <w:tc>
          <w:tcPr>
            <w:tcW w:w="5160" w:type="dxa"/>
            <w:vAlign w:val="bottom"/>
            <w:shd w:val="clear" w:color="auto" w:fill="DEDEDE"/>
          </w:tcPr>
          <w:p>
            <w:pPr>
              <w:ind w:left="280"/>
              <w:spacing w:after="0" w:line="194" w:lineRule="exact"/>
              <w:rPr>
                <w:sz w:val="20"/>
                <w:szCs w:val="20"/>
                <w:color w:val="auto"/>
              </w:rPr>
            </w:pPr>
            <w:r>
              <w:rPr>
                <w:rFonts w:ascii="Times New Roman" w:cs="Times New Roman" w:eastAsia="Times New Roman" w:hAnsi="Times New Roman"/>
                <w:sz w:val="19"/>
                <w:szCs w:val="19"/>
                <w:color w:val="auto"/>
              </w:rPr>
              <w:t>securities, net of income tax (expense) benefit of $(15,501),</w:t>
            </w:r>
          </w:p>
        </w:tc>
        <w:tc>
          <w:tcPr>
            <w:tcW w:w="380" w:type="dxa"/>
            <w:vAlign w:val="bottom"/>
            <w:shd w:val="clear" w:color="auto" w:fill="DEDEDE"/>
          </w:tcPr>
          <w:p>
            <w:pPr>
              <w:spacing w:after="0"/>
              <w:rPr>
                <w:sz w:val="16"/>
                <w:szCs w:val="16"/>
                <w:color w:val="auto"/>
              </w:rPr>
            </w:pPr>
          </w:p>
        </w:tc>
        <w:tc>
          <w:tcPr>
            <w:tcW w:w="1180" w:type="dxa"/>
            <w:vAlign w:val="bottom"/>
            <w:shd w:val="clear" w:color="auto" w:fill="DEDEDE"/>
          </w:tcPr>
          <w:p>
            <w:pPr>
              <w:spacing w:after="0"/>
              <w:rPr>
                <w:sz w:val="16"/>
                <w:szCs w:val="16"/>
                <w:color w:val="auto"/>
              </w:rPr>
            </w:pPr>
          </w:p>
        </w:tc>
        <w:tc>
          <w:tcPr>
            <w:tcW w:w="60" w:type="dxa"/>
            <w:vAlign w:val="bottom"/>
            <w:shd w:val="clear" w:color="auto" w:fill="DEDEDE"/>
          </w:tcPr>
          <w:p>
            <w:pPr>
              <w:spacing w:after="0"/>
              <w:rPr>
                <w:sz w:val="16"/>
                <w:szCs w:val="16"/>
                <w:color w:val="auto"/>
              </w:rPr>
            </w:pPr>
          </w:p>
        </w:tc>
        <w:tc>
          <w:tcPr>
            <w:tcW w:w="400" w:type="dxa"/>
            <w:vAlign w:val="bottom"/>
            <w:shd w:val="clear" w:color="auto" w:fill="DEDEDE"/>
          </w:tcPr>
          <w:p>
            <w:pPr>
              <w:spacing w:after="0"/>
              <w:rPr>
                <w:sz w:val="16"/>
                <w:szCs w:val="16"/>
                <w:color w:val="auto"/>
              </w:rPr>
            </w:pPr>
          </w:p>
        </w:tc>
        <w:tc>
          <w:tcPr>
            <w:tcW w:w="1160" w:type="dxa"/>
            <w:vAlign w:val="bottom"/>
            <w:shd w:val="clear" w:color="auto" w:fill="DEDEDE"/>
          </w:tcPr>
          <w:p>
            <w:pPr>
              <w:spacing w:after="0"/>
              <w:rPr>
                <w:sz w:val="16"/>
                <w:szCs w:val="16"/>
                <w:color w:val="auto"/>
              </w:rPr>
            </w:pPr>
          </w:p>
        </w:tc>
        <w:tc>
          <w:tcPr>
            <w:tcW w:w="60" w:type="dxa"/>
            <w:vAlign w:val="bottom"/>
            <w:shd w:val="clear" w:color="auto" w:fill="DEDEDE"/>
          </w:tcPr>
          <w:p>
            <w:pPr>
              <w:spacing w:after="0"/>
              <w:rPr>
                <w:sz w:val="16"/>
                <w:szCs w:val="16"/>
                <w:color w:val="auto"/>
              </w:rPr>
            </w:pPr>
          </w:p>
        </w:tc>
        <w:tc>
          <w:tcPr>
            <w:tcW w:w="380" w:type="dxa"/>
            <w:vAlign w:val="bottom"/>
            <w:shd w:val="clear" w:color="auto" w:fill="DEDEDE"/>
          </w:tcPr>
          <w:p>
            <w:pPr>
              <w:spacing w:after="0"/>
              <w:rPr>
                <w:sz w:val="16"/>
                <w:szCs w:val="16"/>
                <w:color w:val="auto"/>
              </w:rPr>
            </w:pPr>
          </w:p>
        </w:tc>
        <w:tc>
          <w:tcPr>
            <w:tcW w:w="1180" w:type="dxa"/>
            <w:vAlign w:val="bottom"/>
            <w:shd w:val="clear" w:color="auto" w:fill="DEDEDE"/>
          </w:tcPr>
          <w:p>
            <w:pPr>
              <w:spacing w:after="0"/>
              <w:rPr>
                <w:sz w:val="16"/>
                <w:szCs w:val="16"/>
                <w:color w:val="auto"/>
              </w:rPr>
            </w:pPr>
          </w:p>
        </w:tc>
      </w:tr>
      <w:tr>
        <w:trPr>
          <w:trHeight w:val="194"/>
        </w:trPr>
        <w:tc>
          <w:tcPr>
            <w:tcW w:w="5160" w:type="dxa"/>
            <w:vAlign w:val="bottom"/>
            <w:shd w:val="clear" w:color="auto" w:fill="DEDEDE"/>
          </w:tcPr>
          <w:p>
            <w:pPr>
              <w:ind w:left="280"/>
              <w:spacing w:after="0" w:line="194" w:lineRule="exact"/>
              <w:rPr>
                <w:sz w:val="20"/>
                <w:szCs w:val="20"/>
                <w:color w:val="auto"/>
              </w:rPr>
            </w:pPr>
            <w:r>
              <w:rPr>
                <w:rFonts w:ascii="Times New Roman" w:cs="Times New Roman" w:eastAsia="Times New Roman" w:hAnsi="Times New Roman"/>
                <w:sz w:val="19"/>
                <w:szCs w:val="19"/>
                <w:color w:val="auto"/>
              </w:rPr>
              <w:t>$9,834, and $6,003 during the fiscal years ended January 31,</w:t>
            </w:r>
          </w:p>
        </w:tc>
        <w:tc>
          <w:tcPr>
            <w:tcW w:w="380" w:type="dxa"/>
            <w:vAlign w:val="bottom"/>
            <w:shd w:val="clear" w:color="auto" w:fill="DEDEDE"/>
          </w:tcPr>
          <w:p>
            <w:pPr>
              <w:spacing w:after="0"/>
              <w:rPr>
                <w:sz w:val="16"/>
                <w:szCs w:val="16"/>
                <w:color w:val="auto"/>
              </w:rPr>
            </w:pPr>
          </w:p>
        </w:tc>
        <w:tc>
          <w:tcPr>
            <w:tcW w:w="1180" w:type="dxa"/>
            <w:vAlign w:val="bottom"/>
            <w:shd w:val="clear" w:color="auto" w:fill="DEDEDE"/>
          </w:tcPr>
          <w:p>
            <w:pPr>
              <w:spacing w:after="0"/>
              <w:rPr>
                <w:sz w:val="16"/>
                <w:szCs w:val="16"/>
                <w:color w:val="auto"/>
              </w:rPr>
            </w:pPr>
          </w:p>
        </w:tc>
        <w:tc>
          <w:tcPr>
            <w:tcW w:w="60" w:type="dxa"/>
            <w:vAlign w:val="bottom"/>
            <w:shd w:val="clear" w:color="auto" w:fill="DEDEDE"/>
          </w:tcPr>
          <w:p>
            <w:pPr>
              <w:spacing w:after="0"/>
              <w:rPr>
                <w:sz w:val="16"/>
                <w:szCs w:val="16"/>
                <w:color w:val="auto"/>
              </w:rPr>
            </w:pPr>
          </w:p>
        </w:tc>
        <w:tc>
          <w:tcPr>
            <w:tcW w:w="400" w:type="dxa"/>
            <w:vAlign w:val="bottom"/>
            <w:shd w:val="clear" w:color="auto" w:fill="DEDEDE"/>
          </w:tcPr>
          <w:p>
            <w:pPr>
              <w:spacing w:after="0"/>
              <w:rPr>
                <w:sz w:val="16"/>
                <w:szCs w:val="16"/>
                <w:color w:val="auto"/>
              </w:rPr>
            </w:pPr>
          </w:p>
        </w:tc>
        <w:tc>
          <w:tcPr>
            <w:tcW w:w="1160" w:type="dxa"/>
            <w:vAlign w:val="bottom"/>
            <w:shd w:val="clear" w:color="auto" w:fill="DEDEDE"/>
          </w:tcPr>
          <w:p>
            <w:pPr>
              <w:spacing w:after="0"/>
              <w:rPr>
                <w:sz w:val="16"/>
                <w:szCs w:val="16"/>
                <w:color w:val="auto"/>
              </w:rPr>
            </w:pPr>
          </w:p>
        </w:tc>
        <w:tc>
          <w:tcPr>
            <w:tcW w:w="60" w:type="dxa"/>
            <w:vAlign w:val="bottom"/>
            <w:shd w:val="clear" w:color="auto" w:fill="DEDEDE"/>
          </w:tcPr>
          <w:p>
            <w:pPr>
              <w:spacing w:after="0"/>
              <w:rPr>
                <w:sz w:val="16"/>
                <w:szCs w:val="16"/>
                <w:color w:val="auto"/>
              </w:rPr>
            </w:pPr>
          </w:p>
        </w:tc>
        <w:tc>
          <w:tcPr>
            <w:tcW w:w="380" w:type="dxa"/>
            <w:vAlign w:val="bottom"/>
            <w:shd w:val="clear" w:color="auto" w:fill="DEDEDE"/>
          </w:tcPr>
          <w:p>
            <w:pPr>
              <w:spacing w:after="0"/>
              <w:rPr>
                <w:sz w:val="16"/>
                <w:szCs w:val="16"/>
                <w:color w:val="auto"/>
              </w:rPr>
            </w:pPr>
          </w:p>
        </w:tc>
        <w:tc>
          <w:tcPr>
            <w:tcW w:w="1180" w:type="dxa"/>
            <w:vAlign w:val="bottom"/>
            <w:shd w:val="clear" w:color="auto" w:fill="DEDEDE"/>
          </w:tcPr>
          <w:p>
            <w:pPr>
              <w:spacing w:after="0"/>
              <w:rPr>
                <w:sz w:val="16"/>
                <w:szCs w:val="16"/>
                <w:color w:val="auto"/>
              </w:rPr>
            </w:pPr>
          </w:p>
        </w:tc>
      </w:tr>
      <w:tr>
        <w:trPr>
          <w:trHeight w:val="287"/>
        </w:trPr>
        <w:tc>
          <w:tcPr>
            <w:tcW w:w="5160" w:type="dxa"/>
            <w:vAlign w:val="bottom"/>
            <w:tcBorders>
              <w:bottom w:val="single" w:sz="8" w:color="DEDEDE"/>
            </w:tcBorders>
            <w:shd w:val="clear" w:color="auto" w:fill="DEDEDE"/>
          </w:tcPr>
          <w:p>
            <w:pPr>
              <w:ind w:left="280"/>
              <w:spacing w:after="0"/>
              <w:rPr>
                <w:sz w:val="20"/>
                <w:szCs w:val="20"/>
                <w:color w:val="auto"/>
              </w:rPr>
            </w:pPr>
            <w:r>
              <w:rPr>
                <w:rFonts w:ascii="Times New Roman" w:cs="Times New Roman" w:eastAsia="Times New Roman" w:hAnsi="Times New Roman"/>
                <w:sz w:val="19"/>
                <w:szCs w:val="19"/>
                <w:color w:val="auto"/>
              </w:rPr>
              <w:t>2024, 2023 and 2022, respectively</w:t>
            </w:r>
          </w:p>
        </w:tc>
        <w:tc>
          <w:tcPr>
            <w:tcW w:w="380" w:type="dxa"/>
            <w:vAlign w:val="bottom"/>
            <w:tcBorders>
              <w:bottom w:val="single" w:sz="8" w:color="auto"/>
            </w:tcBorders>
            <w:shd w:val="clear" w:color="auto" w:fill="DEDEDE"/>
          </w:tcPr>
          <w:p>
            <w:pPr>
              <w:spacing w:after="0"/>
              <w:rPr>
                <w:sz w:val="24"/>
                <w:szCs w:val="24"/>
                <w:color w:val="auto"/>
              </w:rPr>
            </w:pPr>
          </w:p>
        </w:tc>
        <w:tc>
          <w:tcPr>
            <w:tcW w:w="1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51,448</w:t>
            </w:r>
          </w:p>
        </w:tc>
        <w:tc>
          <w:tcPr>
            <w:tcW w:w="60" w:type="dxa"/>
            <w:vAlign w:val="bottom"/>
            <w:tcBorders>
              <w:bottom w:val="single" w:sz="8" w:color="DEDEDE"/>
            </w:tcBorders>
            <w:shd w:val="clear" w:color="auto" w:fill="DEDEDE"/>
          </w:tcPr>
          <w:p>
            <w:pPr>
              <w:spacing w:after="0"/>
              <w:rPr>
                <w:sz w:val="24"/>
                <w:szCs w:val="24"/>
                <w:color w:val="auto"/>
              </w:rPr>
            </w:pPr>
          </w:p>
        </w:tc>
        <w:tc>
          <w:tcPr>
            <w:tcW w:w="400" w:type="dxa"/>
            <w:vAlign w:val="bottom"/>
            <w:tcBorders>
              <w:bottom w:val="single" w:sz="8" w:color="auto"/>
            </w:tcBorders>
            <w:shd w:val="clear" w:color="auto" w:fill="DEDEDE"/>
          </w:tcPr>
          <w:p>
            <w:pPr>
              <w:spacing w:after="0"/>
              <w:rPr>
                <w:sz w:val="24"/>
                <w:szCs w:val="24"/>
                <w:color w:val="auto"/>
              </w:rPr>
            </w:pPr>
          </w:p>
        </w:tc>
        <w:tc>
          <w:tcPr>
            <w:tcW w:w="11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(32,483)</w:t>
            </w:r>
          </w:p>
        </w:tc>
        <w:tc>
          <w:tcPr>
            <w:tcW w:w="60" w:type="dxa"/>
            <w:vAlign w:val="bottom"/>
            <w:tcBorders>
              <w:bottom w:val="single" w:sz="8" w:color="DEDEDE"/>
            </w:tcBorders>
            <w:shd w:val="clear" w:color="auto" w:fill="DEDEDE"/>
          </w:tcPr>
          <w:p>
            <w:pPr>
              <w:spacing w:after="0"/>
              <w:rPr>
                <w:sz w:val="24"/>
                <w:szCs w:val="24"/>
                <w:color w:val="auto"/>
              </w:rPr>
            </w:pPr>
          </w:p>
        </w:tc>
        <w:tc>
          <w:tcPr>
            <w:tcW w:w="380" w:type="dxa"/>
            <w:vAlign w:val="bottom"/>
            <w:tcBorders>
              <w:bottom w:val="single" w:sz="8" w:color="auto"/>
            </w:tcBorders>
            <w:shd w:val="clear" w:color="auto" w:fill="DEDEDE"/>
          </w:tcPr>
          <w:p>
            <w:pPr>
              <w:spacing w:after="0"/>
              <w:rPr>
                <w:sz w:val="24"/>
                <w:szCs w:val="24"/>
                <w:color w:val="auto"/>
              </w:rPr>
            </w:pPr>
          </w:p>
        </w:tc>
        <w:tc>
          <w:tcPr>
            <w:tcW w:w="1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(18,741)</w:t>
            </w:r>
          </w:p>
        </w:tc>
      </w:tr>
      <w:tr>
        <w:trPr>
          <w:trHeight w:val="219"/>
        </w:trPr>
        <w:tc>
          <w:tcPr>
            <w:tcW w:w="5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Comprehensive income</w:t>
            </w:r>
          </w:p>
        </w:tc>
        <w:tc>
          <w:tcPr>
            <w:tcW w:w="38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688,910</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71,228</w:t>
            </w:r>
          </w:p>
        </w:tc>
        <w:tc>
          <w:tcPr>
            <w:tcW w:w="60" w:type="dxa"/>
            <w:vAlign w:val="bottom"/>
          </w:tcPr>
          <w:p>
            <w:pPr>
              <w:spacing w:after="0"/>
              <w:rPr>
                <w:sz w:val="19"/>
                <w:szCs w:val="19"/>
                <w:color w:val="auto"/>
              </w:rPr>
            </w:pPr>
          </w:p>
        </w:tc>
        <w:tc>
          <w:tcPr>
            <w:tcW w:w="38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1,356,898</w:t>
            </w:r>
          </w:p>
        </w:tc>
      </w:tr>
      <w:tr>
        <w:trPr>
          <w:trHeight w:val="20"/>
        </w:trPr>
        <w:tc>
          <w:tcPr>
            <w:tcW w:w="5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-43180</wp:posOffset>
            </wp:positionV>
            <wp:extent cx="3075940" cy="50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extLst>
                    </a:blip>
                    <a:srcRect/>
                    <a:stretch>
                      <a:fillRect/>
                    </a:stretch>
                  </pic:blipFill>
                  <pic:spPr bwMode="auto">
                    <a:xfrm>
                      <a:off x="0" y="0"/>
                      <a:ext cx="3075940" cy="5016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The accompanying notes are an integral part of these consolidated financial statements.</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ectPr>
          <w:pgSz w:w="11880" w:h="15480" w:orient="portrait"/>
          <w:cols w:equalWidth="0" w:num="1">
            <w:col w:w="9960"/>
          </w:cols>
          <w:pgMar w:left="960" w:top="815" w:right="960" w:bottom="0" w:gutter="0" w:footer="0" w:header="0"/>
          <w:type w:val="continuous"/>
        </w:sectPr>
      </w:pPr>
    </w:p>
    <w:bookmarkStart w:id="73" w:name="page74"/>
    <w:bookmarkEnd w:id="73"/>
    <w:p>
      <w:pPr>
        <w:jc w:val="center"/>
        <w:ind w:left="980" w:right="2060"/>
        <w:spacing w:after="0" w:line="277" w:lineRule="auto"/>
        <w:rPr>
          <w:sz w:val="20"/>
          <w:szCs w:val="20"/>
          <w:color w:val="auto"/>
        </w:rPr>
      </w:pPr>
      <w:r>
        <w:rPr>
          <w:rFonts w:ascii="Times New Roman" w:cs="Times New Roman" w:eastAsia="Times New Roman" w:hAnsi="Times New Roman"/>
          <w:sz w:val="19"/>
          <w:szCs w:val="19"/>
          <w:b w:val="1"/>
          <w:bCs w:val="1"/>
          <w:color w:val="auto"/>
        </w:rPr>
        <w:t>ZOOM VIDEO COMMUNICATIONS, INC. CONSOLIDATED STATEMENTS OF STOCKHOLDERS’ EQUITY (in thousands, except share data)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1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42"/>
              <w:spacing w:after="0" w:line="155"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740" w:type="dxa"/>
            <w:vAlign w:val="bottom"/>
          </w:tcPr>
          <w:p>
            <w:pPr>
              <w:spacing w:after="0"/>
              <w:rPr>
                <w:sz w:val="10"/>
                <w:szCs w:val="10"/>
                <w:color w:val="auto"/>
              </w:rPr>
            </w:pPr>
          </w:p>
        </w:tc>
        <w:tc>
          <w:tcPr>
            <w:tcW w:w="1420" w:type="dxa"/>
            <w:vAlign w:val="bottom"/>
            <w:tcBorders>
              <w:bottom w:val="single" w:sz="8" w:color="auto"/>
            </w:tcBorders>
            <w:gridSpan w:val="3"/>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restart"/>
          </w:tcPr>
          <w:p>
            <w:pPr>
              <w:jc w:val="right"/>
              <w:ind w:right="82"/>
              <w:spacing w:after="0" w:line="155"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0"/>
                <w:szCs w:val="10"/>
                <w:color w:val="auto"/>
              </w:rPr>
            </w:pPr>
          </w:p>
        </w:tc>
        <w:tc>
          <w:tcPr>
            <w:tcW w:w="1160" w:type="dxa"/>
            <w:vAlign w:val="bottom"/>
            <w:gridSpan w:val="2"/>
            <w:vMerge w:val="restart"/>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142"/>
              <w:spacing w:after="0" w:line="155"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0"/>
                <w:szCs w:val="10"/>
                <w:color w:val="auto"/>
              </w:rPr>
            </w:pPr>
          </w:p>
        </w:tc>
        <w:tc>
          <w:tcPr>
            <w:tcW w:w="1140" w:type="dxa"/>
            <w:vAlign w:val="bottom"/>
            <w:gridSpan w:val="2"/>
            <w:vMerge w:val="restart"/>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40" w:type="dxa"/>
            <w:vAlign w:val="bottom"/>
            <w:vMerge w:val="restart"/>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line="20" w:lineRule="exact"/>
              <w:rPr>
                <w:sz w:val="1"/>
                <w:szCs w:val="1"/>
                <w:color w:val="auto"/>
              </w:rPr>
            </w:pPr>
          </w:p>
        </w:tc>
        <w:tc>
          <w:tcPr>
            <w:tcW w:w="74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tcBorders>
              <w:bottom w:val="single" w:sz="8" w:color="DEDEDE"/>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EDEDE"/>
            </w:tcBorders>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DEDEDE"/>
            </w:tcBorders>
          </w:tcPr>
          <w:p>
            <w:pPr>
              <w:spacing w:after="0"/>
              <w:rPr>
                <w:sz w:val="18"/>
                <w:szCs w:val="18"/>
                <w:color w:val="auto"/>
              </w:rPr>
            </w:pPr>
          </w:p>
        </w:tc>
        <w:tc>
          <w:tcPr>
            <w:tcW w:w="8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DEDEDE"/>
            </w:tcBorders>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Income (Loss)</w:t>
            </w:r>
          </w:p>
        </w:tc>
        <w:tc>
          <w:tcPr>
            <w:tcW w:w="60" w:type="dxa"/>
            <w:vAlign w:val="bottom"/>
            <w:tcBorders>
              <w:bottom w:val="single" w:sz="8" w:color="DEDED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80" w:type="dxa"/>
            <w:vAlign w:val="bottom"/>
            <w:tcBorders>
              <w:bottom w:val="single" w:sz="8" w:color="DEDEDE"/>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5"/>
              </w:rPr>
              <w:t>Equity</w:t>
            </w:r>
          </w:p>
        </w:tc>
        <w:tc>
          <w:tcPr>
            <w:tcW w:w="0" w:type="dxa"/>
            <w:vAlign w:val="bottom"/>
          </w:tcPr>
          <w:p>
            <w:pPr>
              <w:spacing w:after="0"/>
              <w:rPr>
                <w:sz w:val="1"/>
                <w:szCs w:val="1"/>
                <w:color w:val="auto"/>
              </w:rPr>
            </w:pPr>
          </w:p>
        </w:tc>
      </w:tr>
      <w:tr>
        <w:trPr>
          <w:trHeight w:val="238"/>
        </w:trPr>
        <w:tc>
          <w:tcPr>
            <w:tcW w:w="37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6"/>
                <w:szCs w:val="16"/>
                <w:b w:val="1"/>
                <w:bCs w:val="1"/>
                <w:color w:val="auto"/>
              </w:rPr>
              <w:t>Balance as of January 31, 2021</w:t>
            </w: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293,549,223</w:t>
            </w:r>
          </w:p>
        </w:tc>
        <w:tc>
          <w:tcPr>
            <w:tcW w:w="480" w:type="dxa"/>
            <w:vAlign w:val="bottom"/>
            <w:gridSpan w:val="2"/>
            <w:shd w:val="clear" w:color="auto" w:fill="DEDEDE"/>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9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$ 3,187,168</w:t>
            </w:r>
          </w:p>
        </w:tc>
        <w:tc>
          <w:tcPr>
            <w:tcW w:w="200" w:type="dxa"/>
            <w:vAlign w:val="bottom"/>
            <w:gridSpan w:val="2"/>
            <w:shd w:val="clear" w:color="auto" w:fill="DEDEDE"/>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2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672,468</w:t>
            </w:r>
          </w:p>
        </w:tc>
        <w:tc>
          <w:tcPr>
            <w:tcW w:w="320" w:type="dxa"/>
            <w:vAlign w:val="bottom"/>
            <w:gridSpan w:val="2"/>
            <w:shd w:val="clear" w:color="auto" w:fill="DEDEDE"/>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DEDEDE"/>
          </w:tcPr>
          <w:p>
            <w:pPr>
              <w:jc w:val="right"/>
              <w:ind w:right="2"/>
              <w:spacing w:after="0"/>
              <w:rPr>
                <w:sz w:val="20"/>
                <w:szCs w:val="20"/>
                <w:color w:val="auto"/>
              </w:rPr>
            </w:pPr>
            <w:r>
              <w:rPr>
                <w:rFonts w:ascii="Times New Roman" w:cs="Times New Roman" w:eastAsia="Times New Roman" w:hAnsi="Times New Roman"/>
                <w:sz w:val="16"/>
                <w:szCs w:val="16"/>
                <w:color w:val="auto"/>
              </w:rPr>
              <w:t>3,860,767</w:t>
            </w:r>
          </w:p>
        </w:tc>
        <w:tc>
          <w:tcPr>
            <w:tcW w:w="0" w:type="dxa"/>
            <w:vAlign w:val="bottom"/>
          </w:tcPr>
          <w:p>
            <w:pPr>
              <w:spacing w:after="0"/>
              <w:rPr>
                <w:sz w:val="1"/>
                <w:szCs w:val="1"/>
                <w:color w:val="auto"/>
              </w:rPr>
            </w:pPr>
          </w:p>
        </w:tc>
      </w:tr>
      <w:tr>
        <w:trPr>
          <w:trHeight w:val="239"/>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Issuance of common stock upon 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2,881,485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14,810</w:t>
            </w:r>
          </w:p>
        </w:tc>
        <w:tc>
          <w:tcPr>
            <w:tcW w:w="0" w:type="dxa"/>
            <w:vAlign w:val="bottom"/>
          </w:tcPr>
          <w:p>
            <w:pPr>
              <w:spacing w:after="0"/>
              <w:rPr>
                <w:sz w:val="1"/>
                <w:szCs w:val="1"/>
                <w:color w:val="auto"/>
              </w:rPr>
            </w:pPr>
          </w:p>
        </w:tc>
      </w:tr>
      <w:tr>
        <w:trPr>
          <w:trHeight w:val="198"/>
        </w:trPr>
        <w:tc>
          <w:tcPr>
            <w:tcW w:w="37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6"/>
                <w:szCs w:val="16"/>
                <w:color w:val="auto"/>
                <w:w w:val="98"/>
              </w:rPr>
              <w:t>Issuance of common stock upon release of restricted stock</w:t>
            </w:r>
          </w:p>
        </w:tc>
        <w:tc>
          <w:tcPr>
            <w:tcW w:w="94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1,768,702</w:t>
            </w:r>
          </w:p>
        </w:tc>
        <w:tc>
          <w:tcPr>
            <w:tcW w:w="80" w:type="dxa"/>
            <w:vAlign w:val="bottom"/>
            <w:shd w:val="clear" w:color="auto" w:fill="DEDEDE"/>
          </w:tcPr>
          <w:p>
            <w:pPr>
              <w:spacing w:after="0"/>
              <w:rPr>
                <w:sz w:val="17"/>
                <w:szCs w:val="17"/>
                <w:color w:val="auto"/>
              </w:rPr>
            </w:pPr>
          </w:p>
        </w:tc>
        <w:tc>
          <w:tcPr>
            <w:tcW w:w="400" w:type="dxa"/>
            <w:vAlign w:val="bottom"/>
            <w:shd w:val="clear" w:color="auto" w:fill="DEDEDE"/>
          </w:tcPr>
          <w:p>
            <w:pPr>
              <w:spacing w:after="0"/>
              <w:rPr>
                <w:sz w:val="17"/>
                <w:szCs w:val="17"/>
                <w:color w:val="auto"/>
              </w:rPr>
            </w:pPr>
          </w:p>
        </w:tc>
        <w:tc>
          <w:tcPr>
            <w:tcW w:w="34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shd w:val="clear" w:color="auto" w:fill="DEDEDE"/>
          </w:tcPr>
          <w:p>
            <w:pPr>
              <w:spacing w:after="0"/>
              <w:rPr>
                <w:sz w:val="17"/>
                <w:szCs w:val="17"/>
                <w:color w:val="auto"/>
              </w:rPr>
            </w:pPr>
          </w:p>
        </w:tc>
        <w:tc>
          <w:tcPr>
            <w:tcW w:w="84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04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86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c>
          <w:tcPr>
            <w:tcW w:w="240" w:type="dxa"/>
            <w:vAlign w:val="bottom"/>
            <w:shd w:val="clear" w:color="auto" w:fill="DEDEDE"/>
          </w:tcPr>
          <w:p>
            <w:pPr>
              <w:spacing w:after="0"/>
              <w:rPr>
                <w:sz w:val="17"/>
                <w:szCs w:val="17"/>
                <w:color w:val="auto"/>
              </w:rPr>
            </w:pPr>
          </w:p>
        </w:tc>
        <w:tc>
          <w:tcPr>
            <w:tcW w:w="900" w:type="dxa"/>
            <w:vAlign w:val="bottom"/>
            <w:vMerge w:val="restart"/>
            <w:shd w:val="clear" w:color="auto" w:fill="DEDEDE"/>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8"/>
        </w:trPr>
        <w:tc>
          <w:tcPr>
            <w:tcW w:w="37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vMerge w:val="continue"/>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400" w:type="dxa"/>
            <w:vAlign w:val="bottom"/>
            <w:shd w:val="clear" w:color="auto" w:fill="DEDEDE"/>
          </w:tcPr>
          <w:p>
            <w:pPr>
              <w:spacing w:after="0"/>
              <w:rPr>
                <w:sz w:val="18"/>
                <w:szCs w:val="18"/>
                <w:color w:val="auto"/>
              </w:rPr>
            </w:pPr>
          </w:p>
        </w:tc>
        <w:tc>
          <w:tcPr>
            <w:tcW w:w="340" w:type="dxa"/>
            <w:vAlign w:val="bottom"/>
            <w:vMerge w:val="continue"/>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840" w:type="dxa"/>
            <w:vAlign w:val="bottom"/>
            <w:vMerge w:val="continue"/>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86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900" w:type="dxa"/>
            <w:vAlign w:val="bottom"/>
            <w:vMerge w:val="continue"/>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Issuance of common stock for employee stock purchase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838,395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59,330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59,331</w:t>
            </w:r>
          </w:p>
        </w:tc>
        <w:tc>
          <w:tcPr>
            <w:tcW w:w="0" w:type="dxa"/>
            <w:vAlign w:val="bottom"/>
          </w:tcPr>
          <w:p>
            <w:pPr>
              <w:spacing w:after="0"/>
              <w:rPr>
                <w:sz w:val="1"/>
                <w:szCs w:val="1"/>
                <w:color w:val="auto"/>
              </w:rPr>
            </w:pPr>
          </w:p>
        </w:tc>
      </w:tr>
      <w:tr>
        <w:trPr>
          <w:trHeight w:val="210"/>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plan</w:t>
            </w: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7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EDEDE"/>
          </w:tcPr>
          <w:p>
            <w:pPr>
              <w:spacing w:after="0"/>
              <w:rPr>
                <w:sz w:val="22"/>
                <w:szCs w:val="22"/>
                <w:color w:val="auto"/>
              </w:rPr>
            </w:pPr>
          </w:p>
        </w:tc>
        <w:tc>
          <w:tcPr>
            <w:tcW w:w="400" w:type="dxa"/>
            <w:vAlign w:val="bottom"/>
            <w:shd w:val="clear" w:color="auto" w:fill="DEDEDE"/>
          </w:tcPr>
          <w:p>
            <w:pPr>
              <w:spacing w:after="0"/>
              <w:rPr>
                <w:sz w:val="22"/>
                <w:szCs w:val="22"/>
                <w:color w:val="auto"/>
              </w:rPr>
            </w:pPr>
          </w:p>
        </w:tc>
        <w:tc>
          <w:tcPr>
            <w:tcW w:w="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488,210</w:t>
            </w:r>
          </w:p>
        </w:tc>
        <w:tc>
          <w:tcPr>
            <w:tcW w:w="80" w:type="dxa"/>
            <w:vAlign w:val="bottom"/>
            <w:shd w:val="clear" w:color="auto" w:fill="DEDEDE"/>
          </w:tcPr>
          <w:p>
            <w:pPr>
              <w:spacing w:after="0"/>
              <w:rPr>
                <w:sz w:val="22"/>
                <w:szCs w:val="22"/>
                <w:color w:val="auto"/>
              </w:rPr>
            </w:pPr>
          </w:p>
        </w:tc>
        <w:tc>
          <w:tcPr>
            <w:tcW w:w="120" w:type="dxa"/>
            <w:vAlign w:val="bottom"/>
            <w:shd w:val="clear" w:color="auto" w:fill="DEDEDE"/>
          </w:tcPr>
          <w:p>
            <w:pPr>
              <w:spacing w:after="0"/>
              <w:rPr>
                <w:sz w:val="22"/>
                <w:szCs w:val="22"/>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EDEDE"/>
          </w:tcPr>
          <w:p>
            <w:pPr>
              <w:spacing w:after="0"/>
              <w:rPr>
                <w:sz w:val="22"/>
                <w:szCs w:val="22"/>
                <w:color w:val="auto"/>
              </w:rPr>
            </w:pPr>
          </w:p>
        </w:tc>
        <w:tc>
          <w:tcPr>
            <w:tcW w:w="180" w:type="dxa"/>
            <w:vAlign w:val="bottom"/>
            <w:shd w:val="clear" w:color="auto" w:fill="DEDEDE"/>
          </w:tcPr>
          <w:p>
            <w:pPr>
              <w:spacing w:after="0"/>
              <w:rPr>
                <w:sz w:val="22"/>
                <w:szCs w:val="22"/>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EDEDE"/>
          </w:tcPr>
          <w:p>
            <w:pPr>
              <w:spacing w:after="0"/>
              <w:rPr>
                <w:sz w:val="22"/>
                <w:szCs w:val="22"/>
                <w:color w:val="auto"/>
              </w:rPr>
            </w:pPr>
          </w:p>
        </w:tc>
        <w:tc>
          <w:tcPr>
            <w:tcW w:w="240" w:type="dxa"/>
            <w:vAlign w:val="bottom"/>
            <w:shd w:val="clear" w:color="auto" w:fill="DEDEDE"/>
          </w:tcPr>
          <w:p>
            <w:pPr>
              <w:spacing w:after="0"/>
              <w:rPr>
                <w:sz w:val="22"/>
                <w:szCs w:val="22"/>
                <w:color w:val="auto"/>
              </w:rPr>
            </w:pPr>
          </w:p>
        </w:tc>
        <w:tc>
          <w:tcPr>
            <w:tcW w:w="900" w:type="dxa"/>
            <w:vAlign w:val="bottom"/>
            <w:shd w:val="clear" w:color="auto" w:fill="DEDEDE"/>
          </w:tcPr>
          <w:p>
            <w:pPr>
              <w:jc w:val="right"/>
              <w:ind w:right="2"/>
              <w:spacing w:after="0"/>
              <w:rPr>
                <w:sz w:val="20"/>
                <w:szCs w:val="20"/>
                <w:color w:val="auto"/>
              </w:rPr>
            </w:pPr>
            <w:r>
              <w:rPr>
                <w:rFonts w:ascii="Times New Roman" w:cs="Times New Roman" w:eastAsia="Times New Roman" w:hAnsi="Times New Roman"/>
                <w:sz w:val="16"/>
                <w:szCs w:val="16"/>
                <w:color w:val="auto"/>
              </w:rPr>
              <w:t>488,210</w:t>
            </w:r>
          </w:p>
        </w:tc>
        <w:tc>
          <w:tcPr>
            <w:tcW w:w="0" w:type="dxa"/>
            <w:vAlign w:val="bottom"/>
          </w:tcPr>
          <w:p>
            <w:pPr>
              <w:spacing w:after="0"/>
              <w:rPr>
                <w:sz w:val="1"/>
                <w:szCs w:val="1"/>
                <w:color w:val="auto"/>
              </w:rPr>
            </w:pPr>
          </w:p>
        </w:tc>
      </w:tr>
      <w:tr>
        <w:trPr>
          <w:trHeight w:val="239"/>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(18,741)</w:t>
            </w:r>
          </w:p>
        </w:tc>
        <w:tc>
          <w:tcPr>
            <w:tcW w:w="0" w:type="dxa"/>
            <w:vAlign w:val="bottom"/>
          </w:tcPr>
          <w:p>
            <w:pPr>
              <w:spacing w:after="0"/>
              <w:rPr>
                <w:sz w:val="1"/>
                <w:szCs w:val="1"/>
                <w:color w:val="auto"/>
              </w:rPr>
            </w:pPr>
          </w:p>
        </w:tc>
      </w:tr>
      <w:tr>
        <w:trPr>
          <w:trHeight w:val="263"/>
        </w:trPr>
        <w:tc>
          <w:tcPr>
            <w:tcW w:w="374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DEDEDE"/>
            </w:tcBorders>
            <w:shd w:val="clear" w:color="auto" w:fill="DEDEDE"/>
          </w:tcPr>
          <w:p>
            <w:pPr>
              <w:spacing w:after="0"/>
              <w:rPr>
                <w:sz w:val="22"/>
                <w:szCs w:val="22"/>
                <w:color w:val="auto"/>
              </w:rPr>
            </w:pPr>
          </w:p>
        </w:tc>
        <w:tc>
          <w:tcPr>
            <w:tcW w:w="400" w:type="dxa"/>
            <w:vAlign w:val="bottom"/>
            <w:tcBorders>
              <w:bottom w:val="single" w:sz="8" w:color="auto"/>
            </w:tcBorders>
            <w:shd w:val="clear" w:color="auto" w:fill="DEDEDE"/>
          </w:tcPr>
          <w:p>
            <w:pPr>
              <w:spacing w:after="0"/>
              <w:rPr>
                <w:sz w:val="22"/>
                <w:szCs w:val="22"/>
                <w:color w:val="auto"/>
              </w:rPr>
            </w:pPr>
          </w:p>
        </w:tc>
        <w:tc>
          <w:tcPr>
            <w:tcW w:w="3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EDEDE"/>
            </w:tcBorders>
            <w:shd w:val="clear" w:color="auto" w:fill="DEDEDE"/>
          </w:tcPr>
          <w:p>
            <w:pPr>
              <w:spacing w:after="0"/>
              <w:rPr>
                <w:sz w:val="22"/>
                <w:szCs w:val="22"/>
                <w:color w:val="auto"/>
              </w:rPr>
            </w:pPr>
          </w:p>
        </w:tc>
        <w:tc>
          <w:tcPr>
            <w:tcW w:w="8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DEDEDE"/>
            </w:tcBorders>
            <w:shd w:val="clear" w:color="auto" w:fill="DEDEDE"/>
          </w:tcPr>
          <w:p>
            <w:pPr>
              <w:spacing w:after="0"/>
              <w:rPr>
                <w:sz w:val="22"/>
                <w:szCs w:val="22"/>
                <w:color w:val="auto"/>
              </w:rPr>
            </w:pPr>
          </w:p>
        </w:tc>
        <w:tc>
          <w:tcPr>
            <w:tcW w:w="120" w:type="dxa"/>
            <w:vAlign w:val="bottom"/>
            <w:tcBorders>
              <w:bottom w:val="single" w:sz="8" w:color="auto"/>
            </w:tcBorders>
            <w:shd w:val="clear" w:color="auto" w:fill="DEDEDE"/>
          </w:tcPr>
          <w:p>
            <w:pPr>
              <w:spacing w:after="0"/>
              <w:rPr>
                <w:sz w:val="22"/>
                <w:szCs w:val="22"/>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EDEDE"/>
            </w:tcBorders>
            <w:shd w:val="clear" w:color="auto" w:fill="DEDEDE"/>
          </w:tcPr>
          <w:p>
            <w:pPr>
              <w:spacing w:after="0"/>
              <w:rPr>
                <w:sz w:val="22"/>
                <w:szCs w:val="22"/>
                <w:color w:val="auto"/>
              </w:rPr>
            </w:pPr>
          </w:p>
        </w:tc>
        <w:tc>
          <w:tcPr>
            <w:tcW w:w="180" w:type="dxa"/>
            <w:vAlign w:val="bottom"/>
            <w:tcBorders>
              <w:bottom w:val="single" w:sz="8" w:color="auto"/>
            </w:tcBorders>
            <w:shd w:val="clear" w:color="auto" w:fill="DEDEDE"/>
          </w:tcPr>
          <w:p>
            <w:pPr>
              <w:spacing w:after="0"/>
              <w:rPr>
                <w:sz w:val="22"/>
                <w:szCs w:val="22"/>
                <w:color w:val="auto"/>
              </w:rPr>
            </w:pPr>
          </w:p>
        </w:tc>
        <w:tc>
          <w:tcPr>
            <w:tcW w:w="8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1,375,639</w:t>
            </w:r>
          </w:p>
        </w:tc>
        <w:tc>
          <w:tcPr>
            <w:tcW w:w="80" w:type="dxa"/>
            <w:vAlign w:val="bottom"/>
            <w:tcBorders>
              <w:bottom w:val="single" w:sz="8" w:color="DEDEDE"/>
            </w:tcBorders>
            <w:shd w:val="clear" w:color="auto" w:fill="DEDEDE"/>
          </w:tcPr>
          <w:p>
            <w:pPr>
              <w:spacing w:after="0"/>
              <w:rPr>
                <w:sz w:val="22"/>
                <w:szCs w:val="22"/>
                <w:color w:val="auto"/>
              </w:rPr>
            </w:pPr>
          </w:p>
        </w:tc>
        <w:tc>
          <w:tcPr>
            <w:tcW w:w="240" w:type="dxa"/>
            <w:vAlign w:val="bottom"/>
            <w:tcBorders>
              <w:bottom w:val="single" w:sz="8" w:color="auto"/>
            </w:tcBorders>
            <w:shd w:val="clear" w:color="auto" w:fill="DEDEDE"/>
          </w:tcPr>
          <w:p>
            <w:pPr>
              <w:spacing w:after="0"/>
              <w:rPr>
                <w:sz w:val="22"/>
                <w:szCs w:val="22"/>
                <w:color w:val="auto"/>
              </w:rPr>
            </w:pPr>
          </w:p>
        </w:tc>
        <w:tc>
          <w:tcPr>
            <w:tcW w:w="900" w:type="dxa"/>
            <w:vAlign w:val="bottom"/>
            <w:tcBorders>
              <w:bottom w:val="single" w:sz="8" w:color="auto"/>
            </w:tcBorders>
            <w:shd w:val="clear" w:color="auto" w:fill="DEDEDE"/>
          </w:tcPr>
          <w:p>
            <w:pPr>
              <w:jc w:val="right"/>
              <w:ind w:right="2"/>
              <w:spacing w:after="0"/>
              <w:rPr>
                <w:sz w:val="20"/>
                <w:szCs w:val="20"/>
                <w:color w:val="auto"/>
              </w:rPr>
            </w:pPr>
            <w:r>
              <w:rPr>
                <w:rFonts w:ascii="Times New Roman" w:cs="Times New Roman" w:eastAsia="Times New Roman" w:hAnsi="Times New Roman"/>
                <w:sz w:val="16"/>
                <w:szCs w:val="16"/>
                <w:color w:val="auto"/>
              </w:rPr>
              <w:t>1,375,639</w:t>
            </w:r>
          </w:p>
        </w:tc>
        <w:tc>
          <w:tcPr>
            <w:tcW w:w="0" w:type="dxa"/>
            <w:vAlign w:val="bottom"/>
          </w:tcPr>
          <w:p>
            <w:pPr>
              <w:spacing w:after="0"/>
              <w:rPr>
                <w:sz w:val="1"/>
                <w:szCs w:val="1"/>
                <w:color w:val="auto"/>
              </w:rPr>
            </w:pPr>
          </w:p>
        </w:tc>
      </w:tr>
      <w:tr>
        <w:trPr>
          <w:trHeight w:val="212"/>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Balance as of January 31, 2022</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299,037,805</w:t>
            </w:r>
          </w:p>
        </w:tc>
        <w:tc>
          <w:tcPr>
            <w:tcW w:w="48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$ 3,749,514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2,048,107</w:t>
            </w:r>
          </w:p>
        </w:tc>
        <w:tc>
          <w:tcPr>
            <w:tcW w:w="3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5,780,018</w:t>
            </w:r>
          </w:p>
        </w:tc>
        <w:tc>
          <w:tcPr>
            <w:tcW w:w="0" w:type="dxa"/>
            <w:vAlign w:val="bottom"/>
          </w:tcPr>
          <w:p>
            <w:pPr>
              <w:spacing w:after="0"/>
              <w:rPr>
                <w:sz w:val="1"/>
                <w:szCs w:val="1"/>
                <w:color w:val="auto"/>
              </w:rPr>
            </w:pPr>
          </w:p>
        </w:tc>
      </w:tr>
      <w:tr>
        <w:trPr>
          <w:trHeight w:val="256"/>
        </w:trPr>
        <w:tc>
          <w:tcPr>
            <w:tcW w:w="37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6"/>
                <w:szCs w:val="16"/>
                <w:color w:val="auto"/>
                <w:w w:val="99"/>
              </w:rPr>
              <w:t>Issuance of common stock upon exercise of stock options</w:t>
            </w: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1,299,758</w:t>
            </w:r>
          </w:p>
        </w:tc>
        <w:tc>
          <w:tcPr>
            <w:tcW w:w="80" w:type="dxa"/>
            <w:vAlign w:val="bottom"/>
            <w:shd w:val="clear" w:color="auto" w:fill="DEDEDE"/>
          </w:tcPr>
          <w:p>
            <w:pPr>
              <w:spacing w:after="0"/>
              <w:rPr>
                <w:sz w:val="22"/>
                <w:szCs w:val="22"/>
                <w:color w:val="auto"/>
              </w:rPr>
            </w:pPr>
          </w:p>
        </w:tc>
        <w:tc>
          <w:tcPr>
            <w:tcW w:w="400" w:type="dxa"/>
            <w:vAlign w:val="bottom"/>
            <w:shd w:val="clear" w:color="auto" w:fill="DEDEDE"/>
          </w:tcPr>
          <w:p>
            <w:pPr>
              <w:spacing w:after="0"/>
              <w:rPr>
                <w:sz w:val="22"/>
                <w:szCs w:val="22"/>
                <w:color w:val="auto"/>
              </w:rPr>
            </w:pPr>
          </w:p>
        </w:tc>
        <w:tc>
          <w:tcPr>
            <w:tcW w:w="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8,814</w:t>
            </w:r>
          </w:p>
        </w:tc>
        <w:tc>
          <w:tcPr>
            <w:tcW w:w="80" w:type="dxa"/>
            <w:vAlign w:val="bottom"/>
            <w:shd w:val="clear" w:color="auto" w:fill="DEDEDE"/>
          </w:tcPr>
          <w:p>
            <w:pPr>
              <w:spacing w:after="0"/>
              <w:rPr>
                <w:sz w:val="22"/>
                <w:szCs w:val="22"/>
                <w:color w:val="auto"/>
              </w:rPr>
            </w:pPr>
          </w:p>
        </w:tc>
        <w:tc>
          <w:tcPr>
            <w:tcW w:w="120" w:type="dxa"/>
            <w:vAlign w:val="bottom"/>
            <w:shd w:val="clear" w:color="auto" w:fill="DEDEDE"/>
          </w:tcPr>
          <w:p>
            <w:pPr>
              <w:spacing w:after="0"/>
              <w:rPr>
                <w:sz w:val="22"/>
                <w:szCs w:val="22"/>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EDEDE"/>
          </w:tcPr>
          <w:p>
            <w:pPr>
              <w:spacing w:after="0"/>
              <w:rPr>
                <w:sz w:val="22"/>
                <w:szCs w:val="22"/>
                <w:color w:val="auto"/>
              </w:rPr>
            </w:pPr>
          </w:p>
        </w:tc>
        <w:tc>
          <w:tcPr>
            <w:tcW w:w="180" w:type="dxa"/>
            <w:vAlign w:val="bottom"/>
            <w:shd w:val="clear" w:color="auto" w:fill="DEDEDE"/>
          </w:tcPr>
          <w:p>
            <w:pPr>
              <w:spacing w:after="0"/>
              <w:rPr>
                <w:sz w:val="22"/>
                <w:szCs w:val="22"/>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EDEDE"/>
          </w:tcPr>
          <w:p>
            <w:pPr>
              <w:spacing w:after="0"/>
              <w:rPr>
                <w:sz w:val="22"/>
                <w:szCs w:val="22"/>
                <w:color w:val="auto"/>
              </w:rPr>
            </w:pPr>
          </w:p>
        </w:tc>
        <w:tc>
          <w:tcPr>
            <w:tcW w:w="240" w:type="dxa"/>
            <w:vAlign w:val="bottom"/>
            <w:shd w:val="clear" w:color="auto" w:fill="DEDEDE"/>
          </w:tcPr>
          <w:p>
            <w:pPr>
              <w:spacing w:after="0"/>
              <w:rPr>
                <w:sz w:val="22"/>
                <w:szCs w:val="22"/>
                <w:color w:val="auto"/>
              </w:rPr>
            </w:pPr>
          </w:p>
        </w:tc>
        <w:tc>
          <w:tcPr>
            <w:tcW w:w="900" w:type="dxa"/>
            <w:vAlign w:val="bottom"/>
            <w:shd w:val="clear" w:color="auto" w:fill="DEDEDE"/>
          </w:tcPr>
          <w:p>
            <w:pPr>
              <w:jc w:val="right"/>
              <w:ind w:right="2"/>
              <w:spacing w:after="0"/>
              <w:rPr>
                <w:sz w:val="20"/>
                <w:szCs w:val="20"/>
                <w:color w:val="auto"/>
              </w:rPr>
            </w:pPr>
            <w:r>
              <w:rPr>
                <w:rFonts w:ascii="Times New Roman" w:cs="Times New Roman" w:eastAsia="Times New Roman" w:hAnsi="Times New Roman"/>
                <w:sz w:val="16"/>
                <w:szCs w:val="16"/>
                <w:color w:val="auto"/>
              </w:rPr>
              <w:t>8,815</w:t>
            </w:r>
          </w:p>
        </w:tc>
        <w:tc>
          <w:tcPr>
            <w:tcW w:w="0" w:type="dxa"/>
            <w:vAlign w:val="bottom"/>
          </w:tcPr>
          <w:p>
            <w:pPr>
              <w:spacing w:after="0"/>
              <w:rPr>
                <w:sz w:val="1"/>
                <w:szCs w:val="1"/>
                <w:color w:val="auto"/>
              </w:rPr>
            </w:pPr>
          </w:p>
        </w:tc>
      </w:tr>
      <w:tr>
        <w:trPr>
          <w:trHeight w:val="190"/>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8"/>
              </w:rPr>
              <w:t>Issuance of common stock upon release of restricted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3,977,915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7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(11,170,907)</w:t>
            </w:r>
          </w:p>
        </w:tc>
        <w:tc>
          <w:tcPr>
            <w:tcW w:w="80" w:type="dxa"/>
            <w:vAlign w:val="bottom"/>
            <w:shd w:val="clear" w:color="auto" w:fill="DEDEDE"/>
          </w:tcPr>
          <w:p>
            <w:pPr>
              <w:spacing w:after="0"/>
              <w:rPr>
                <w:sz w:val="22"/>
                <w:szCs w:val="22"/>
                <w:color w:val="auto"/>
              </w:rPr>
            </w:pPr>
          </w:p>
        </w:tc>
        <w:tc>
          <w:tcPr>
            <w:tcW w:w="400" w:type="dxa"/>
            <w:vAlign w:val="bottom"/>
            <w:shd w:val="clear" w:color="auto" w:fill="DEDEDE"/>
          </w:tcPr>
          <w:p>
            <w:pPr>
              <w:spacing w:after="0"/>
              <w:rPr>
                <w:sz w:val="22"/>
                <w:szCs w:val="22"/>
                <w:color w:val="auto"/>
              </w:rPr>
            </w:pPr>
          </w:p>
        </w:tc>
        <w:tc>
          <w:tcPr>
            <w:tcW w:w="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9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(999,992)</w:t>
            </w:r>
          </w:p>
        </w:tc>
        <w:tc>
          <w:tcPr>
            <w:tcW w:w="80" w:type="dxa"/>
            <w:vAlign w:val="bottom"/>
            <w:shd w:val="clear" w:color="auto" w:fill="DEDEDE"/>
          </w:tcPr>
          <w:p>
            <w:pPr>
              <w:spacing w:after="0"/>
              <w:rPr>
                <w:sz w:val="22"/>
                <w:szCs w:val="22"/>
                <w:color w:val="auto"/>
              </w:rPr>
            </w:pPr>
          </w:p>
        </w:tc>
        <w:tc>
          <w:tcPr>
            <w:tcW w:w="120" w:type="dxa"/>
            <w:vAlign w:val="bottom"/>
            <w:shd w:val="clear" w:color="auto" w:fill="DEDEDE"/>
          </w:tcPr>
          <w:p>
            <w:pPr>
              <w:spacing w:after="0"/>
              <w:rPr>
                <w:sz w:val="22"/>
                <w:szCs w:val="22"/>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EDEDE"/>
          </w:tcPr>
          <w:p>
            <w:pPr>
              <w:spacing w:after="0"/>
              <w:rPr>
                <w:sz w:val="22"/>
                <w:szCs w:val="22"/>
                <w:color w:val="auto"/>
              </w:rPr>
            </w:pPr>
          </w:p>
        </w:tc>
        <w:tc>
          <w:tcPr>
            <w:tcW w:w="180" w:type="dxa"/>
            <w:vAlign w:val="bottom"/>
            <w:shd w:val="clear" w:color="auto" w:fill="DEDEDE"/>
          </w:tcPr>
          <w:p>
            <w:pPr>
              <w:spacing w:after="0"/>
              <w:rPr>
                <w:sz w:val="22"/>
                <w:szCs w:val="22"/>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EDEDE"/>
          </w:tcPr>
          <w:p>
            <w:pPr>
              <w:spacing w:after="0"/>
              <w:rPr>
                <w:sz w:val="22"/>
                <w:szCs w:val="22"/>
                <w:color w:val="auto"/>
              </w:rPr>
            </w:pPr>
          </w:p>
        </w:tc>
        <w:tc>
          <w:tcPr>
            <w:tcW w:w="240" w:type="dxa"/>
            <w:vAlign w:val="bottom"/>
            <w:shd w:val="clear" w:color="auto" w:fill="DEDEDE"/>
          </w:tcPr>
          <w:p>
            <w:pPr>
              <w:spacing w:after="0"/>
              <w:rPr>
                <w:sz w:val="22"/>
                <w:szCs w:val="22"/>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(1,000,003)</w:t>
            </w:r>
          </w:p>
        </w:tc>
        <w:tc>
          <w:tcPr>
            <w:tcW w:w="0" w:type="dxa"/>
            <w:vAlign w:val="bottom"/>
          </w:tcPr>
          <w:p>
            <w:pPr>
              <w:spacing w:after="0"/>
              <w:rPr>
                <w:sz w:val="1"/>
                <w:szCs w:val="1"/>
                <w:color w:val="auto"/>
              </w:rPr>
            </w:pPr>
          </w:p>
        </w:tc>
      </w:tr>
      <w:tr>
        <w:trPr>
          <w:trHeight w:val="190"/>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Issuance of common stock for employee stock purchase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678,279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53,709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53,710</w:t>
            </w:r>
          </w:p>
        </w:tc>
        <w:tc>
          <w:tcPr>
            <w:tcW w:w="0" w:type="dxa"/>
            <w:vAlign w:val="bottom"/>
          </w:tcPr>
          <w:p>
            <w:pPr>
              <w:spacing w:after="0"/>
              <w:rPr>
                <w:sz w:val="1"/>
                <w:szCs w:val="1"/>
                <w:color w:val="auto"/>
              </w:rPr>
            </w:pPr>
          </w:p>
        </w:tc>
      </w:tr>
      <w:tr>
        <w:trPr>
          <w:trHeight w:val="210"/>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plan</w:t>
            </w: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7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EDEDE"/>
          </w:tcPr>
          <w:p>
            <w:pPr>
              <w:spacing w:after="0"/>
              <w:rPr>
                <w:sz w:val="22"/>
                <w:szCs w:val="22"/>
                <w:color w:val="auto"/>
              </w:rPr>
            </w:pPr>
          </w:p>
        </w:tc>
        <w:tc>
          <w:tcPr>
            <w:tcW w:w="400" w:type="dxa"/>
            <w:vAlign w:val="bottom"/>
            <w:shd w:val="clear" w:color="auto" w:fill="DEDEDE"/>
          </w:tcPr>
          <w:p>
            <w:pPr>
              <w:spacing w:after="0"/>
              <w:rPr>
                <w:sz w:val="22"/>
                <w:szCs w:val="22"/>
                <w:color w:val="auto"/>
              </w:rPr>
            </w:pPr>
          </w:p>
        </w:tc>
        <w:tc>
          <w:tcPr>
            <w:tcW w:w="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1,292,839</w:t>
            </w:r>
          </w:p>
        </w:tc>
        <w:tc>
          <w:tcPr>
            <w:tcW w:w="80" w:type="dxa"/>
            <w:vAlign w:val="bottom"/>
            <w:shd w:val="clear" w:color="auto" w:fill="DEDEDE"/>
          </w:tcPr>
          <w:p>
            <w:pPr>
              <w:spacing w:after="0"/>
              <w:rPr>
                <w:sz w:val="22"/>
                <w:szCs w:val="22"/>
                <w:color w:val="auto"/>
              </w:rPr>
            </w:pPr>
          </w:p>
        </w:tc>
        <w:tc>
          <w:tcPr>
            <w:tcW w:w="120" w:type="dxa"/>
            <w:vAlign w:val="bottom"/>
            <w:shd w:val="clear" w:color="auto" w:fill="DEDEDE"/>
          </w:tcPr>
          <w:p>
            <w:pPr>
              <w:spacing w:after="0"/>
              <w:rPr>
                <w:sz w:val="22"/>
                <w:szCs w:val="22"/>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EDEDE"/>
          </w:tcPr>
          <w:p>
            <w:pPr>
              <w:spacing w:after="0"/>
              <w:rPr>
                <w:sz w:val="22"/>
                <w:szCs w:val="22"/>
                <w:color w:val="auto"/>
              </w:rPr>
            </w:pPr>
          </w:p>
        </w:tc>
        <w:tc>
          <w:tcPr>
            <w:tcW w:w="180" w:type="dxa"/>
            <w:vAlign w:val="bottom"/>
            <w:shd w:val="clear" w:color="auto" w:fill="DEDEDE"/>
          </w:tcPr>
          <w:p>
            <w:pPr>
              <w:spacing w:after="0"/>
              <w:rPr>
                <w:sz w:val="22"/>
                <w:szCs w:val="22"/>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EDEDE"/>
          </w:tcPr>
          <w:p>
            <w:pPr>
              <w:spacing w:after="0"/>
              <w:rPr>
                <w:sz w:val="22"/>
                <w:szCs w:val="22"/>
                <w:color w:val="auto"/>
              </w:rPr>
            </w:pPr>
          </w:p>
        </w:tc>
        <w:tc>
          <w:tcPr>
            <w:tcW w:w="240" w:type="dxa"/>
            <w:vAlign w:val="bottom"/>
            <w:shd w:val="clear" w:color="auto" w:fill="DEDEDE"/>
          </w:tcPr>
          <w:p>
            <w:pPr>
              <w:spacing w:after="0"/>
              <w:rPr>
                <w:sz w:val="22"/>
                <w:szCs w:val="22"/>
                <w:color w:val="auto"/>
              </w:rPr>
            </w:pPr>
          </w:p>
        </w:tc>
        <w:tc>
          <w:tcPr>
            <w:tcW w:w="900" w:type="dxa"/>
            <w:vAlign w:val="bottom"/>
            <w:shd w:val="clear" w:color="auto" w:fill="DEDEDE"/>
          </w:tcPr>
          <w:p>
            <w:pPr>
              <w:jc w:val="right"/>
              <w:ind w:right="2"/>
              <w:spacing w:after="0"/>
              <w:rPr>
                <w:sz w:val="20"/>
                <w:szCs w:val="20"/>
                <w:color w:val="auto"/>
              </w:rPr>
            </w:pPr>
            <w:r>
              <w:rPr>
                <w:rFonts w:ascii="Times New Roman" w:cs="Times New Roman" w:eastAsia="Times New Roman" w:hAnsi="Times New Roman"/>
                <w:sz w:val="16"/>
                <w:szCs w:val="16"/>
                <w:color w:val="auto"/>
              </w:rPr>
              <w:t>1,292,839</w:t>
            </w:r>
          </w:p>
        </w:tc>
        <w:tc>
          <w:tcPr>
            <w:tcW w:w="0" w:type="dxa"/>
            <w:vAlign w:val="bottom"/>
          </w:tcPr>
          <w:p>
            <w:pPr>
              <w:spacing w:after="0"/>
              <w:rPr>
                <w:sz w:val="1"/>
                <w:szCs w:val="1"/>
                <w:color w:val="auto"/>
              </w:rPr>
            </w:pPr>
          </w:p>
        </w:tc>
      </w:tr>
      <w:tr>
        <w:trPr>
          <w:trHeight w:val="239"/>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(32,483)</w:t>
            </w:r>
          </w:p>
        </w:tc>
        <w:tc>
          <w:tcPr>
            <w:tcW w:w="0" w:type="dxa"/>
            <w:vAlign w:val="bottom"/>
          </w:tcPr>
          <w:p>
            <w:pPr>
              <w:spacing w:after="0"/>
              <w:rPr>
                <w:sz w:val="1"/>
                <w:szCs w:val="1"/>
                <w:color w:val="auto"/>
              </w:rPr>
            </w:pPr>
          </w:p>
        </w:tc>
      </w:tr>
      <w:tr>
        <w:trPr>
          <w:trHeight w:val="263"/>
        </w:trPr>
        <w:tc>
          <w:tcPr>
            <w:tcW w:w="374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DEDEDE"/>
            </w:tcBorders>
            <w:shd w:val="clear" w:color="auto" w:fill="DEDEDE"/>
          </w:tcPr>
          <w:p>
            <w:pPr>
              <w:spacing w:after="0"/>
              <w:rPr>
                <w:sz w:val="22"/>
                <w:szCs w:val="22"/>
                <w:color w:val="auto"/>
              </w:rPr>
            </w:pPr>
          </w:p>
        </w:tc>
        <w:tc>
          <w:tcPr>
            <w:tcW w:w="400" w:type="dxa"/>
            <w:vAlign w:val="bottom"/>
            <w:tcBorders>
              <w:bottom w:val="single" w:sz="8" w:color="auto"/>
            </w:tcBorders>
            <w:shd w:val="clear" w:color="auto" w:fill="DEDEDE"/>
          </w:tcPr>
          <w:p>
            <w:pPr>
              <w:spacing w:after="0"/>
              <w:rPr>
                <w:sz w:val="22"/>
                <w:szCs w:val="22"/>
                <w:color w:val="auto"/>
              </w:rPr>
            </w:pPr>
          </w:p>
        </w:tc>
        <w:tc>
          <w:tcPr>
            <w:tcW w:w="3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EDEDE"/>
            </w:tcBorders>
            <w:shd w:val="clear" w:color="auto" w:fill="DEDEDE"/>
          </w:tcPr>
          <w:p>
            <w:pPr>
              <w:spacing w:after="0"/>
              <w:rPr>
                <w:sz w:val="22"/>
                <w:szCs w:val="22"/>
                <w:color w:val="auto"/>
              </w:rPr>
            </w:pPr>
          </w:p>
        </w:tc>
        <w:tc>
          <w:tcPr>
            <w:tcW w:w="8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DEDEDE"/>
            </w:tcBorders>
            <w:shd w:val="clear" w:color="auto" w:fill="DEDEDE"/>
          </w:tcPr>
          <w:p>
            <w:pPr>
              <w:spacing w:after="0"/>
              <w:rPr>
                <w:sz w:val="22"/>
                <w:szCs w:val="22"/>
                <w:color w:val="auto"/>
              </w:rPr>
            </w:pPr>
          </w:p>
        </w:tc>
        <w:tc>
          <w:tcPr>
            <w:tcW w:w="120" w:type="dxa"/>
            <w:vAlign w:val="bottom"/>
            <w:tcBorders>
              <w:bottom w:val="single" w:sz="8" w:color="auto"/>
            </w:tcBorders>
            <w:shd w:val="clear" w:color="auto" w:fill="DEDEDE"/>
          </w:tcPr>
          <w:p>
            <w:pPr>
              <w:spacing w:after="0"/>
              <w:rPr>
                <w:sz w:val="22"/>
                <w:szCs w:val="22"/>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EDEDE"/>
            </w:tcBorders>
            <w:shd w:val="clear" w:color="auto" w:fill="DEDEDE"/>
          </w:tcPr>
          <w:p>
            <w:pPr>
              <w:spacing w:after="0"/>
              <w:rPr>
                <w:sz w:val="22"/>
                <w:szCs w:val="22"/>
                <w:color w:val="auto"/>
              </w:rPr>
            </w:pPr>
          </w:p>
        </w:tc>
        <w:tc>
          <w:tcPr>
            <w:tcW w:w="180" w:type="dxa"/>
            <w:vAlign w:val="bottom"/>
            <w:tcBorders>
              <w:bottom w:val="single" w:sz="8" w:color="auto"/>
            </w:tcBorders>
            <w:shd w:val="clear" w:color="auto" w:fill="DEDEDE"/>
          </w:tcPr>
          <w:p>
            <w:pPr>
              <w:spacing w:after="0"/>
              <w:rPr>
                <w:sz w:val="22"/>
                <w:szCs w:val="22"/>
                <w:color w:val="auto"/>
              </w:rPr>
            </w:pPr>
          </w:p>
        </w:tc>
        <w:tc>
          <w:tcPr>
            <w:tcW w:w="8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103,711</w:t>
            </w:r>
          </w:p>
        </w:tc>
        <w:tc>
          <w:tcPr>
            <w:tcW w:w="80" w:type="dxa"/>
            <w:vAlign w:val="bottom"/>
            <w:tcBorders>
              <w:bottom w:val="single" w:sz="8" w:color="DEDEDE"/>
            </w:tcBorders>
            <w:shd w:val="clear" w:color="auto" w:fill="DEDEDE"/>
          </w:tcPr>
          <w:p>
            <w:pPr>
              <w:spacing w:after="0"/>
              <w:rPr>
                <w:sz w:val="22"/>
                <w:szCs w:val="22"/>
                <w:color w:val="auto"/>
              </w:rPr>
            </w:pPr>
          </w:p>
        </w:tc>
        <w:tc>
          <w:tcPr>
            <w:tcW w:w="240" w:type="dxa"/>
            <w:vAlign w:val="bottom"/>
            <w:tcBorders>
              <w:bottom w:val="single" w:sz="8" w:color="auto"/>
            </w:tcBorders>
            <w:shd w:val="clear" w:color="auto" w:fill="DEDEDE"/>
          </w:tcPr>
          <w:p>
            <w:pPr>
              <w:spacing w:after="0"/>
              <w:rPr>
                <w:sz w:val="22"/>
                <w:szCs w:val="22"/>
                <w:color w:val="auto"/>
              </w:rPr>
            </w:pPr>
          </w:p>
        </w:tc>
        <w:tc>
          <w:tcPr>
            <w:tcW w:w="900" w:type="dxa"/>
            <w:vAlign w:val="bottom"/>
            <w:tcBorders>
              <w:bottom w:val="single" w:sz="8" w:color="auto"/>
            </w:tcBorders>
            <w:shd w:val="clear" w:color="auto" w:fill="DEDEDE"/>
          </w:tcPr>
          <w:p>
            <w:pPr>
              <w:jc w:val="right"/>
              <w:ind w:right="2"/>
              <w:spacing w:after="0"/>
              <w:rPr>
                <w:sz w:val="20"/>
                <w:szCs w:val="20"/>
                <w:color w:val="auto"/>
              </w:rPr>
            </w:pPr>
            <w:r>
              <w:rPr>
                <w:rFonts w:ascii="Times New Roman" w:cs="Times New Roman" w:eastAsia="Times New Roman" w:hAnsi="Times New Roman"/>
                <w:sz w:val="16"/>
                <w:szCs w:val="16"/>
                <w:color w:val="auto"/>
              </w:rPr>
              <w:t>103,711</w:t>
            </w:r>
          </w:p>
        </w:tc>
        <w:tc>
          <w:tcPr>
            <w:tcW w:w="0" w:type="dxa"/>
            <w:vAlign w:val="bottom"/>
          </w:tcPr>
          <w:p>
            <w:pPr>
              <w:spacing w:after="0"/>
              <w:rPr>
                <w:sz w:val="1"/>
                <w:szCs w:val="1"/>
                <w:color w:val="auto"/>
              </w:rPr>
            </w:pPr>
          </w:p>
        </w:tc>
      </w:tr>
      <w:tr>
        <w:trPr>
          <w:trHeight w:val="212"/>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Balance as of January 31,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293,822,850</w:t>
            </w:r>
          </w:p>
        </w:tc>
        <w:tc>
          <w:tcPr>
            <w:tcW w:w="48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$ 4,104,880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(50,385)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2,151,818</w:t>
            </w:r>
          </w:p>
        </w:tc>
        <w:tc>
          <w:tcPr>
            <w:tcW w:w="3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6,206,607</w:t>
            </w:r>
          </w:p>
        </w:tc>
        <w:tc>
          <w:tcPr>
            <w:tcW w:w="0" w:type="dxa"/>
            <w:vAlign w:val="bottom"/>
          </w:tcPr>
          <w:p>
            <w:pPr>
              <w:spacing w:after="0"/>
              <w:rPr>
                <w:sz w:val="1"/>
                <w:szCs w:val="1"/>
                <w:color w:val="auto"/>
              </w:rPr>
            </w:pPr>
          </w:p>
        </w:tc>
      </w:tr>
      <w:tr>
        <w:trPr>
          <w:trHeight w:val="256"/>
        </w:trPr>
        <w:tc>
          <w:tcPr>
            <w:tcW w:w="37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6"/>
                <w:szCs w:val="16"/>
                <w:color w:val="auto"/>
                <w:w w:val="99"/>
              </w:rPr>
              <w:t>Issuance of common stock upon exercise of stock options</w:t>
            </w: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1,464,158</w:t>
            </w:r>
          </w:p>
        </w:tc>
        <w:tc>
          <w:tcPr>
            <w:tcW w:w="80" w:type="dxa"/>
            <w:vAlign w:val="bottom"/>
            <w:shd w:val="clear" w:color="auto" w:fill="DEDEDE"/>
          </w:tcPr>
          <w:p>
            <w:pPr>
              <w:spacing w:after="0"/>
              <w:rPr>
                <w:sz w:val="22"/>
                <w:szCs w:val="22"/>
                <w:color w:val="auto"/>
              </w:rPr>
            </w:pPr>
          </w:p>
        </w:tc>
        <w:tc>
          <w:tcPr>
            <w:tcW w:w="400" w:type="dxa"/>
            <w:vAlign w:val="bottom"/>
            <w:shd w:val="clear" w:color="auto" w:fill="DEDEDE"/>
          </w:tcPr>
          <w:p>
            <w:pPr>
              <w:spacing w:after="0"/>
              <w:rPr>
                <w:sz w:val="22"/>
                <w:szCs w:val="22"/>
                <w:color w:val="auto"/>
              </w:rPr>
            </w:pPr>
          </w:p>
        </w:tc>
        <w:tc>
          <w:tcPr>
            <w:tcW w:w="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10,194</w:t>
            </w:r>
          </w:p>
        </w:tc>
        <w:tc>
          <w:tcPr>
            <w:tcW w:w="80" w:type="dxa"/>
            <w:vAlign w:val="bottom"/>
            <w:shd w:val="clear" w:color="auto" w:fill="DEDEDE"/>
          </w:tcPr>
          <w:p>
            <w:pPr>
              <w:spacing w:after="0"/>
              <w:rPr>
                <w:sz w:val="22"/>
                <w:szCs w:val="22"/>
                <w:color w:val="auto"/>
              </w:rPr>
            </w:pPr>
          </w:p>
        </w:tc>
        <w:tc>
          <w:tcPr>
            <w:tcW w:w="120" w:type="dxa"/>
            <w:vAlign w:val="bottom"/>
            <w:shd w:val="clear" w:color="auto" w:fill="DEDEDE"/>
          </w:tcPr>
          <w:p>
            <w:pPr>
              <w:spacing w:after="0"/>
              <w:rPr>
                <w:sz w:val="22"/>
                <w:szCs w:val="22"/>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EDEDE"/>
          </w:tcPr>
          <w:p>
            <w:pPr>
              <w:spacing w:after="0"/>
              <w:rPr>
                <w:sz w:val="22"/>
                <w:szCs w:val="22"/>
                <w:color w:val="auto"/>
              </w:rPr>
            </w:pPr>
          </w:p>
        </w:tc>
        <w:tc>
          <w:tcPr>
            <w:tcW w:w="180" w:type="dxa"/>
            <w:vAlign w:val="bottom"/>
            <w:shd w:val="clear" w:color="auto" w:fill="DEDEDE"/>
          </w:tcPr>
          <w:p>
            <w:pPr>
              <w:spacing w:after="0"/>
              <w:rPr>
                <w:sz w:val="22"/>
                <w:szCs w:val="22"/>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EDEDE"/>
          </w:tcPr>
          <w:p>
            <w:pPr>
              <w:spacing w:after="0"/>
              <w:rPr>
                <w:sz w:val="22"/>
                <w:szCs w:val="22"/>
                <w:color w:val="auto"/>
              </w:rPr>
            </w:pPr>
          </w:p>
        </w:tc>
        <w:tc>
          <w:tcPr>
            <w:tcW w:w="240" w:type="dxa"/>
            <w:vAlign w:val="bottom"/>
            <w:shd w:val="clear" w:color="auto" w:fill="DEDEDE"/>
          </w:tcPr>
          <w:p>
            <w:pPr>
              <w:spacing w:after="0"/>
              <w:rPr>
                <w:sz w:val="22"/>
                <w:szCs w:val="22"/>
                <w:color w:val="auto"/>
              </w:rPr>
            </w:pPr>
          </w:p>
        </w:tc>
        <w:tc>
          <w:tcPr>
            <w:tcW w:w="900" w:type="dxa"/>
            <w:vAlign w:val="bottom"/>
            <w:shd w:val="clear" w:color="auto" w:fill="DEDEDE"/>
          </w:tcPr>
          <w:p>
            <w:pPr>
              <w:jc w:val="right"/>
              <w:ind w:right="2"/>
              <w:spacing w:after="0"/>
              <w:rPr>
                <w:sz w:val="20"/>
                <w:szCs w:val="20"/>
                <w:color w:val="auto"/>
              </w:rPr>
            </w:pPr>
            <w:r>
              <w:rPr>
                <w:rFonts w:ascii="Times New Roman" w:cs="Times New Roman" w:eastAsia="Times New Roman" w:hAnsi="Times New Roman"/>
                <w:sz w:val="16"/>
                <w:szCs w:val="16"/>
                <w:color w:val="auto"/>
              </w:rPr>
              <w:t>10,195</w:t>
            </w:r>
          </w:p>
        </w:tc>
        <w:tc>
          <w:tcPr>
            <w:tcW w:w="0" w:type="dxa"/>
            <w:vAlign w:val="bottom"/>
          </w:tcPr>
          <w:p>
            <w:pPr>
              <w:spacing w:after="0"/>
              <w:rPr>
                <w:sz w:val="1"/>
                <w:szCs w:val="1"/>
                <w:color w:val="auto"/>
              </w:rPr>
            </w:pPr>
          </w:p>
        </w:tc>
      </w:tr>
      <w:tr>
        <w:trPr>
          <w:trHeight w:val="190"/>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8"/>
              </w:rPr>
              <w:t>Issuance of common stock upon release of restricted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11,349,453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6"/>
                <w:szCs w:val="16"/>
                <w:color w:val="auto"/>
              </w:rPr>
              <w:t>Issuance of common stock for employee stock purchase</w:t>
            </w:r>
          </w:p>
        </w:tc>
        <w:tc>
          <w:tcPr>
            <w:tcW w:w="94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921,892</w:t>
            </w:r>
          </w:p>
        </w:tc>
        <w:tc>
          <w:tcPr>
            <w:tcW w:w="80" w:type="dxa"/>
            <w:vAlign w:val="bottom"/>
            <w:shd w:val="clear" w:color="auto" w:fill="DEDEDE"/>
          </w:tcPr>
          <w:p>
            <w:pPr>
              <w:spacing w:after="0"/>
              <w:rPr>
                <w:sz w:val="17"/>
                <w:szCs w:val="17"/>
                <w:color w:val="auto"/>
              </w:rPr>
            </w:pPr>
          </w:p>
        </w:tc>
        <w:tc>
          <w:tcPr>
            <w:tcW w:w="400" w:type="dxa"/>
            <w:vAlign w:val="bottom"/>
            <w:shd w:val="clear" w:color="auto" w:fill="DEDEDE"/>
          </w:tcPr>
          <w:p>
            <w:pPr>
              <w:spacing w:after="0"/>
              <w:rPr>
                <w:sz w:val="17"/>
                <w:szCs w:val="17"/>
                <w:color w:val="auto"/>
              </w:rPr>
            </w:pPr>
          </w:p>
        </w:tc>
        <w:tc>
          <w:tcPr>
            <w:tcW w:w="34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00" w:type="dxa"/>
            <w:vAlign w:val="bottom"/>
            <w:gridSpan w:val="2"/>
            <w:vMerge w:val="restart"/>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54,096</w:t>
            </w:r>
          </w:p>
        </w:tc>
        <w:tc>
          <w:tcPr>
            <w:tcW w:w="8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04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86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EDEDE"/>
          </w:tcPr>
          <w:p>
            <w:pPr>
              <w:spacing w:after="0"/>
              <w:rPr>
                <w:sz w:val="17"/>
                <w:szCs w:val="17"/>
                <w:color w:val="auto"/>
              </w:rPr>
            </w:pPr>
          </w:p>
        </w:tc>
        <w:tc>
          <w:tcPr>
            <w:tcW w:w="240" w:type="dxa"/>
            <w:vAlign w:val="bottom"/>
            <w:shd w:val="clear" w:color="auto" w:fill="DEDEDE"/>
          </w:tcPr>
          <w:p>
            <w:pPr>
              <w:spacing w:after="0"/>
              <w:rPr>
                <w:sz w:val="17"/>
                <w:szCs w:val="17"/>
                <w:color w:val="auto"/>
              </w:rPr>
            </w:pPr>
          </w:p>
        </w:tc>
        <w:tc>
          <w:tcPr>
            <w:tcW w:w="900" w:type="dxa"/>
            <w:vAlign w:val="bottom"/>
            <w:vMerge w:val="restart"/>
            <w:shd w:val="clear" w:color="auto" w:fill="DEDEDE"/>
          </w:tcPr>
          <w:p>
            <w:pPr>
              <w:jc w:val="right"/>
              <w:ind w:right="2"/>
              <w:spacing w:after="0"/>
              <w:rPr>
                <w:sz w:val="20"/>
                <w:szCs w:val="20"/>
                <w:color w:val="auto"/>
              </w:rPr>
            </w:pPr>
            <w:r>
              <w:rPr>
                <w:rFonts w:ascii="Times New Roman" w:cs="Times New Roman" w:eastAsia="Times New Roman" w:hAnsi="Times New Roman"/>
                <w:sz w:val="16"/>
                <w:szCs w:val="16"/>
                <w:color w:val="auto"/>
              </w:rPr>
              <w:t>54,097</w:t>
            </w:r>
          </w:p>
        </w:tc>
        <w:tc>
          <w:tcPr>
            <w:tcW w:w="0" w:type="dxa"/>
            <w:vAlign w:val="bottom"/>
          </w:tcPr>
          <w:p>
            <w:pPr>
              <w:spacing w:after="0"/>
              <w:rPr>
                <w:sz w:val="1"/>
                <w:szCs w:val="1"/>
                <w:color w:val="auto"/>
              </w:rPr>
            </w:pPr>
          </w:p>
        </w:tc>
      </w:tr>
      <w:tr>
        <w:trPr>
          <w:trHeight w:val="218"/>
        </w:trPr>
        <w:tc>
          <w:tcPr>
            <w:tcW w:w="37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6"/>
                <w:szCs w:val="16"/>
                <w:color w:val="auto"/>
              </w:rPr>
              <w:t>plan</w:t>
            </w:r>
          </w:p>
        </w:tc>
        <w:tc>
          <w:tcPr>
            <w:tcW w:w="940" w:type="dxa"/>
            <w:vAlign w:val="bottom"/>
            <w:vMerge w:val="continue"/>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400" w:type="dxa"/>
            <w:vAlign w:val="bottom"/>
            <w:shd w:val="clear" w:color="auto" w:fill="DEDEDE"/>
          </w:tcPr>
          <w:p>
            <w:pPr>
              <w:spacing w:after="0"/>
              <w:rPr>
                <w:sz w:val="18"/>
                <w:szCs w:val="18"/>
                <w:color w:val="auto"/>
              </w:rPr>
            </w:pPr>
          </w:p>
        </w:tc>
        <w:tc>
          <w:tcPr>
            <w:tcW w:w="340" w:type="dxa"/>
            <w:vAlign w:val="bottom"/>
            <w:vMerge w:val="continue"/>
            <w:shd w:val="clear" w:color="auto" w:fill="DEDEDE"/>
          </w:tcPr>
          <w:p>
            <w:pPr>
              <w:spacing w:after="0"/>
              <w:rPr>
                <w:sz w:val="18"/>
                <w:szCs w:val="18"/>
                <w:color w:val="auto"/>
              </w:rPr>
            </w:pPr>
          </w:p>
        </w:tc>
        <w:tc>
          <w:tcPr>
            <w:tcW w:w="900" w:type="dxa"/>
            <w:vAlign w:val="bottom"/>
            <w:gridSpan w:val="2"/>
            <w:vMerge w:val="continue"/>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40" w:type="dxa"/>
            <w:vAlign w:val="bottom"/>
            <w:vMerge w:val="continue"/>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860" w:type="dxa"/>
            <w:vAlign w:val="bottom"/>
            <w:vMerge w:val="continue"/>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900" w:type="dxa"/>
            <w:vAlign w:val="bottom"/>
            <w:vMerge w:val="continue"/>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1,059,597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1,059,597</w:t>
            </w:r>
          </w:p>
        </w:tc>
        <w:tc>
          <w:tcPr>
            <w:tcW w:w="0" w:type="dxa"/>
            <w:vAlign w:val="bottom"/>
          </w:tcPr>
          <w:p>
            <w:pPr>
              <w:spacing w:after="0"/>
              <w:rPr>
                <w:sz w:val="1"/>
                <w:szCs w:val="1"/>
                <w:color w:val="auto"/>
              </w:rPr>
            </w:pPr>
          </w:p>
        </w:tc>
      </w:tr>
      <w:tr>
        <w:trPr>
          <w:trHeight w:val="256"/>
        </w:trPr>
        <w:tc>
          <w:tcPr>
            <w:tcW w:w="3740" w:type="dxa"/>
            <w:vAlign w:val="bottom"/>
            <w:shd w:val="clear" w:color="auto" w:fill="DEDEDE"/>
          </w:tcPr>
          <w:p>
            <w:pPr>
              <w:ind w:left="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EDEDE"/>
          </w:tcPr>
          <w:p>
            <w:pPr>
              <w:spacing w:after="0"/>
              <w:rPr>
                <w:sz w:val="22"/>
                <w:szCs w:val="22"/>
                <w:color w:val="auto"/>
              </w:rPr>
            </w:pPr>
          </w:p>
        </w:tc>
        <w:tc>
          <w:tcPr>
            <w:tcW w:w="400" w:type="dxa"/>
            <w:vAlign w:val="bottom"/>
            <w:shd w:val="clear" w:color="auto" w:fill="DEDEDE"/>
          </w:tcPr>
          <w:p>
            <w:pPr>
              <w:spacing w:after="0"/>
              <w:rPr>
                <w:sz w:val="22"/>
                <w:szCs w:val="22"/>
                <w:color w:val="auto"/>
              </w:rPr>
            </w:pPr>
          </w:p>
        </w:tc>
        <w:tc>
          <w:tcPr>
            <w:tcW w:w="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EDEDE"/>
          </w:tcPr>
          <w:p>
            <w:pPr>
              <w:spacing w:after="0"/>
              <w:rPr>
                <w:sz w:val="22"/>
                <w:szCs w:val="22"/>
                <w:color w:val="auto"/>
              </w:rPr>
            </w:pPr>
          </w:p>
        </w:tc>
        <w:tc>
          <w:tcPr>
            <w:tcW w:w="8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EDEDE"/>
          </w:tcPr>
          <w:p>
            <w:pPr>
              <w:spacing w:after="0"/>
              <w:rPr>
                <w:sz w:val="22"/>
                <w:szCs w:val="22"/>
                <w:color w:val="auto"/>
              </w:rPr>
            </w:pPr>
          </w:p>
        </w:tc>
        <w:tc>
          <w:tcPr>
            <w:tcW w:w="120" w:type="dxa"/>
            <w:vAlign w:val="bottom"/>
            <w:shd w:val="clear" w:color="auto" w:fill="DEDEDE"/>
          </w:tcPr>
          <w:p>
            <w:pPr>
              <w:spacing w:after="0"/>
              <w:rPr>
                <w:sz w:val="22"/>
                <w:szCs w:val="22"/>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51,448</w:t>
            </w:r>
          </w:p>
        </w:tc>
        <w:tc>
          <w:tcPr>
            <w:tcW w:w="60" w:type="dxa"/>
            <w:vAlign w:val="bottom"/>
            <w:shd w:val="clear" w:color="auto" w:fill="DEDEDE"/>
          </w:tcPr>
          <w:p>
            <w:pPr>
              <w:spacing w:after="0"/>
              <w:rPr>
                <w:sz w:val="22"/>
                <w:szCs w:val="22"/>
                <w:color w:val="auto"/>
              </w:rPr>
            </w:pPr>
          </w:p>
        </w:tc>
        <w:tc>
          <w:tcPr>
            <w:tcW w:w="180" w:type="dxa"/>
            <w:vAlign w:val="bottom"/>
            <w:shd w:val="clear" w:color="auto" w:fill="DEDEDE"/>
          </w:tcPr>
          <w:p>
            <w:pPr>
              <w:spacing w:after="0"/>
              <w:rPr>
                <w:sz w:val="22"/>
                <w:szCs w:val="22"/>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EDEDE"/>
          </w:tcPr>
          <w:p>
            <w:pPr>
              <w:spacing w:after="0"/>
              <w:rPr>
                <w:sz w:val="22"/>
                <w:szCs w:val="22"/>
                <w:color w:val="auto"/>
              </w:rPr>
            </w:pPr>
          </w:p>
        </w:tc>
        <w:tc>
          <w:tcPr>
            <w:tcW w:w="240" w:type="dxa"/>
            <w:vAlign w:val="bottom"/>
            <w:shd w:val="clear" w:color="auto" w:fill="DEDEDE"/>
          </w:tcPr>
          <w:p>
            <w:pPr>
              <w:spacing w:after="0"/>
              <w:rPr>
                <w:sz w:val="22"/>
                <w:szCs w:val="22"/>
                <w:color w:val="auto"/>
              </w:rPr>
            </w:pPr>
          </w:p>
        </w:tc>
        <w:tc>
          <w:tcPr>
            <w:tcW w:w="900" w:type="dxa"/>
            <w:vAlign w:val="bottom"/>
            <w:shd w:val="clear" w:color="auto" w:fill="DEDEDE"/>
          </w:tcPr>
          <w:p>
            <w:pPr>
              <w:jc w:val="right"/>
              <w:ind w:right="2"/>
              <w:spacing w:after="0"/>
              <w:rPr>
                <w:sz w:val="20"/>
                <w:szCs w:val="20"/>
                <w:color w:val="auto"/>
              </w:rPr>
            </w:pPr>
            <w:r>
              <w:rPr>
                <w:rFonts w:ascii="Times New Roman" w:cs="Times New Roman" w:eastAsia="Times New Roman" w:hAnsi="Times New Roman"/>
                <w:sz w:val="16"/>
                <w:szCs w:val="16"/>
                <w:color w:val="auto"/>
              </w:rPr>
              <w:t>51,448</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DEDEDE"/>
            </w:tcBorders>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DEDEDE"/>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EDEDE"/>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DEDED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EDED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637,462</w:t>
            </w:r>
          </w:p>
        </w:tc>
        <w:tc>
          <w:tcPr>
            <w:tcW w:w="8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637,462</w:t>
            </w:r>
          </w:p>
        </w:tc>
        <w:tc>
          <w:tcPr>
            <w:tcW w:w="0" w:type="dxa"/>
            <w:vAlign w:val="bottom"/>
          </w:tcPr>
          <w:p>
            <w:pPr>
              <w:spacing w:after="0"/>
              <w:rPr>
                <w:sz w:val="1"/>
                <w:szCs w:val="1"/>
                <w:color w:val="auto"/>
              </w:rPr>
            </w:pPr>
          </w:p>
        </w:tc>
      </w:tr>
      <w:tr>
        <w:trPr>
          <w:trHeight w:val="247"/>
        </w:trPr>
        <w:tc>
          <w:tcPr>
            <w:tcW w:w="374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6"/>
                <w:szCs w:val="16"/>
                <w:b w:val="1"/>
                <w:bCs w:val="1"/>
                <w:color w:val="auto"/>
              </w:rPr>
              <w:t>Balance as of January 31, 2024</w:t>
            </w: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307,558,353</w:t>
            </w:r>
          </w:p>
        </w:tc>
        <w:tc>
          <w:tcPr>
            <w:tcW w:w="80" w:type="dxa"/>
            <w:vAlign w:val="bottom"/>
            <w:tcBorders>
              <w:bottom w:val="single" w:sz="8" w:color="DEDEDE"/>
            </w:tcBorders>
            <w:shd w:val="clear" w:color="auto" w:fill="DEDEDE"/>
          </w:tcPr>
          <w:p>
            <w:pPr>
              <w:spacing w:after="0"/>
              <w:rPr>
                <w:sz w:val="21"/>
                <w:szCs w:val="21"/>
                <w:color w:val="auto"/>
              </w:rPr>
            </w:pPr>
          </w:p>
        </w:tc>
        <w:tc>
          <w:tcPr>
            <w:tcW w:w="400" w:type="dxa"/>
            <w:vAlign w:val="bottom"/>
            <w:tcBorders>
              <w:bottom w:val="single" w:sz="8" w:color="auto"/>
            </w:tcBorders>
            <w:shd w:val="clear" w:color="auto" w:fill="DEDEDE"/>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60" w:type="dxa"/>
            <w:vAlign w:val="bottom"/>
            <w:tcBorders>
              <w:bottom w:val="single" w:sz="8" w:color="DEDEDE"/>
            </w:tcBorders>
            <w:shd w:val="clear" w:color="auto" w:fill="DEDEDE"/>
          </w:tcPr>
          <w:p>
            <w:pPr>
              <w:spacing w:after="0"/>
              <w:rPr>
                <w:sz w:val="21"/>
                <w:szCs w:val="21"/>
                <w:color w:val="auto"/>
              </w:rPr>
            </w:pPr>
          </w:p>
        </w:tc>
        <w:tc>
          <w:tcPr>
            <w:tcW w:w="8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w w:val="99"/>
              </w:rPr>
              <w:t>$ 5,228,756</w:t>
            </w:r>
          </w:p>
        </w:tc>
        <w:tc>
          <w:tcPr>
            <w:tcW w:w="80" w:type="dxa"/>
            <w:vAlign w:val="bottom"/>
            <w:tcBorders>
              <w:bottom w:val="single" w:sz="8" w:color="DEDEDE"/>
            </w:tcBorders>
            <w:shd w:val="clear" w:color="auto" w:fill="DEDEDE"/>
          </w:tcPr>
          <w:p>
            <w:pPr>
              <w:spacing w:after="0"/>
              <w:rPr>
                <w:sz w:val="21"/>
                <w:szCs w:val="21"/>
                <w:color w:val="auto"/>
              </w:rPr>
            </w:pPr>
          </w:p>
        </w:tc>
        <w:tc>
          <w:tcPr>
            <w:tcW w:w="120" w:type="dxa"/>
            <w:vAlign w:val="bottom"/>
            <w:tcBorders>
              <w:bottom w:val="single" w:sz="8" w:color="auto"/>
            </w:tcBorders>
            <w:shd w:val="clear" w:color="auto" w:fill="DEDEDE"/>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60" w:type="dxa"/>
            <w:vAlign w:val="bottom"/>
            <w:tcBorders>
              <w:bottom w:val="single" w:sz="8" w:color="DEDEDE"/>
            </w:tcBorders>
            <w:shd w:val="clear" w:color="auto" w:fill="DEDEDE"/>
          </w:tcPr>
          <w:p>
            <w:pPr>
              <w:spacing w:after="0"/>
              <w:rPr>
                <w:sz w:val="21"/>
                <w:szCs w:val="21"/>
                <w:color w:val="auto"/>
              </w:rPr>
            </w:pPr>
          </w:p>
        </w:tc>
        <w:tc>
          <w:tcPr>
            <w:tcW w:w="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2,789,280</w:t>
            </w:r>
          </w:p>
        </w:tc>
        <w:tc>
          <w:tcPr>
            <w:tcW w:w="80" w:type="dxa"/>
            <w:vAlign w:val="bottom"/>
            <w:tcBorders>
              <w:bottom w:val="single" w:sz="8" w:color="DEDEDE"/>
            </w:tcBorders>
            <w:shd w:val="clear" w:color="auto" w:fill="DEDEDE"/>
          </w:tcPr>
          <w:p>
            <w:pPr>
              <w:spacing w:after="0"/>
              <w:rPr>
                <w:sz w:val="21"/>
                <w:szCs w:val="21"/>
                <w:color w:val="auto"/>
              </w:rPr>
            </w:pPr>
          </w:p>
        </w:tc>
        <w:tc>
          <w:tcPr>
            <w:tcW w:w="240" w:type="dxa"/>
            <w:vAlign w:val="bottom"/>
            <w:tcBorders>
              <w:bottom w:val="single" w:sz="8" w:color="auto"/>
            </w:tcBorders>
            <w:shd w:val="clear" w:color="auto" w:fill="DEDEDE"/>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DEDEDE"/>
          </w:tcPr>
          <w:p>
            <w:pPr>
              <w:jc w:val="right"/>
              <w:ind w:right="2"/>
              <w:spacing w:after="0"/>
              <w:rPr>
                <w:sz w:val="20"/>
                <w:szCs w:val="20"/>
                <w:color w:val="auto"/>
              </w:rPr>
            </w:pPr>
            <w:r>
              <w:rPr>
                <w:rFonts w:ascii="Times New Roman" w:cs="Times New Roman" w:eastAsia="Times New Roman" w:hAnsi="Times New Roman"/>
                <w:sz w:val="16"/>
                <w:szCs w:val="16"/>
                <w:color w:val="auto"/>
              </w:rPr>
              <w:t>8,019,406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-43180</wp:posOffset>
            </wp:positionV>
            <wp:extent cx="3963670" cy="50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extLst>
                    </a:blip>
                    <a:srcRect/>
                    <a:stretch>
                      <a:fillRect/>
                    </a:stretch>
                  </pic:blipFill>
                  <pic:spPr bwMode="auto">
                    <a:xfrm>
                      <a:off x="0" y="0"/>
                      <a:ext cx="3963670" cy="5016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The accompanying notes are an integral part of these consolidated financial statements.</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70</w:t>
      </w:r>
    </w:p>
    <w:p>
      <w:pPr>
        <w:sectPr>
          <w:pgSz w:w="11880" w:h="15480" w:orient="portrait"/>
          <w:cols w:equalWidth="0" w:num="1">
            <w:col w:w="9960"/>
          </w:cols>
          <w:pgMar w:left="960" w:top="815" w:right="960" w:bottom="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9"/>
          <w:szCs w:val="19"/>
          <w:b w:val="1"/>
          <w:bCs w:val="1"/>
          <w:color w:val="auto"/>
        </w:rPr>
        <w:t>ZOOM VIDEO COMMUNICATIONS,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January 31,</w:t>
            </w:r>
          </w:p>
        </w:tc>
        <w:tc>
          <w:tcPr>
            <w:tcW w:w="900" w:type="dxa"/>
            <w:vAlign w:val="bottom"/>
            <w:tcBorders>
              <w:bottom w:val="single" w:sz="8" w:color="auto"/>
            </w:tcBorders>
          </w:tcPr>
          <w:p>
            <w:pPr>
              <w:spacing w:after="0"/>
              <w:rPr>
                <w:sz w:val="20"/>
                <w:szCs w:val="20"/>
                <w:color w:val="auto"/>
              </w:rPr>
            </w:pPr>
          </w:p>
        </w:tc>
      </w:tr>
      <w:tr>
        <w:trPr>
          <w:trHeight w:val="257"/>
        </w:trPr>
        <w:tc>
          <w:tcPr>
            <w:tcW w:w="6220" w:type="dxa"/>
            <w:vAlign w:val="bottom"/>
            <w:tcBorders>
              <w:bottom w:val="single" w:sz="8" w:color="DEDEDE"/>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Borders>
              <w:bottom w:val="single" w:sz="8" w:color="DEDEDE"/>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Borders>
              <w:bottom w:val="single" w:sz="8" w:color="DEDEDE"/>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47"/>
        </w:trPr>
        <w:tc>
          <w:tcPr>
            <w:tcW w:w="622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60" w:type="dxa"/>
            <w:vAlign w:val="bottom"/>
            <w:tcBorders>
              <w:bottom w:val="single" w:sz="8" w:color="DEDEDE"/>
            </w:tcBorders>
            <w:shd w:val="clear" w:color="auto" w:fill="DEDEDE"/>
          </w:tcPr>
          <w:p>
            <w:pPr>
              <w:spacing w:after="0"/>
              <w:rPr>
                <w:sz w:val="21"/>
                <w:szCs w:val="21"/>
                <w:color w:val="auto"/>
              </w:rPr>
            </w:pPr>
          </w:p>
        </w:tc>
        <w:tc>
          <w:tcPr>
            <w:tcW w:w="940" w:type="dxa"/>
            <w:vAlign w:val="bottom"/>
            <w:tcBorders>
              <w:bottom w:val="single" w:sz="8" w:color="DEDEDE"/>
            </w:tcBorders>
            <w:shd w:val="clear" w:color="auto" w:fill="DEDEDE"/>
          </w:tcPr>
          <w:p>
            <w:pPr>
              <w:spacing w:after="0"/>
              <w:rPr>
                <w:sz w:val="21"/>
                <w:szCs w:val="21"/>
                <w:color w:val="auto"/>
              </w:rPr>
            </w:pPr>
          </w:p>
        </w:tc>
        <w:tc>
          <w:tcPr>
            <w:tcW w:w="60" w:type="dxa"/>
            <w:vAlign w:val="bottom"/>
            <w:tcBorders>
              <w:bottom w:val="single" w:sz="8" w:color="DEDEDE"/>
            </w:tcBorders>
            <w:shd w:val="clear" w:color="auto" w:fill="DEDEDE"/>
          </w:tcPr>
          <w:p>
            <w:pPr>
              <w:spacing w:after="0"/>
              <w:rPr>
                <w:sz w:val="21"/>
                <w:szCs w:val="21"/>
                <w:color w:val="auto"/>
              </w:rPr>
            </w:pPr>
          </w:p>
        </w:tc>
        <w:tc>
          <w:tcPr>
            <w:tcW w:w="260" w:type="dxa"/>
            <w:vAlign w:val="bottom"/>
            <w:tcBorders>
              <w:bottom w:val="single" w:sz="8" w:color="DEDEDE"/>
            </w:tcBorders>
            <w:shd w:val="clear" w:color="auto" w:fill="DEDEDE"/>
          </w:tcPr>
          <w:p>
            <w:pPr>
              <w:spacing w:after="0"/>
              <w:rPr>
                <w:sz w:val="21"/>
                <w:szCs w:val="21"/>
                <w:color w:val="auto"/>
              </w:rPr>
            </w:pPr>
          </w:p>
        </w:tc>
        <w:tc>
          <w:tcPr>
            <w:tcW w:w="960" w:type="dxa"/>
            <w:vAlign w:val="bottom"/>
            <w:tcBorders>
              <w:bottom w:val="single" w:sz="8" w:color="DEDEDE"/>
            </w:tcBorders>
            <w:shd w:val="clear" w:color="auto" w:fill="DEDEDE"/>
          </w:tcPr>
          <w:p>
            <w:pPr>
              <w:spacing w:after="0"/>
              <w:rPr>
                <w:sz w:val="21"/>
                <w:szCs w:val="21"/>
                <w:color w:val="auto"/>
              </w:rPr>
            </w:pPr>
          </w:p>
        </w:tc>
        <w:tc>
          <w:tcPr>
            <w:tcW w:w="60" w:type="dxa"/>
            <w:vAlign w:val="bottom"/>
            <w:tcBorders>
              <w:bottom w:val="single" w:sz="8" w:color="DEDEDE"/>
            </w:tcBorders>
            <w:shd w:val="clear" w:color="auto" w:fill="DEDEDE"/>
          </w:tcPr>
          <w:p>
            <w:pPr>
              <w:spacing w:after="0"/>
              <w:rPr>
                <w:sz w:val="21"/>
                <w:szCs w:val="21"/>
                <w:color w:val="auto"/>
              </w:rPr>
            </w:pPr>
          </w:p>
        </w:tc>
        <w:tc>
          <w:tcPr>
            <w:tcW w:w="300" w:type="dxa"/>
            <w:vAlign w:val="bottom"/>
            <w:tcBorders>
              <w:bottom w:val="single" w:sz="8" w:color="DEDEDE"/>
            </w:tcBorders>
            <w:shd w:val="clear" w:color="auto" w:fill="DEDEDE"/>
          </w:tcPr>
          <w:p>
            <w:pPr>
              <w:spacing w:after="0"/>
              <w:rPr>
                <w:sz w:val="21"/>
                <w:szCs w:val="21"/>
                <w:color w:val="auto"/>
              </w:rPr>
            </w:pPr>
          </w:p>
        </w:tc>
        <w:tc>
          <w:tcPr>
            <w:tcW w:w="900" w:type="dxa"/>
            <w:vAlign w:val="bottom"/>
            <w:tcBorders>
              <w:bottom w:val="single" w:sz="8" w:color="DEDEDE"/>
            </w:tcBorders>
            <w:shd w:val="clear" w:color="auto" w:fill="DEDEDE"/>
          </w:tcPr>
          <w:p>
            <w:pPr>
              <w:spacing w:after="0"/>
              <w:rPr>
                <w:sz w:val="21"/>
                <w:szCs w:val="21"/>
                <w:color w:val="auto"/>
              </w:rPr>
            </w:pPr>
          </w:p>
        </w:tc>
      </w:tr>
      <w:tr>
        <w:trPr>
          <w:trHeight w:val="269"/>
        </w:trPr>
        <w:tc>
          <w:tcPr>
            <w:tcW w:w="6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637,462</w:t>
            </w:r>
          </w:p>
        </w:tc>
        <w:tc>
          <w:tcPr>
            <w:tcW w:w="32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103,711</w:t>
            </w:r>
          </w:p>
        </w:tc>
        <w:tc>
          <w:tcPr>
            <w:tcW w:w="3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1,375,639</w:t>
            </w:r>
          </w:p>
        </w:tc>
      </w:tr>
      <w:tr>
        <w:trPr>
          <w:trHeight w:val="264"/>
        </w:trPr>
        <w:tc>
          <w:tcPr>
            <w:tcW w:w="622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60" w:type="dxa"/>
            <w:vAlign w:val="bottom"/>
            <w:tcBorders>
              <w:bottom w:val="single" w:sz="8" w:color="DEDEDE"/>
            </w:tcBorders>
            <w:shd w:val="clear" w:color="auto" w:fill="DEDEDE"/>
          </w:tcPr>
          <w:p>
            <w:pPr>
              <w:spacing w:after="0"/>
              <w:rPr>
                <w:sz w:val="22"/>
                <w:szCs w:val="22"/>
                <w:color w:val="auto"/>
              </w:rPr>
            </w:pPr>
          </w:p>
        </w:tc>
        <w:tc>
          <w:tcPr>
            <w:tcW w:w="940" w:type="dxa"/>
            <w:vAlign w:val="bottom"/>
            <w:tcBorders>
              <w:bottom w:val="single" w:sz="8" w:color="DEDEDE"/>
            </w:tcBorders>
            <w:shd w:val="clear" w:color="auto" w:fill="DEDEDE"/>
          </w:tcPr>
          <w:p>
            <w:pPr>
              <w:spacing w:after="0"/>
              <w:rPr>
                <w:sz w:val="22"/>
                <w:szCs w:val="22"/>
                <w:color w:val="auto"/>
              </w:rPr>
            </w:pPr>
          </w:p>
        </w:tc>
        <w:tc>
          <w:tcPr>
            <w:tcW w:w="60" w:type="dxa"/>
            <w:vAlign w:val="bottom"/>
            <w:tcBorders>
              <w:bottom w:val="single" w:sz="8" w:color="DEDEDE"/>
            </w:tcBorders>
            <w:shd w:val="clear" w:color="auto" w:fill="DEDEDE"/>
          </w:tcPr>
          <w:p>
            <w:pPr>
              <w:spacing w:after="0"/>
              <w:rPr>
                <w:sz w:val="22"/>
                <w:szCs w:val="22"/>
                <w:color w:val="auto"/>
              </w:rPr>
            </w:pPr>
          </w:p>
        </w:tc>
        <w:tc>
          <w:tcPr>
            <w:tcW w:w="260" w:type="dxa"/>
            <w:vAlign w:val="bottom"/>
            <w:tcBorders>
              <w:bottom w:val="single" w:sz="8" w:color="DEDEDE"/>
            </w:tcBorders>
            <w:shd w:val="clear" w:color="auto" w:fill="DEDEDE"/>
          </w:tcPr>
          <w:p>
            <w:pPr>
              <w:spacing w:after="0"/>
              <w:rPr>
                <w:sz w:val="22"/>
                <w:szCs w:val="22"/>
                <w:color w:val="auto"/>
              </w:rPr>
            </w:pPr>
          </w:p>
        </w:tc>
        <w:tc>
          <w:tcPr>
            <w:tcW w:w="960" w:type="dxa"/>
            <w:vAlign w:val="bottom"/>
            <w:tcBorders>
              <w:bottom w:val="single" w:sz="8" w:color="DEDEDE"/>
            </w:tcBorders>
            <w:shd w:val="clear" w:color="auto" w:fill="DEDEDE"/>
          </w:tcPr>
          <w:p>
            <w:pPr>
              <w:spacing w:after="0"/>
              <w:rPr>
                <w:sz w:val="22"/>
                <w:szCs w:val="22"/>
                <w:color w:val="auto"/>
              </w:rPr>
            </w:pPr>
          </w:p>
        </w:tc>
        <w:tc>
          <w:tcPr>
            <w:tcW w:w="60" w:type="dxa"/>
            <w:vAlign w:val="bottom"/>
            <w:tcBorders>
              <w:bottom w:val="single" w:sz="8" w:color="DEDEDE"/>
            </w:tcBorders>
            <w:shd w:val="clear" w:color="auto" w:fill="DEDEDE"/>
          </w:tcPr>
          <w:p>
            <w:pPr>
              <w:spacing w:after="0"/>
              <w:rPr>
                <w:sz w:val="22"/>
                <w:szCs w:val="22"/>
                <w:color w:val="auto"/>
              </w:rPr>
            </w:pPr>
          </w:p>
        </w:tc>
        <w:tc>
          <w:tcPr>
            <w:tcW w:w="300" w:type="dxa"/>
            <w:vAlign w:val="bottom"/>
            <w:tcBorders>
              <w:bottom w:val="single" w:sz="8" w:color="DEDEDE"/>
            </w:tcBorders>
            <w:shd w:val="clear" w:color="auto" w:fill="DEDEDE"/>
          </w:tcPr>
          <w:p>
            <w:pPr>
              <w:spacing w:after="0"/>
              <w:rPr>
                <w:sz w:val="22"/>
                <w:szCs w:val="22"/>
                <w:color w:val="auto"/>
              </w:rPr>
            </w:pPr>
          </w:p>
        </w:tc>
        <w:tc>
          <w:tcPr>
            <w:tcW w:w="900" w:type="dxa"/>
            <w:vAlign w:val="bottom"/>
            <w:tcBorders>
              <w:bottom w:val="single" w:sz="8" w:color="DEDEDE"/>
            </w:tcBorders>
            <w:shd w:val="clear" w:color="auto" w:fill="DEDEDE"/>
          </w:tcPr>
          <w:p>
            <w:pPr>
              <w:spacing w:after="0"/>
              <w:rPr>
                <w:sz w:val="22"/>
                <w:szCs w:val="22"/>
                <w:color w:val="auto"/>
              </w:rPr>
            </w:pPr>
          </w:p>
        </w:tc>
      </w:tr>
      <w:tr>
        <w:trPr>
          <w:trHeight w:val="269"/>
        </w:trPr>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1,057,161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1,285,752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477,287</w:t>
            </w:r>
          </w:p>
        </w:tc>
      </w:tr>
      <w:tr>
        <w:trPr>
          <w:trHeight w:val="284"/>
        </w:trPr>
        <w:tc>
          <w:tcPr>
            <w:tcW w:w="622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Deferred income taxes</w:t>
            </w:r>
          </w:p>
        </w:tc>
        <w:tc>
          <w:tcPr>
            <w:tcW w:w="26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(116,679)</w:t>
            </w: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(160,961)</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(327,957)</w:t>
            </w:r>
          </w:p>
        </w:tc>
      </w:tr>
      <w:tr>
        <w:trPr>
          <w:trHeight w:val="269"/>
        </w:trPr>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Amortization of deferred contract acquisition costs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270,701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259,368</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177,283</w:t>
            </w:r>
          </w:p>
        </w:tc>
      </w:tr>
      <w:tr>
        <w:trPr>
          <w:trHeight w:val="284"/>
        </w:trPr>
        <w:tc>
          <w:tcPr>
            <w:tcW w:w="622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(Gains) losses on strategic investments, net</w:t>
            </w:r>
          </w:p>
        </w:tc>
        <w:tc>
          <w:tcPr>
            <w:tcW w:w="26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(109,770)</w:t>
            </w: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37,571</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(43,761)</w:t>
            </w:r>
          </w:p>
        </w:tc>
      </w:tr>
      <w:tr>
        <w:trPr>
          <w:trHeight w:val="269"/>
        </w:trPr>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104,451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82,321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48,188</w:t>
            </w:r>
          </w:p>
        </w:tc>
      </w:tr>
      <w:tr>
        <w:trPr>
          <w:trHeight w:val="284"/>
        </w:trPr>
        <w:tc>
          <w:tcPr>
            <w:tcW w:w="622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Provision for accounts receivable allowances</w:t>
            </w:r>
          </w:p>
        </w:tc>
        <w:tc>
          <w:tcPr>
            <w:tcW w:w="26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35,244</w:t>
            </w: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50,285</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36,747</w:t>
            </w:r>
          </w:p>
        </w:tc>
      </w:tr>
      <w:tr>
        <w:trPr>
          <w:trHeight w:val="269"/>
        </w:trPr>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Unrealized foreign exchange losses (gains)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84"/>
        </w:trPr>
        <w:tc>
          <w:tcPr>
            <w:tcW w:w="622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Non-cash operating lease cost</w:t>
            </w:r>
          </w:p>
        </w:tc>
        <w:tc>
          <w:tcPr>
            <w:tcW w:w="26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21,066</w:t>
            </w: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28,933</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18,387</w:t>
            </w:r>
          </w:p>
        </w:tc>
      </w:tr>
      <w:tr>
        <w:trPr>
          <w:trHeight w:val="269"/>
        </w:trPr>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Amortization of discount/premium on marketable securities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(50,770)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25,316</w:t>
            </w:r>
          </w:p>
        </w:tc>
      </w:tr>
      <w:tr>
        <w:trPr>
          <w:trHeight w:val="284"/>
        </w:trPr>
        <w:tc>
          <w:tcPr>
            <w:tcW w:w="622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(7,670)</w:t>
            </w: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1,647</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4,591</w:t>
            </w:r>
          </w:p>
        </w:tc>
      </w:tr>
      <w:tr>
        <w:trPr>
          <w:trHeight w:val="245"/>
        </w:trPr>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1"/>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7"/>
        </w:trPr>
        <w:tc>
          <w:tcPr>
            <w:tcW w:w="6220" w:type="dxa"/>
            <w:vAlign w:val="bottom"/>
            <w:shd w:val="clear" w:color="auto" w:fill="DEDEDE"/>
          </w:tcPr>
          <w:p>
            <w:pPr>
              <w:ind w:left="540"/>
              <w:spacing w:after="0"/>
              <w:rPr>
                <w:sz w:val="20"/>
                <w:szCs w:val="20"/>
                <w:color w:val="auto"/>
              </w:rPr>
            </w:pPr>
            <w:r>
              <w:rPr>
                <w:rFonts w:ascii="Times New Roman" w:cs="Times New Roman" w:eastAsia="Times New Roman" w:hAnsi="Times New Roman"/>
                <w:sz w:val="17"/>
                <w:szCs w:val="17"/>
                <w:color w:val="auto"/>
              </w:rPr>
              <w:t>Accounts receivable</w:t>
            </w:r>
          </w:p>
        </w:tc>
        <w:tc>
          <w:tcPr>
            <w:tcW w:w="26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53,270</w:t>
            </w: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(231,845)</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(159,183)</w:t>
            </w:r>
          </w:p>
        </w:tc>
      </w:tr>
      <w:tr>
        <w:trPr>
          <w:trHeight w:val="269"/>
        </w:trPr>
        <w:tc>
          <w:tcPr>
            <w:tcW w:w="62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(71,247)</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(18,066)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(155,934)</w:t>
            </w:r>
          </w:p>
        </w:tc>
      </w:tr>
      <w:tr>
        <w:trPr>
          <w:trHeight w:val="284"/>
        </w:trPr>
        <w:tc>
          <w:tcPr>
            <w:tcW w:w="6220" w:type="dxa"/>
            <w:vAlign w:val="bottom"/>
            <w:shd w:val="clear" w:color="auto" w:fill="DEDEDE"/>
          </w:tcPr>
          <w:p>
            <w:pPr>
              <w:ind w:left="540"/>
              <w:spacing w:after="0"/>
              <w:rPr>
                <w:sz w:val="20"/>
                <w:szCs w:val="20"/>
                <w:color w:val="auto"/>
              </w:rPr>
            </w:pPr>
            <w:r>
              <w:rPr>
                <w:rFonts w:ascii="Times New Roman" w:cs="Times New Roman" w:eastAsia="Times New Roman" w:hAnsi="Times New Roman"/>
                <w:sz w:val="17"/>
                <w:szCs w:val="17"/>
                <w:color w:val="auto"/>
              </w:rPr>
              <w:t>Deferred contract acquisition costs</w:t>
            </w:r>
          </w:p>
        </w:tc>
        <w:tc>
          <w:tcPr>
            <w:tcW w:w="26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(214,657)</w:t>
            </w: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(298,629)</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(247,371)</w:t>
            </w:r>
          </w:p>
        </w:tc>
      </w:tr>
      <w:tr>
        <w:trPr>
          <w:trHeight w:val="269"/>
        </w:trPr>
        <w:tc>
          <w:tcPr>
            <w:tcW w:w="62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(2,218)</w:t>
            </w:r>
          </w:p>
        </w:tc>
      </w:tr>
      <w:tr>
        <w:trPr>
          <w:trHeight w:val="284"/>
        </w:trPr>
        <w:tc>
          <w:tcPr>
            <w:tcW w:w="6220" w:type="dxa"/>
            <w:vAlign w:val="bottom"/>
            <w:shd w:val="clear" w:color="auto" w:fill="DEDEDE"/>
          </w:tcPr>
          <w:p>
            <w:pPr>
              <w:ind w:left="54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26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51,974</w:t>
            </w: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20,530</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101,369</w:t>
            </w:r>
          </w:p>
        </w:tc>
      </w:tr>
      <w:tr>
        <w:trPr>
          <w:trHeight w:val="269"/>
        </w:trPr>
        <w:tc>
          <w:tcPr>
            <w:tcW w:w="62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Deferred revenue</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(46,719)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127,401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293,887</w:t>
            </w:r>
          </w:p>
        </w:tc>
      </w:tr>
      <w:tr>
        <w:trPr>
          <w:trHeight w:val="292"/>
        </w:trPr>
        <w:tc>
          <w:tcPr>
            <w:tcW w:w="6220" w:type="dxa"/>
            <w:vAlign w:val="bottom"/>
            <w:tcBorders>
              <w:bottom w:val="single" w:sz="8" w:color="DEDEDE"/>
            </w:tcBorders>
            <w:shd w:val="clear" w:color="auto" w:fill="DEDEDE"/>
          </w:tcPr>
          <w:p>
            <w:pPr>
              <w:ind w:left="540"/>
              <w:spacing w:after="0"/>
              <w:rPr>
                <w:sz w:val="20"/>
                <w:szCs w:val="20"/>
                <w:color w:val="auto"/>
              </w:rPr>
            </w:pPr>
            <w:r>
              <w:rPr>
                <w:rFonts w:ascii="Times New Roman" w:cs="Times New Roman" w:eastAsia="Times New Roman" w:hAnsi="Times New Roman"/>
                <w:sz w:val="17"/>
                <w:szCs w:val="17"/>
                <w:color w:val="auto"/>
              </w:rPr>
              <w:t>Operating lease liabilities, net</w:t>
            </w:r>
          </w:p>
        </w:tc>
        <w:tc>
          <w:tcPr>
            <w:tcW w:w="260" w:type="dxa"/>
            <w:vAlign w:val="bottom"/>
            <w:tcBorders>
              <w:bottom w:val="single" w:sz="8" w:color="auto"/>
            </w:tcBorders>
            <w:shd w:val="clear" w:color="auto" w:fill="DEDEDE"/>
          </w:tcPr>
          <w:p>
            <w:pPr>
              <w:spacing w:after="0"/>
              <w:rPr>
                <w:sz w:val="24"/>
                <w:szCs w:val="24"/>
                <w:color w:val="auto"/>
              </w:rPr>
            </w:pP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(22,824)</w:t>
            </w:r>
          </w:p>
        </w:tc>
        <w:tc>
          <w:tcPr>
            <w:tcW w:w="6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spacing w:after="0"/>
              <w:rPr>
                <w:sz w:val="24"/>
                <w:szCs w:val="24"/>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(23,839)</w:t>
            </w:r>
          </w:p>
        </w:tc>
        <w:tc>
          <w:tcPr>
            <w:tcW w:w="6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(17,004)</w:t>
            </w:r>
          </w:p>
        </w:tc>
      </w:tr>
      <w:tr>
        <w:trPr>
          <w:trHeight w:val="241"/>
        </w:trPr>
        <w:tc>
          <w:tcPr>
            <w:tcW w:w="622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1,598,836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1,290,262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1,605,266</w:t>
            </w:r>
          </w:p>
        </w:tc>
      </w:tr>
      <w:tr>
        <w:trPr>
          <w:trHeight w:val="265"/>
        </w:trPr>
        <w:tc>
          <w:tcPr>
            <w:tcW w:w="622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60" w:type="dxa"/>
            <w:vAlign w:val="bottom"/>
            <w:tcBorders>
              <w:bottom w:val="single" w:sz="8" w:color="DEDEDE"/>
            </w:tcBorders>
            <w:shd w:val="clear" w:color="auto" w:fill="DEDEDE"/>
          </w:tcPr>
          <w:p>
            <w:pPr>
              <w:spacing w:after="0"/>
              <w:rPr>
                <w:sz w:val="23"/>
                <w:szCs w:val="23"/>
                <w:color w:val="auto"/>
              </w:rPr>
            </w:pPr>
          </w:p>
        </w:tc>
        <w:tc>
          <w:tcPr>
            <w:tcW w:w="940" w:type="dxa"/>
            <w:vAlign w:val="bottom"/>
            <w:tcBorders>
              <w:bottom w:val="single" w:sz="8" w:color="DEDEDE"/>
            </w:tcBorders>
            <w:shd w:val="clear" w:color="auto" w:fill="DEDEDE"/>
          </w:tcPr>
          <w:p>
            <w:pPr>
              <w:spacing w:after="0"/>
              <w:rPr>
                <w:sz w:val="23"/>
                <w:szCs w:val="23"/>
                <w:color w:val="auto"/>
              </w:rPr>
            </w:pPr>
          </w:p>
        </w:tc>
        <w:tc>
          <w:tcPr>
            <w:tcW w:w="60" w:type="dxa"/>
            <w:vAlign w:val="bottom"/>
            <w:tcBorders>
              <w:bottom w:val="single" w:sz="8" w:color="DEDEDE"/>
            </w:tcBorders>
            <w:shd w:val="clear" w:color="auto" w:fill="DEDEDE"/>
          </w:tcPr>
          <w:p>
            <w:pPr>
              <w:spacing w:after="0"/>
              <w:rPr>
                <w:sz w:val="23"/>
                <w:szCs w:val="23"/>
                <w:color w:val="auto"/>
              </w:rPr>
            </w:pPr>
          </w:p>
        </w:tc>
        <w:tc>
          <w:tcPr>
            <w:tcW w:w="260" w:type="dxa"/>
            <w:vAlign w:val="bottom"/>
            <w:tcBorders>
              <w:bottom w:val="single" w:sz="8" w:color="DEDEDE"/>
            </w:tcBorders>
            <w:shd w:val="clear" w:color="auto" w:fill="DEDEDE"/>
          </w:tcPr>
          <w:p>
            <w:pPr>
              <w:spacing w:after="0"/>
              <w:rPr>
                <w:sz w:val="23"/>
                <w:szCs w:val="23"/>
                <w:color w:val="auto"/>
              </w:rPr>
            </w:pPr>
          </w:p>
        </w:tc>
        <w:tc>
          <w:tcPr>
            <w:tcW w:w="960" w:type="dxa"/>
            <w:vAlign w:val="bottom"/>
            <w:tcBorders>
              <w:bottom w:val="single" w:sz="8" w:color="DEDEDE"/>
            </w:tcBorders>
            <w:shd w:val="clear" w:color="auto" w:fill="DEDEDE"/>
          </w:tcPr>
          <w:p>
            <w:pPr>
              <w:spacing w:after="0"/>
              <w:rPr>
                <w:sz w:val="23"/>
                <w:szCs w:val="23"/>
                <w:color w:val="auto"/>
              </w:rPr>
            </w:pPr>
          </w:p>
        </w:tc>
        <w:tc>
          <w:tcPr>
            <w:tcW w:w="60" w:type="dxa"/>
            <w:vAlign w:val="bottom"/>
            <w:tcBorders>
              <w:bottom w:val="single" w:sz="8" w:color="DEDEDE"/>
            </w:tcBorders>
            <w:shd w:val="clear" w:color="auto" w:fill="DEDEDE"/>
          </w:tcPr>
          <w:p>
            <w:pPr>
              <w:spacing w:after="0"/>
              <w:rPr>
                <w:sz w:val="23"/>
                <w:szCs w:val="23"/>
                <w:color w:val="auto"/>
              </w:rPr>
            </w:pPr>
          </w:p>
        </w:tc>
        <w:tc>
          <w:tcPr>
            <w:tcW w:w="300" w:type="dxa"/>
            <w:vAlign w:val="bottom"/>
            <w:tcBorders>
              <w:bottom w:val="single" w:sz="8" w:color="DEDEDE"/>
            </w:tcBorders>
            <w:shd w:val="clear" w:color="auto" w:fill="DEDEDE"/>
          </w:tcPr>
          <w:p>
            <w:pPr>
              <w:spacing w:after="0"/>
              <w:rPr>
                <w:sz w:val="23"/>
                <w:szCs w:val="23"/>
                <w:color w:val="auto"/>
              </w:rPr>
            </w:pPr>
          </w:p>
        </w:tc>
        <w:tc>
          <w:tcPr>
            <w:tcW w:w="900" w:type="dxa"/>
            <w:vAlign w:val="bottom"/>
            <w:tcBorders>
              <w:bottom w:val="single" w:sz="8" w:color="DEDEDE"/>
            </w:tcBorders>
            <w:shd w:val="clear" w:color="auto" w:fill="DEDEDE"/>
          </w:tcPr>
          <w:p>
            <w:pPr>
              <w:spacing w:after="0"/>
              <w:rPr>
                <w:sz w:val="23"/>
                <w:szCs w:val="23"/>
                <w:color w:val="auto"/>
              </w:rPr>
            </w:pPr>
          </w:p>
        </w:tc>
      </w:tr>
      <w:tr>
        <w:trPr>
          <w:trHeight w:val="269"/>
        </w:trPr>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(4,083,968)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(2,849,121)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(4,434,749)</w:t>
            </w:r>
          </w:p>
        </w:tc>
      </w:tr>
      <w:tr>
        <w:trPr>
          <w:trHeight w:val="285"/>
        </w:trPr>
        <w:tc>
          <w:tcPr>
            <w:tcW w:w="622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Maturities of marketable securities</w:t>
            </w:r>
          </w:p>
        </w:tc>
        <w:tc>
          <w:tcPr>
            <w:tcW w:w="26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3,131,419</w:t>
            </w: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2,835,196</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1,733,043</w:t>
            </w:r>
          </w:p>
        </w:tc>
      </w:tr>
      <w:tr>
        <w:trPr>
          <w:trHeight w:val="269"/>
        </w:trPr>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Sales of marketable securities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296,867</w:t>
            </w:r>
          </w:p>
        </w:tc>
      </w:tr>
      <w:tr>
        <w:trPr>
          <w:trHeight w:val="285"/>
        </w:trPr>
        <w:tc>
          <w:tcPr>
            <w:tcW w:w="622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6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(126,953)</w:t>
            </w: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(103,826)</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(132,590)</w:t>
            </w:r>
          </w:p>
        </w:tc>
      </w:tr>
      <w:tr>
        <w:trPr>
          <w:trHeight w:val="269"/>
        </w:trPr>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Purchases of strategic investments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(70,527)</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(69,050)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(305,149)</w:t>
            </w:r>
          </w:p>
        </w:tc>
      </w:tr>
      <w:tr>
        <w:trPr>
          <w:trHeight w:val="285"/>
        </w:trPr>
        <w:tc>
          <w:tcPr>
            <w:tcW w:w="622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Proceeds from strategic investments</w:t>
            </w:r>
          </w:p>
        </w:tc>
        <w:tc>
          <w:tcPr>
            <w:tcW w:w="26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170,067</w:t>
            </w: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8"/>
        </w:trPr>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Cash paid for acquisition, net of cash acquired</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(204,918)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(120,553)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(3,501)</w:t>
            </w:r>
          </w:p>
        </w:tc>
      </w:tr>
      <w:tr>
        <w:trPr>
          <w:trHeight w:val="292"/>
        </w:trPr>
        <w:tc>
          <w:tcPr>
            <w:tcW w:w="6220" w:type="dxa"/>
            <w:vAlign w:val="bottom"/>
            <w:tcBorders>
              <w:bottom w:val="single" w:sz="8" w:color="DEDEDE"/>
            </w:tcBorders>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Purchases of intangible assets</w:t>
            </w:r>
          </w:p>
        </w:tc>
        <w:tc>
          <w:tcPr>
            <w:tcW w:w="260" w:type="dxa"/>
            <w:vAlign w:val="bottom"/>
            <w:tcBorders>
              <w:bottom w:val="single" w:sz="8" w:color="auto"/>
            </w:tcBorders>
            <w:shd w:val="clear" w:color="auto" w:fill="DEDEDE"/>
          </w:tcPr>
          <w:p>
            <w:pPr>
              <w:spacing w:after="0"/>
              <w:rPr>
                <w:sz w:val="24"/>
                <w:szCs w:val="24"/>
                <w:color w:val="auto"/>
              </w:rPr>
            </w:pP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spacing w:after="0"/>
              <w:rPr>
                <w:sz w:val="24"/>
                <w:szCs w:val="24"/>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(11,268)</w:t>
            </w:r>
          </w:p>
        </w:tc>
        <w:tc>
          <w:tcPr>
            <w:tcW w:w="6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(13,018)</w:t>
            </w:r>
          </w:p>
        </w:tc>
      </w:tr>
      <w:tr>
        <w:trPr>
          <w:trHeight w:val="241"/>
        </w:trPr>
        <w:tc>
          <w:tcPr>
            <w:tcW w:w="622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(1,183,689)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(318,322)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(2,859,097)</w:t>
            </w:r>
          </w:p>
        </w:tc>
      </w:tr>
      <w:tr>
        <w:trPr>
          <w:trHeight w:val="265"/>
        </w:trPr>
        <w:tc>
          <w:tcPr>
            <w:tcW w:w="622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60" w:type="dxa"/>
            <w:vAlign w:val="bottom"/>
            <w:tcBorders>
              <w:bottom w:val="single" w:sz="8" w:color="DEDEDE"/>
            </w:tcBorders>
            <w:shd w:val="clear" w:color="auto" w:fill="DEDEDE"/>
          </w:tcPr>
          <w:p>
            <w:pPr>
              <w:spacing w:after="0"/>
              <w:rPr>
                <w:sz w:val="23"/>
                <w:szCs w:val="23"/>
                <w:color w:val="auto"/>
              </w:rPr>
            </w:pPr>
          </w:p>
        </w:tc>
        <w:tc>
          <w:tcPr>
            <w:tcW w:w="940" w:type="dxa"/>
            <w:vAlign w:val="bottom"/>
            <w:tcBorders>
              <w:bottom w:val="single" w:sz="8" w:color="DEDEDE"/>
            </w:tcBorders>
            <w:shd w:val="clear" w:color="auto" w:fill="DEDEDE"/>
          </w:tcPr>
          <w:p>
            <w:pPr>
              <w:spacing w:after="0"/>
              <w:rPr>
                <w:sz w:val="23"/>
                <w:szCs w:val="23"/>
                <w:color w:val="auto"/>
              </w:rPr>
            </w:pPr>
          </w:p>
        </w:tc>
        <w:tc>
          <w:tcPr>
            <w:tcW w:w="60" w:type="dxa"/>
            <w:vAlign w:val="bottom"/>
            <w:tcBorders>
              <w:bottom w:val="single" w:sz="8" w:color="DEDEDE"/>
            </w:tcBorders>
            <w:shd w:val="clear" w:color="auto" w:fill="DEDEDE"/>
          </w:tcPr>
          <w:p>
            <w:pPr>
              <w:spacing w:after="0"/>
              <w:rPr>
                <w:sz w:val="23"/>
                <w:szCs w:val="23"/>
                <w:color w:val="auto"/>
              </w:rPr>
            </w:pPr>
          </w:p>
        </w:tc>
        <w:tc>
          <w:tcPr>
            <w:tcW w:w="260" w:type="dxa"/>
            <w:vAlign w:val="bottom"/>
            <w:tcBorders>
              <w:bottom w:val="single" w:sz="8" w:color="DEDEDE"/>
            </w:tcBorders>
            <w:shd w:val="clear" w:color="auto" w:fill="DEDEDE"/>
          </w:tcPr>
          <w:p>
            <w:pPr>
              <w:spacing w:after="0"/>
              <w:rPr>
                <w:sz w:val="23"/>
                <w:szCs w:val="23"/>
                <w:color w:val="auto"/>
              </w:rPr>
            </w:pPr>
          </w:p>
        </w:tc>
        <w:tc>
          <w:tcPr>
            <w:tcW w:w="960" w:type="dxa"/>
            <w:vAlign w:val="bottom"/>
            <w:tcBorders>
              <w:bottom w:val="single" w:sz="8" w:color="DEDEDE"/>
            </w:tcBorders>
            <w:shd w:val="clear" w:color="auto" w:fill="DEDEDE"/>
          </w:tcPr>
          <w:p>
            <w:pPr>
              <w:spacing w:after="0"/>
              <w:rPr>
                <w:sz w:val="23"/>
                <w:szCs w:val="23"/>
                <w:color w:val="auto"/>
              </w:rPr>
            </w:pPr>
          </w:p>
        </w:tc>
        <w:tc>
          <w:tcPr>
            <w:tcW w:w="60" w:type="dxa"/>
            <w:vAlign w:val="bottom"/>
            <w:tcBorders>
              <w:bottom w:val="single" w:sz="8" w:color="DEDEDE"/>
            </w:tcBorders>
            <w:shd w:val="clear" w:color="auto" w:fill="DEDEDE"/>
          </w:tcPr>
          <w:p>
            <w:pPr>
              <w:spacing w:after="0"/>
              <w:rPr>
                <w:sz w:val="23"/>
                <w:szCs w:val="23"/>
                <w:color w:val="auto"/>
              </w:rPr>
            </w:pPr>
          </w:p>
        </w:tc>
        <w:tc>
          <w:tcPr>
            <w:tcW w:w="300" w:type="dxa"/>
            <w:vAlign w:val="bottom"/>
            <w:tcBorders>
              <w:bottom w:val="single" w:sz="8" w:color="DEDEDE"/>
            </w:tcBorders>
            <w:shd w:val="clear" w:color="auto" w:fill="DEDEDE"/>
          </w:tcPr>
          <w:p>
            <w:pPr>
              <w:spacing w:after="0"/>
              <w:rPr>
                <w:sz w:val="23"/>
                <w:szCs w:val="23"/>
                <w:color w:val="auto"/>
              </w:rPr>
            </w:pPr>
          </w:p>
        </w:tc>
        <w:tc>
          <w:tcPr>
            <w:tcW w:w="900" w:type="dxa"/>
            <w:vAlign w:val="bottom"/>
            <w:tcBorders>
              <w:bottom w:val="single" w:sz="8" w:color="DEDEDE"/>
            </w:tcBorders>
            <w:shd w:val="clear" w:color="auto" w:fill="DEDEDE"/>
          </w:tcPr>
          <w:p>
            <w:pPr>
              <w:spacing w:after="0"/>
              <w:rPr>
                <w:sz w:val="23"/>
                <w:szCs w:val="23"/>
                <w:color w:val="auto"/>
              </w:rPr>
            </w:pPr>
          </w:p>
        </w:tc>
      </w:tr>
      <w:tr>
        <w:trPr>
          <w:trHeight w:val="268"/>
        </w:trPr>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Cash paid for repurchases of common stock</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85"/>
        </w:trPr>
        <w:tc>
          <w:tcPr>
            <w:tcW w:w="622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Proceeds from issuance of common stock for employee stock purchase plan</w:t>
            </w:r>
          </w:p>
        </w:tc>
        <w:tc>
          <w:tcPr>
            <w:tcW w:w="26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54,097</w:t>
            </w: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53,710</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59,331</w:t>
            </w:r>
          </w:p>
        </w:tc>
      </w:tr>
      <w:tr>
        <w:trPr>
          <w:trHeight w:val="268"/>
        </w:trPr>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8,577</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14,404</w:t>
            </w:r>
          </w:p>
        </w:tc>
      </w:tr>
      <w:tr>
        <w:trPr>
          <w:trHeight w:val="200"/>
        </w:trPr>
        <w:tc>
          <w:tcPr>
            <w:tcW w:w="622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Proceeds from employee equity transactions (remitted) to be remitted to employees</w:t>
            </w:r>
          </w:p>
        </w:tc>
        <w:tc>
          <w:tcPr>
            <w:tcW w:w="260" w:type="dxa"/>
            <w:vAlign w:val="bottom"/>
            <w:shd w:val="clear" w:color="auto" w:fill="DEDEDE"/>
          </w:tcPr>
          <w:p>
            <w:pPr>
              <w:spacing w:after="0"/>
              <w:rPr>
                <w:sz w:val="17"/>
                <w:szCs w:val="17"/>
                <w:color w:val="auto"/>
              </w:rPr>
            </w:pPr>
          </w:p>
        </w:tc>
        <w:tc>
          <w:tcPr>
            <w:tcW w:w="94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260" w:type="dxa"/>
            <w:vAlign w:val="bottom"/>
            <w:shd w:val="clear" w:color="auto" w:fill="DEDEDE"/>
          </w:tcPr>
          <w:p>
            <w:pPr>
              <w:spacing w:after="0"/>
              <w:rPr>
                <w:sz w:val="17"/>
                <w:szCs w:val="17"/>
                <w:color w:val="auto"/>
              </w:rPr>
            </w:pPr>
          </w:p>
        </w:tc>
        <w:tc>
          <w:tcPr>
            <w:tcW w:w="96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300" w:type="dxa"/>
            <w:vAlign w:val="bottom"/>
            <w:shd w:val="clear" w:color="auto" w:fill="DEDEDE"/>
          </w:tcPr>
          <w:p>
            <w:pPr>
              <w:spacing w:after="0"/>
              <w:rPr>
                <w:sz w:val="17"/>
                <w:szCs w:val="17"/>
                <w:color w:val="auto"/>
              </w:rPr>
            </w:pPr>
          </w:p>
        </w:tc>
        <w:tc>
          <w:tcPr>
            <w:tcW w:w="900" w:type="dxa"/>
            <w:vAlign w:val="bottom"/>
            <w:shd w:val="clear" w:color="auto" w:fill="DEDEDE"/>
          </w:tcPr>
          <w:p>
            <w:pPr>
              <w:spacing w:after="0"/>
              <w:rPr>
                <w:sz w:val="17"/>
                <w:szCs w:val="17"/>
                <w:color w:val="auto"/>
              </w:rPr>
            </w:pPr>
          </w:p>
        </w:tc>
      </w:tr>
      <w:tr>
        <w:trPr>
          <w:trHeight w:val="259"/>
        </w:trPr>
        <w:tc>
          <w:tcPr>
            <w:tcW w:w="622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and tax authorities, net</w:t>
            </w:r>
          </w:p>
        </w:tc>
        <w:tc>
          <w:tcPr>
            <w:tcW w:w="260" w:type="dxa"/>
            <w:vAlign w:val="bottom"/>
            <w:shd w:val="clear" w:color="auto" w:fill="DEDEDE"/>
          </w:tcPr>
          <w:p>
            <w:pPr>
              <w:spacing w:after="0"/>
              <w:rPr>
                <w:sz w:val="22"/>
                <w:szCs w:val="22"/>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(4,106)</w:t>
            </w:r>
          </w:p>
        </w:tc>
        <w:tc>
          <w:tcPr>
            <w:tcW w:w="60" w:type="dxa"/>
            <w:vAlign w:val="bottom"/>
            <w:shd w:val="clear" w:color="auto" w:fill="DEDEDE"/>
          </w:tcPr>
          <w:p>
            <w:pPr>
              <w:spacing w:after="0"/>
              <w:rPr>
                <w:sz w:val="22"/>
                <w:szCs w:val="22"/>
                <w:color w:val="auto"/>
              </w:rPr>
            </w:pPr>
          </w:p>
        </w:tc>
        <w:tc>
          <w:tcPr>
            <w:tcW w:w="260" w:type="dxa"/>
            <w:vAlign w:val="bottom"/>
            <w:shd w:val="clear" w:color="auto" w:fill="DEDEDE"/>
          </w:tcPr>
          <w:p>
            <w:pPr>
              <w:spacing w:after="0"/>
              <w:rPr>
                <w:sz w:val="22"/>
                <w:szCs w:val="22"/>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60" w:type="dxa"/>
            <w:vAlign w:val="bottom"/>
            <w:shd w:val="clear" w:color="auto" w:fill="DEDEDE"/>
          </w:tcPr>
          <w:p>
            <w:pPr>
              <w:spacing w:after="0"/>
              <w:rPr>
                <w:sz w:val="22"/>
                <w:szCs w:val="22"/>
                <w:color w:val="auto"/>
              </w:rPr>
            </w:pPr>
          </w:p>
        </w:tc>
        <w:tc>
          <w:tcPr>
            <w:tcW w:w="300" w:type="dxa"/>
            <w:vAlign w:val="bottom"/>
            <w:shd w:val="clear" w:color="auto" w:fill="DEDEDE"/>
          </w:tcPr>
          <w:p>
            <w:pPr>
              <w:spacing w:after="0"/>
              <w:rPr>
                <w:sz w:val="22"/>
                <w:szCs w:val="22"/>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(40,004)</w:t>
            </w:r>
          </w:p>
        </w:tc>
      </w:tr>
      <w:tr>
        <w:trPr>
          <w:trHeight w:val="266"/>
        </w:trPr>
        <w:tc>
          <w:tcPr>
            <w:tcW w:w="6220" w:type="dxa"/>
            <w:vAlign w:val="bottom"/>
            <w:tcBorders>
              <w:bottom w:val="single" w:sz="8" w:color="DEDEDE"/>
            </w:tcBorders>
          </w:tcPr>
          <w:p>
            <w:pPr>
              <w:ind w:left="28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DEDEDE"/>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w:t>
            </w:r>
          </w:p>
        </w:tc>
      </w:tr>
      <w:tr>
        <w:trPr>
          <w:trHeight w:val="274"/>
        </w:trPr>
        <w:tc>
          <w:tcPr>
            <w:tcW w:w="6220" w:type="dxa"/>
            <w:vAlign w:val="bottom"/>
            <w:tcBorders>
              <w:bottom w:val="single" w:sz="8" w:color="DEDEDE"/>
            </w:tcBorders>
            <w:shd w:val="clear" w:color="auto" w:fill="DEDEDE"/>
          </w:tcPr>
          <w:p>
            <w:pPr>
              <w:ind w:left="110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60" w:type="dxa"/>
            <w:vAlign w:val="bottom"/>
            <w:tcBorders>
              <w:bottom w:val="single" w:sz="8" w:color="auto"/>
            </w:tcBorders>
            <w:shd w:val="clear" w:color="auto" w:fill="DEDEDE"/>
          </w:tcPr>
          <w:p>
            <w:pPr>
              <w:spacing w:after="0"/>
              <w:rPr>
                <w:sz w:val="23"/>
                <w:szCs w:val="23"/>
                <w:color w:val="auto"/>
              </w:rPr>
            </w:pP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60,186</w:t>
            </w:r>
          </w:p>
        </w:tc>
        <w:tc>
          <w:tcPr>
            <w:tcW w:w="60" w:type="dxa"/>
            <w:vAlign w:val="bottom"/>
            <w:tcBorders>
              <w:bottom w:val="single" w:sz="8" w:color="DEDEDE"/>
            </w:tcBorders>
            <w:shd w:val="clear" w:color="auto" w:fill="DEDEDE"/>
          </w:tcPr>
          <w:p>
            <w:pPr>
              <w:spacing w:after="0"/>
              <w:rPr>
                <w:sz w:val="23"/>
                <w:szCs w:val="23"/>
                <w:color w:val="auto"/>
              </w:rPr>
            </w:pPr>
          </w:p>
        </w:tc>
        <w:tc>
          <w:tcPr>
            <w:tcW w:w="260" w:type="dxa"/>
            <w:vAlign w:val="bottom"/>
            <w:tcBorders>
              <w:bottom w:val="single" w:sz="8" w:color="auto"/>
            </w:tcBorders>
            <w:shd w:val="clear" w:color="auto" w:fill="DEDEDE"/>
          </w:tcPr>
          <w:p>
            <w:pPr>
              <w:spacing w:after="0"/>
              <w:rPr>
                <w:sz w:val="23"/>
                <w:szCs w:val="23"/>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(936,942)</w:t>
            </w:r>
          </w:p>
        </w:tc>
        <w:tc>
          <w:tcPr>
            <w:tcW w:w="60" w:type="dxa"/>
            <w:vAlign w:val="bottom"/>
            <w:tcBorders>
              <w:bottom w:val="single" w:sz="8" w:color="DEDEDE"/>
            </w:tcBorders>
            <w:shd w:val="clear" w:color="auto" w:fill="DEDEDE"/>
          </w:tcPr>
          <w:p>
            <w:pPr>
              <w:spacing w:after="0"/>
              <w:rPr>
                <w:sz w:val="23"/>
                <w:szCs w:val="23"/>
                <w:color w:val="auto"/>
              </w:rPr>
            </w:pPr>
          </w:p>
        </w:tc>
        <w:tc>
          <w:tcPr>
            <w:tcW w:w="300" w:type="dxa"/>
            <w:vAlign w:val="bottom"/>
            <w:tcBorders>
              <w:bottom w:val="single" w:sz="8" w:color="auto"/>
            </w:tcBorders>
            <w:shd w:val="clear" w:color="auto" w:fill="DEDEDE"/>
          </w:tcPr>
          <w:p>
            <w:pPr>
              <w:spacing w:after="0"/>
              <w:rPr>
                <w:sz w:val="23"/>
                <w:szCs w:val="23"/>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34,068</w:t>
            </w:r>
          </w:p>
        </w:tc>
      </w:tr>
      <w:tr>
        <w:trPr>
          <w:trHeight w:val="239"/>
        </w:trPr>
        <w:tc>
          <w:tcPr>
            <w:tcW w:w="622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(10,196)</w:t>
            </w:r>
          </w:p>
        </w:tc>
        <w:tc>
          <w:tcPr>
            <w:tcW w:w="60" w:type="dxa"/>
            <w:vAlign w:val="bottom"/>
            <w:tcBorders>
              <w:bottom w:val="single" w:sz="8" w:color="DEDED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(8,108)</w:t>
            </w:r>
          </w:p>
        </w:tc>
        <w:tc>
          <w:tcPr>
            <w:tcW w:w="60" w:type="dxa"/>
            <w:vAlign w:val="bottom"/>
            <w:tcBorders>
              <w:bottom w:val="single" w:sz="8" w:color="DEDEDE"/>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7"/>
        </w:trPr>
        <w:tc>
          <w:tcPr>
            <w:tcW w:w="622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260" w:type="dxa"/>
            <w:vAlign w:val="bottom"/>
            <w:shd w:val="clear" w:color="auto" w:fill="DEDEDE"/>
          </w:tcPr>
          <w:p>
            <w:pPr>
              <w:spacing w:after="0"/>
              <w:rPr>
                <w:sz w:val="23"/>
                <w:szCs w:val="23"/>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465,137</w:t>
            </w:r>
          </w:p>
        </w:tc>
        <w:tc>
          <w:tcPr>
            <w:tcW w:w="60" w:type="dxa"/>
            <w:vAlign w:val="bottom"/>
            <w:shd w:val="clear" w:color="auto" w:fill="DEDEDE"/>
          </w:tcPr>
          <w:p>
            <w:pPr>
              <w:spacing w:after="0"/>
              <w:rPr>
                <w:sz w:val="23"/>
                <w:szCs w:val="23"/>
                <w:color w:val="auto"/>
              </w:rPr>
            </w:pPr>
          </w:p>
        </w:tc>
        <w:tc>
          <w:tcPr>
            <w:tcW w:w="260" w:type="dxa"/>
            <w:vAlign w:val="bottom"/>
            <w:shd w:val="clear" w:color="auto" w:fill="DEDEDE"/>
          </w:tcPr>
          <w:p>
            <w:pPr>
              <w:spacing w:after="0"/>
              <w:rPr>
                <w:sz w:val="23"/>
                <w:szCs w:val="23"/>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26,890</w:t>
            </w:r>
          </w:p>
        </w:tc>
        <w:tc>
          <w:tcPr>
            <w:tcW w:w="60" w:type="dxa"/>
            <w:vAlign w:val="bottom"/>
            <w:shd w:val="clear" w:color="auto" w:fill="DEDEDE"/>
          </w:tcPr>
          <w:p>
            <w:pPr>
              <w:spacing w:after="0"/>
              <w:rPr>
                <w:sz w:val="23"/>
                <w:szCs w:val="23"/>
                <w:color w:val="auto"/>
              </w:rPr>
            </w:pPr>
          </w:p>
        </w:tc>
        <w:tc>
          <w:tcPr>
            <w:tcW w:w="300" w:type="dxa"/>
            <w:vAlign w:val="bottom"/>
            <w:shd w:val="clear" w:color="auto" w:fill="DEDEDE"/>
          </w:tcPr>
          <w:p>
            <w:pPr>
              <w:spacing w:after="0"/>
              <w:rPr>
                <w:sz w:val="23"/>
                <w:szCs w:val="23"/>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(1,219,763)</w:t>
            </w:r>
          </w:p>
        </w:tc>
      </w:tr>
      <w:tr>
        <w:trPr>
          <w:trHeight w:val="266"/>
        </w:trPr>
        <w:tc>
          <w:tcPr>
            <w:tcW w:w="622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7"/>
                <w:szCs w:val="17"/>
                <w:color w:val="auto"/>
              </w:rPr>
              <w:t>Cash, cash equivalents, and restricted cash—beginning of year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1,100,243</w:t>
            </w:r>
          </w:p>
        </w:tc>
        <w:tc>
          <w:tcPr>
            <w:tcW w:w="60" w:type="dxa"/>
            <w:vAlign w:val="bottom"/>
            <w:tcBorders>
              <w:bottom w:val="single" w:sz="8" w:color="DEDEDE"/>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1,073,353</w:t>
            </w:r>
          </w:p>
        </w:tc>
        <w:tc>
          <w:tcPr>
            <w:tcW w:w="6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2,293,116</w:t>
            </w:r>
          </w:p>
        </w:tc>
      </w:tr>
      <w:tr>
        <w:trPr>
          <w:trHeight w:val="276"/>
        </w:trPr>
        <w:tc>
          <w:tcPr>
            <w:tcW w:w="622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Cash, cash equivalents, and restricted cash—end of year</w:t>
            </w:r>
          </w:p>
        </w:tc>
        <w:tc>
          <w:tcPr>
            <w:tcW w:w="260" w:type="dxa"/>
            <w:vAlign w:val="bottom"/>
            <w:tcBorders>
              <w:bottom w:val="single" w:sz="8" w:color="auto"/>
            </w:tcBorders>
            <w:shd w:val="clear" w:color="auto" w:fill="DEDEDE"/>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1,565,380</w:t>
            </w:r>
          </w:p>
        </w:tc>
        <w:tc>
          <w:tcPr>
            <w:tcW w:w="6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1,100,243</w:t>
            </w:r>
          </w:p>
        </w:tc>
        <w:tc>
          <w:tcPr>
            <w:tcW w:w="6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1,073,353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-43180</wp:posOffset>
            </wp:positionV>
            <wp:extent cx="2401570" cy="50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extLst>
                    </a:blip>
                    <a:srcRect/>
                    <a:stretch>
                      <a:fillRect/>
                    </a:stretch>
                  </pic:blipFill>
                  <pic:spPr bwMode="auto">
                    <a:xfrm>
                      <a:off x="0" y="0"/>
                      <a:ext cx="2401570" cy="50165"/>
                    </a:xfrm>
                    <a:prstGeom prst="rect">
                      <a:avLst/>
                    </a:prstGeom>
                    <a:noFill/>
                  </pic:spPr>
                </pic:pic>
              </a:graphicData>
            </a:graphic>
          </wp:anchor>
        </w:drawing>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71</w:t>
      </w:r>
    </w:p>
    <w:p>
      <w:pPr>
        <w:sectPr>
          <w:pgSz w:w="11880" w:h="15480" w:orient="portrait"/>
          <w:cols w:equalWidth="0" w:num="1">
            <w:col w:w="9960"/>
          </w:cols>
          <w:pgMar w:left="960" w:top="815" w:right="960" w:bottom="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610235</wp:posOffset>
            </wp:positionH>
            <wp:positionV relativeFrom="page">
              <wp:posOffset>535305</wp:posOffset>
            </wp:positionV>
            <wp:extent cx="6336030" cy="2006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extLst>
                    </a:blip>
                    <a:srcRect/>
                    <a:stretch>
                      <a:fillRect/>
                    </a:stretch>
                  </pic:blipFill>
                  <pic:spPr bwMode="auto">
                    <a:xfrm>
                      <a:off x="0" y="0"/>
                      <a:ext cx="6336030" cy="200660"/>
                    </a:xfrm>
                    <a:prstGeom prst="rect">
                      <a:avLst/>
                    </a:prstGeom>
                    <a:noFill/>
                  </pic:spPr>
                </pic:pic>
              </a:graphicData>
            </a:graphic>
          </wp:anchor>
        </w:drawing>
        <w:t>Supplemental disclosures of cash flow information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Cash paid for income taxes, net</w:t>
            </w: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348,129</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309,084</w:t>
            </w:r>
          </w:p>
        </w:tc>
        <w:tc>
          <w:tcPr>
            <w:tcW w:w="34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38,979</w:t>
            </w:r>
          </w:p>
        </w:tc>
      </w:tr>
      <w:tr>
        <w:trPr>
          <w:trHeight w:val="247"/>
        </w:trPr>
        <w:tc>
          <w:tcPr>
            <w:tcW w:w="6220" w:type="dxa"/>
            <w:vAlign w:val="bottom"/>
            <w:tcBorders>
              <w:top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7"/>
                <w:szCs w:val="17"/>
                <w:b w:val="1"/>
                <w:bCs w:val="1"/>
                <w:color w:val="auto"/>
              </w:rPr>
              <w:t>Supplemental disclosures of non-cash investing and financing information</w:t>
            </w:r>
          </w:p>
        </w:tc>
        <w:tc>
          <w:tcPr>
            <w:tcW w:w="280" w:type="dxa"/>
            <w:vAlign w:val="bottom"/>
            <w:tcBorders>
              <w:top w:val="single" w:sz="8" w:color="auto"/>
            </w:tcBorders>
            <w:shd w:val="clear" w:color="auto" w:fill="DEDEDE"/>
          </w:tcPr>
          <w:p>
            <w:pPr>
              <w:spacing w:after="0"/>
              <w:rPr>
                <w:sz w:val="21"/>
                <w:szCs w:val="21"/>
                <w:color w:val="auto"/>
              </w:rPr>
            </w:pPr>
          </w:p>
        </w:tc>
        <w:tc>
          <w:tcPr>
            <w:tcW w:w="920" w:type="dxa"/>
            <w:vAlign w:val="bottom"/>
            <w:tcBorders>
              <w:top w:val="single" w:sz="8" w:color="auto"/>
            </w:tcBorders>
            <w:shd w:val="clear" w:color="auto" w:fill="DEDEDE"/>
          </w:tcPr>
          <w:p>
            <w:pPr>
              <w:spacing w:after="0"/>
              <w:rPr>
                <w:sz w:val="21"/>
                <w:szCs w:val="21"/>
                <w:color w:val="auto"/>
              </w:rPr>
            </w:pPr>
          </w:p>
        </w:tc>
        <w:tc>
          <w:tcPr>
            <w:tcW w:w="60" w:type="dxa"/>
            <w:vAlign w:val="bottom"/>
            <w:tcBorders>
              <w:top w:val="single" w:sz="8" w:color="DEDEDE"/>
            </w:tcBorders>
            <w:shd w:val="clear" w:color="auto" w:fill="DEDEDE"/>
          </w:tcPr>
          <w:p>
            <w:pPr>
              <w:spacing w:after="0"/>
              <w:rPr>
                <w:sz w:val="21"/>
                <w:szCs w:val="21"/>
                <w:color w:val="auto"/>
              </w:rPr>
            </w:pPr>
          </w:p>
        </w:tc>
        <w:tc>
          <w:tcPr>
            <w:tcW w:w="300" w:type="dxa"/>
            <w:vAlign w:val="bottom"/>
            <w:tcBorders>
              <w:top w:val="single" w:sz="8" w:color="auto"/>
            </w:tcBorders>
            <w:shd w:val="clear" w:color="auto" w:fill="DEDEDE"/>
          </w:tcPr>
          <w:p>
            <w:pPr>
              <w:spacing w:after="0"/>
              <w:rPr>
                <w:sz w:val="21"/>
                <w:szCs w:val="21"/>
                <w:color w:val="auto"/>
              </w:rPr>
            </w:pPr>
          </w:p>
        </w:tc>
        <w:tc>
          <w:tcPr>
            <w:tcW w:w="920" w:type="dxa"/>
            <w:vAlign w:val="bottom"/>
            <w:tcBorders>
              <w:top w:val="single" w:sz="8" w:color="auto"/>
            </w:tcBorders>
            <w:shd w:val="clear" w:color="auto" w:fill="DEDEDE"/>
          </w:tcPr>
          <w:p>
            <w:pPr>
              <w:spacing w:after="0"/>
              <w:rPr>
                <w:sz w:val="21"/>
                <w:szCs w:val="21"/>
                <w:color w:val="auto"/>
              </w:rPr>
            </w:pPr>
          </w:p>
        </w:tc>
        <w:tc>
          <w:tcPr>
            <w:tcW w:w="60" w:type="dxa"/>
            <w:vAlign w:val="bottom"/>
            <w:tcBorders>
              <w:top w:val="single" w:sz="8" w:color="DEDEDE"/>
            </w:tcBorders>
            <w:shd w:val="clear" w:color="auto" w:fill="DEDEDE"/>
          </w:tcPr>
          <w:p>
            <w:pPr>
              <w:spacing w:after="0"/>
              <w:rPr>
                <w:sz w:val="21"/>
                <w:szCs w:val="21"/>
                <w:color w:val="auto"/>
              </w:rPr>
            </w:pPr>
          </w:p>
        </w:tc>
        <w:tc>
          <w:tcPr>
            <w:tcW w:w="280" w:type="dxa"/>
            <w:vAlign w:val="bottom"/>
            <w:tcBorders>
              <w:top w:val="single" w:sz="8" w:color="auto"/>
            </w:tcBorders>
            <w:shd w:val="clear" w:color="auto" w:fill="DEDEDE"/>
          </w:tcPr>
          <w:p>
            <w:pPr>
              <w:spacing w:after="0"/>
              <w:rPr>
                <w:sz w:val="21"/>
                <w:szCs w:val="21"/>
                <w:color w:val="auto"/>
              </w:rPr>
            </w:pPr>
          </w:p>
        </w:tc>
        <w:tc>
          <w:tcPr>
            <w:tcW w:w="920" w:type="dxa"/>
            <w:vAlign w:val="bottom"/>
            <w:tcBorders>
              <w:top w:val="single" w:sz="8" w:color="auto"/>
            </w:tcBorders>
            <w:shd w:val="clear" w:color="auto" w:fill="DEDEDE"/>
          </w:tcPr>
          <w:p>
            <w:pPr>
              <w:spacing w:after="0"/>
              <w:rPr>
                <w:sz w:val="21"/>
                <w:szCs w:val="21"/>
                <w:color w:val="auto"/>
              </w:rPr>
            </w:pPr>
          </w:p>
        </w:tc>
      </w:tr>
      <w:tr>
        <w:trPr>
          <w:trHeight w:val="194"/>
        </w:trPr>
        <w:tc>
          <w:tcPr>
            <w:tcW w:w="622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Purchase of equipment during the period included in accounts payable and accrued</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7"/>
        </w:trPr>
        <w:tc>
          <w:tcPr>
            <w:tcW w:w="6220" w:type="dxa"/>
            <w:vAlign w:val="bottom"/>
            <w:tcBorders>
              <w:bottom w:val="single" w:sz="8" w:color="DEDEDE"/>
            </w:tcBorders>
          </w:tcPr>
          <w:p>
            <w:pPr>
              <w:ind w:left="280"/>
              <w:spacing w:after="0"/>
              <w:rPr>
                <w:sz w:val="20"/>
                <w:szCs w:val="20"/>
                <w:color w:val="auto"/>
              </w:rPr>
            </w:pPr>
            <w:r>
              <w:rPr>
                <w:rFonts w:ascii="Times New Roman" w:cs="Times New Roman" w:eastAsia="Times New Roman" w:hAnsi="Times New Roman"/>
                <w:sz w:val="17"/>
                <w:szCs w:val="17"/>
                <w:color w:val="auto"/>
              </w:rPr>
              <w:t>expenses</w:t>
            </w:r>
          </w:p>
        </w:tc>
        <w:tc>
          <w:tcPr>
            <w:tcW w:w="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16,206</w:t>
            </w:r>
          </w:p>
        </w:tc>
        <w:tc>
          <w:tcPr>
            <w:tcW w:w="6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11,946</w:t>
            </w:r>
          </w:p>
        </w:tc>
        <w:tc>
          <w:tcPr>
            <w:tcW w:w="60" w:type="dxa"/>
            <w:vAlign w:val="bottom"/>
            <w:tcBorders>
              <w:bottom w:val="single" w:sz="8" w:color="DEDEDE"/>
            </w:tcBorders>
          </w:tcPr>
          <w:p>
            <w:pPr>
              <w:spacing w:after="0"/>
              <w:rPr>
                <w:sz w:val="23"/>
                <w:szCs w:val="23"/>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13,728</w:t>
            </w:r>
          </w:p>
        </w:tc>
      </w:tr>
      <w:tr>
        <w:trPr>
          <w:trHeight w:val="257"/>
        </w:trPr>
        <w:tc>
          <w:tcPr>
            <w:tcW w:w="622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Vesting of early exercised stock options</w:t>
            </w:r>
          </w:p>
        </w:tc>
        <w:tc>
          <w:tcPr>
            <w:tcW w:w="280" w:type="dxa"/>
            <w:vAlign w:val="bottom"/>
            <w:shd w:val="clear" w:color="auto" w:fill="DEDEDE"/>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DEDEDE"/>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340" w:type="dxa"/>
            <w:vAlign w:val="bottom"/>
            <w:gridSpan w:val="2"/>
            <w:shd w:val="clear" w:color="auto" w:fill="DEDEDE"/>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407</w:t>
            </w:r>
          </w:p>
        </w:tc>
      </w:tr>
      <w:tr>
        <w:trPr>
          <w:trHeight w:val="218"/>
        </w:trPr>
        <w:tc>
          <w:tcPr>
            <w:tcW w:w="6220" w:type="dxa"/>
            <w:vAlign w:val="bottom"/>
            <w:tcBorders>
              <w:top w:val="single" w:sz="8" w:color="DEDEDE"/>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DEDEDE"/>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DEDEDE"/>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191"/>
        </w:trPr>
        <w:tc>
          <w:tcPr>
            <w:tcW w:w="6220" w:type="dxa"/>
            <w:vAlign w:val="bottom"/>
            <w:shd w:val="clear" w:color="auto" w:fill="DEDEDE"/>
          </w:tcPr>
          <w:p>
            <w:pPr>
              <w:ind w:left="60"/>
              <w:spacing w:after="0" w:line="191" w:lineRule="exact"/>
              <w:rPr>
                <w:sz w:val="20"/>
                <w:szCs w:val="20"/>
                <w:color w:val="auto"/>
              </w:rPr>
            </w:pPr>
            <w:r>
              <w:rPr>
                <w:rFonts w:ascii="Times New Roman" w:cs="Times New Roman" w:eastAsia="Times New Roman" w:hAnsi="Times New Roman"/>
                <w:sz w:val="17"/>
                <w:szCs w:val="17"/>
                <w:b w:val="1"/>
                <w:bCs w:val="1"/>
                <w:color w:val="auto"/>
              </w:rPr>
              <w:t>Reconciliation of cash, cash equivalents, and restricted cash within the</w:t>
            </w:r>
          </w:p>
        </w:tc>
        <w:tc>
          <w:tcPr>
            <w:tcW w:w="280" w:type="dxa"/>
            <w:vAlign w:val="bottom"/>
            <w:shd w:val="clear" w:color="auto" w:fill="DEDEDE"/>
          </w:tcPr>
          <w:p>
            <w:pPr>
              <w:spacing w:after="0"/>
              <w:rPr>
                <w:sz w:val="16"/>
                <w:szCs w:val="16"/>
                <w:color w:val="auto"/>
              </w:rPr>
            </w:pPr>
          </w:p>
        </w:tc>
        <w:tc>
          <w:tcPr>
            <w:tcW w:w="920" w:type="dxa"/>
            <w:vAlign w:val="bottom"/>
            <w:shd w:val="clear" w:color="auto" w:fill="DEDEDE"/>
          </w:tcPr>
          <w:p>
            <w:pPr>
              <w:spacing w:after="0"/>
              <w:rPr>
                <w:sz w:val="16"/>
                <w:szCs w:val="16"/>
                <w:color w:val="auto"/>
              </w:rPr>
            </w:pPr>
          </w:p>
        </w:tc>
        <w:tc>
          <w:tcPr>
            <w:tcW w:w="60" w:type="dxa"/>
            <w:vAlign w:val="bottom"/>
            <w:shd w:val="clear" w:color="auto" w:fill="DEDEDE"/>
          </w:tcPr>
          <w:p>
            <w:pPr>
              <w:spacing w:after="0"/>
              <w:rPr>
                <w:sz w:val="16"/>
                <w:szCs w:val="16"/>
                <w:color w:val="auto"/>
              </w:rPr>
            </w:pPr>
          </w:p>
        </w:tc>
        <w:tc>
          <w:tcPr>
            <w:tcW w:w="300" w:type="dxa"/>
            <w:vAlign w:val="bottom"/>
            <w:shd w:val="clear" w:color="auto" w:fill="DEDEDE"/>
          </w:tcPr>
          <w:p>
            <w:pPr>
              <w:spacing w:after="0"/>
              <w:rPr>
                <w:sz w:val="16"/>
                <w:szCs w:val="16"/>
                <w:color w:val="auto"/>
              </w:rPr>
            </w:pPr>
          </w:p>
        </w:tc>
        <w:tc>
          <w:tcPr>
            <w:tcW w:w="920" w:type="dxa"/>
            <w:vAlign w:val="bottom"/>
            <w:shd w:val="clear" w:color="auto" w:fill="DEDEDE"/>
          </w:tcPr>
          <w:p>
            <w:pPr>
              <w:spacing w:after="0"/>
              <w:rPr>
                <w:sz w:val="16"/>
                <w:szCs w:val="16"/>
                <w:color w:val="auto"/>
              </w:rPr>
            </w:pPr>
          </w:p>
        </w:tc>
        <w:tc>
          <w:tcPr>
            <w:tcW w:w="60" w:type="dxa"/>
            <w:vAlign w:val="bottom"/>
            <w:shd w:val="clear" w:color="auto" w:fill="DEDEDE"/>
          </w:tcPr>
          <w:p>
            <w:pPr>
              <w:spacing w:after="0"/>
              <w:rPr>
                <w:sz w:val="16"/>
                <w:szCs w:val="16"/>
                <w:color w:val="auto"/>
              </w:rPr>
            </w:pPr>
          </w:p>
        </w:tc>
        <w:tc>
          <w:tcPr>
            <w:tcW w:w="280" w:type="dxa"/>
            <w:vAlign w:val="bottom"/>
            <w:shd w:val="clear" w:color="auto" w:fill="DEDEDE"/>
          </w:tcPr>
          <w:p>
            <w:pPr>
              <w:spacing w:after="0"/>
              <w:rPr>
                <w:sz w:val="16"/>
                <w:szCs w:val="16"/>
                <w:color w:val="auto"/>
              </w:rPr>
            </w:pPr>
          </w:p>
        </w:tc>
        <w:tc>
          <w:tcPr>
            <w:tcW w:w="920" w:type="dxa"/>
            <w:vAlign w:val="bottom"/>
            <w:shd w:val="clear" w:color="auto" w:fill="DEDEDE"/>
          </w:tcPr>
          <w:p>
            <w:pPr>
              <w:spacing w:after="0"/>
              <w:rPr>
                <w:sz w:val="16"/>
                <w:szCs w:val="16"/>
                <w:color w:val="auto"/>
              </w:rPr>
            </w:pPr>
          </w:p>
        </w:tc>
      </w:tr>
      <w:tr>
        <w:trPr>
          <w:trHeight w:val="175"/>
        </w:trPr>
        <w:tc>
          <w:tcPr>
            <w:tcW w:w="6220" w:type="dxa"/>
            <w:vAlign w:val="bottom"/>
            <w:shd w:val="clear" w:color="auto" w:fill="DEDEDE"/>
          </w:tcPr>
          <w:p>
            <w:pPr>
              <w:ind w:left="60"/>
              <w:spacing w:after="0" w:line="175" w:lineRule="exact"/>
              <w:rPr>
                <w:sz w:val="20"/>
                <w:szCs w:val="20"/>
                <w:color w:val="auto"/>
              </w:rPr>
            </w:pPr>
            <w:r>
              <w:rPr>
                <w:rFonts w:ascii="Times New Roman" w:cs="Times New Roman" w:eastAsia="Times New Roman" w:hAnsi="Times New Roman"/>
                <w:sz w:val="17"/>
                <w:szCs w:val="17"/>
                <w:b w:val="1"/>
                <w:bCs w:val="1"/>
                <w:color w:val="auto"/>
              </w:rPr>
              <w:t>consolidated balance sheets to the amounts shown in the consolidated statements</w:t>
            </w:r>
          </w:p>
        </w:tc>
        <w:tc>
          <w:tcPr>
            <w:tcW w:w="280" w:type="dxa"/>
            <w:vAlign w:val="bottom"/>
            <w:shd w:val="clear" w:color="auto" w:fill="DEDEDE"/>
          </w:tcPr>
          <w:p>
            <w:pPr>
              <w:spacing w:after="0"/>
              <w:rPr>
                <w:sz w:val="15"/>
                <w:szCs w:val="15"/>
                <w:color w:val="auto"/>
              </w:rPr>
            </w:pPr>
          </w:p>
        </w:tc>
        <w:tc>
          <w:tcPr>
            <w:tcW w:w="920" w:type="dxa"/>
            <w:vAlign w:val="bottom"/>
            <w:shd w:val="clear" w:color="auto" w:fill="DEDEDE"/>
          </w:tcPr>
          <w:p>
            <w:pPr>
              <w:spacing w:after="0"/>
              <w:rPr>
                <w:sz w:val="15"/>
                <w:szCs w:val="15"/>
                <w:color w:val="auto"/>
              </w:rPr>
            </w:pPr>
          </w:p>
        </w:tc>
        <w:tc>
          <w:tcPr>
            <w:tcW w:w="60" w:type="dxa"/>
            <w:vAlign w:val="bottom"/>
            <w:shd w:val="clear" w:color="auto" w:fill="DEDEDE"/>
          </w:tcPr>
          <w:p>
            <w:pPr>
              <w:spacing w:after="0"/>
              <w:rPr>
                <w:sz w:val="15"/>
                <w:szCs w:val="15"/>
                <w:color w:val="auto"/>
              </w:rPr>
            </w:pPr>
          </w:p>
        </w:tc>
        <w:tc>
          <w:tcPr>
            <w:tcW w:w="300" w:type="dxa"/>
            <w:vAlign w:val="bottom"/>
            <w:shd w:val="clear" w:color="auto" w:fill="DEDEDE"/>
          </w:tcPr>
          <w:p>
            <w:pPr>
              <w:spacing w:after="0"/>
              <w:rPr>
                <w:sz w:val="15"/>
                <w:szCs w:val="15"/>
                <w:color w:val="auto"/>
              </w:rPr>
            </w:pPr>
          </w:p>
        </w:tc>
        <w:tc>
          <w:tcPr>
            <w:tcW w:w="920" w:type="dxa"/>
            <w:vAlign w:val="bottom"/>
            <w:shd w:val="clear" w:color="auto" w:fill="DEDEDE"/>
          </w:tcPr>
          <w:p>
            <w:pPr>
              <w:spacing w:after="0"/>
              <w:rPr>
                <w:sz w:val="15"/>
                <w:szCs w:val="15"/>
                <w:color w:val="auto"/>
              </w:rPr>
            </w:pPr>
          </w:p>
        </w:tc>
        <w:tc>
          <w:tcPr>
            <w:tcW w:w="60" w:type="dxa"/>
            <w:vAlign w:val="bottom"/>
            <w:shd w:val="clear" w:color="auto" w:fill="DEDEDE"/>
          </w:tcPr>
          <w:p>
            <w:pPr>
              <w:spacing w:after="0"/>
              <w:rPr>
                <w:sz w:val="15"/>
                <w:szCs w:val="15"/>
                <w:color w:val="auto"/>
              </w:rPr>
            </w:pPr>
          </w:p>
        </w:tc>
        <w:tc>
          <w:tcPr>
            <w:tcW w:w="280" w:type="dxa"/>
            <w:vAlign w:val="bottom"/>
            <w:shd w:val="clear" w:color="auto" w:fill="DEDEDE"/>
          </w:tcPr>
          <w:p>
            <w:pPr>
              <w:spacing w:after="0"/>
              <w:rPr>
                <w:sz w:val="15"/>
                <w:szCs w:val="15"/>
                <w:color w:val="auto"/>
              </w:rPr>
            </w:pPr>
          </w:p>
        </w:tc>
        <w:tc>
          <w:tcPr>
            <w:tcW w:w="920" w:type="dxa"/>
            <w:vAlign w:val="bottom"/>
            <w:shd w:val="clear" w:color="auto" w:fill="DEDEDE"/>
          </w:tcPr>
          <w:p>
            <w:pPr>
              <w:spacing w:after="0"/>
              <w:rPr>
                <w:sz w:val="15"/>
                <w:szCs w:val="15"/>
                <w:color w:val="auto"/>
              </w:rPr>
            </w:pPr>
          </w:p>
        </w:tc>
      </w:tr>
      <w:tr>
        <w:trPr>
          <w:trHeight w:val="241"/>
        </w:trPr>
        <w:tc>
          <w:tcPr>
            <w:tcW w:w="622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7"/>
                <w:szCs w:val="17"/>
                <w:b w:val="1"/>
                <w:bCs w:val="1"/>
                <w:color w:val="auto"/>
              </w:rPr>
              <w:t>of cash flows above:</w:t>
            </w:r>
          </w:p>
        </w:tc>
        <w:tc>
          <w:tcPr>
            <w:tcW w:w="280" w:type="dxa"/>
            <w:vAlign w:val="bottom"/>
            <w:tcBorders>
              <w:bottom w:val="single" w:sz="8" w:color="DEDEDE"/>
            </w:tcBorders>
            <w:shd w:val="clear" w:color="auto" w:fill="DEDEDE"/>
          </w:tcPr>
          <w:p>
            <w:pPr>
              <w:spacing w:after="0"/>
              <w:rPr>
                <w:sz w:val="20"/>
                <w:szCs w:val="20"/>
                <w:color w:val="auto"/>
              </w:rPr>
            </w:pPr>
          </w:p>
        </w:tc>
        <w:tc>
          <w:tcPr>
            <w:tcW w:w="920" w:type="dxa"/>
            <w:vAlign w:val="bottom"/>
            <w:tcBorders>
              <w:bottom w:val="single" w:sz="8" w:color="DEDEDE"/>
            </w:tcBorders>
            <w:shd w:val="clear" w:color="auto" w:fill="DEDEDE"/>
          </w:tcPr>
          <w:p>
            <w:pPr>
              <w:spacing w:after="0"/>
              <w:rPr>
                <w:sz w:val="20"/>
                <w:szCs w:val="20"/>
                <w:color w:val="auto"/>
              </w:rPr>
            </w:pPr>
          </w:p>
        </w:tc>
        <w:tc>
          <w:tcPr>
            <w:tcW w:w="60" w:type="dxa"/>
            <w:vAlign w:val="bottom"/>
            <w:tcBorders>
              <w:bottom w:val="single" w:sz="8" w:color="DEDEDE"/>
            </w:tcBorders>
            <w:shd w:val="clear" w:color="auto" w:fill="DEDEDE"/>
          </w:tcPr>
          <w:p>
            <w:pPr>
              <w:spacing w:after="0"/>
              <w:rPr>
                <w:sz w:val="20"/>
                <w:szCs w:val="20"/>
                <w:color w:val="auto"/>
              </w:rPr>
            </w:pPr>
          </w:p>
        </w:tc>
        <w:tc>
          <w:tcPr>
            <w:tcW w:w="300" w:type="dxa"/>
            <w:vAlign w:val="bottom"/>
            <w:tcBorders>
              <w:bottom w:val="single" w:sz="8" w:color="DEDEDE"/>
            </w:tcBorders>
            <w:shd w:val="clear" w:color="auto" w:fill="DEDEDE"/>
          </w:tcPr>
          <w:p>
            <w:pPr>
              <w:spacing w:after="0"/>
              <w:rPr>
                <w:sz w:val="20"/>
                <w:szCs w:val="20"/>
                <w:color w:val="auto"/>
              </w:rPr>
            </w:pPr>
          </w:p>
        </w:tc>
        <w:tc>
          <w:tcPr>
            <w:tcW w:w="920" w:type="dxa"/>
            <w:vAlign w:val="bottom"/>
            <w:tcBorders>
              <w:bottom w:val="single" w:sz="8" w:color="DEDEDE"/>
            </w:tcBorders>
            <w:shd w:val="clear" w:color="auto" w:fill="DEDEDE"/>
          </w:tcPr>
          <w:p>
            <w:pPr>
              <w:spacing w:after="0"/>
              <w:rPr>
                <w:sz w:val="20"/>
                <w:szCs w:val="20"/>
                <w:color w:val="auto"/>
              </w:rPr>
            </w:pPr>
          </w:p>
        </w:tc>
        <w:tc>
          <w:tcPr>
            <w:tcW w:w="60" w:type="dxa"/>
            <w:vAlign w:val="bottom"/>
            <w:tcBorders>
              <w:bottom w:val="single" w:sz="8" w:color="DEDEDE"/>
            </w:tcBorders>
            <w:shd w:val="clear" w:color="auto" w:fill="DEDEDE"/>
          </w:tcPr>
          <w:p>
            <w:pPr>
              <w:spacing w:after="0"/>
              <w:rPr>
                <w:sz w:val="20"/>
                <w:szCs w:val="20"/>
                <w:color w:val="auto"/>
              </w:rPr>
            </w:pPr>
          </w:p>
        </w:tc>
        <w:tc>
          <w:tcPr>
            <w:tcW w:w="280" w:type="dxa"/>
            <w:vAlign w:val="bottom"/>
            <w:tcBorders>
              <w:bottom w:val="single" w:sz="8" w:color="DEDEDE"/>
            </w:tcBorders>
            <w:shd w:val="clear" w:color="auto" w:fill="DEDEDE"/>
          </w:tcPr>
          <w:p>
            <w:pPr>
              <w:spacing w:after="0"/>
              <w:rPr>
                <w:sz w:val="20"/>
                <w:szCs w:val="20"/>
                <w:color w:val="auto"/>
              </w:rPr>
            </w:pPr>
          </w:p>
        </w:tc>
        <w:tc>
          <w:tcPr>
            <w:tcW w:w="920" w:type="dxa"/>
            <w:vAlign w:val="bottom"/>
            <w:tcBorders>
              <w:bottom w:val="single" w:sz="8" w:color="DEDEDE"/>
            </w:tcBorders>
            <w:shd w:val="clear" w:color="auto" w:fill="DEDEDE"/>
          </w:tcPr>
          <w:p>
            <w:pPr>
              <w:spacing w:after="0"/>
              <w:rPr>
                <w:sz w:val="20"/>
                <w:szCs w:val="20"/>
                <w:color w:val="auto"/>
              </w:rPr>
            </w:pPr>
          </w:p>
        </w:tc>
      </w:tr>
      <w:tr>
        <w:trPr>
          <w:trHeight w:val="269"/>
        </w:trPr>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1,558,252</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1,086,830</w:t>
            </w:r>
          </w:p>
        </w:tc>
        <w:tc>
          <w:tcPr>
            <w:tcW w:w="34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1,062,820</w:t>
            </w:r>
          </w:p>
        </w:tc>
      </w:tr>
      <w:tr>
        <w:trPr>
          <w:trHeight w:val="284"/>
        </w:trPr>
        <w:tc>
          <w:tcPr>
            <w:tcW w:w="622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7"/>
                <w:szCs w:val="17"/>
                <w:color w:val="auto"/>
              </w:rPr>
              <w:t>Restricted cash, current included in prepaid expenses and other current assets</w:t>
            </w:r>
          </w:p>
        </w:tc>
        <w:tc>
          <w:tcPr>
            <w:tcW w:w="280" w:type="dxa"/>
            <w:vAlign w:val="bottom"/>
            <w:shd w:val="clear" w:color="auto" w:fill="DEDEDE"/>
          </w:tcPr>
          <w:p>
            <w:pPr>
              <w:spacing w:after="0"/>
              <w:rPr>
                <w:sz w:val="24"/>
                <w:szCs w:val="24"/>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6,874</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13,141</w:t>
            </w: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10,236</w:t>
            </w:r>
          </w:p>
        </w:tc>
      </w:tr>
      <w:tr>
        <w:trPr>
          <w:trHeight w:val="266"/>
        </w:trPr>
        <w:tc>
          <w:tcPr>
            <w:tcW w:w="6220" w:type="dxa"/>
            <w:vAlign w:val="bottom"/>
            <w:tcBorders>
              <w:bottom w:val="single" w:sz="8" w:color="DEDEDE"/>
            </w:tcBorders>
          </w:tcPr>
          <w:p>
            <w:pPr>
              <w:ind w:left="280"/>
              <w:spacing w:after="0"/>
              <w:rPr>
                <w:sz w:val="20"/>
                <w:szCs w:val="20"/>
                <w:color w:val="auto"/>
              </w:rPr>
            </w:pPr>
            <w:r>
              <w:rPr>
                <w:rFonts w:ascii="Times New Roman" w:cs="Times New Roman" w:eastAsia="Times New Roman" w:hAnsi="Times New Roman"/>
                <w:sz w:val="17"/>
                <w:szCs w:val="17"/>
                <w:color w:val="auto"/>
              </w:rPr>
              <w:t>Restricted cash, noncurrent included in other assets, noncurrent</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6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60" w:type="dxa"/>
            <w:vAlign w:val="bottom"/>
            <w:tcBorders>
              <w:bottom w:val="single" w:sz="8" w:color="DEDEDE"/>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w:t>
            </w:r>
          </w:p>
        </w:tc>
      </w:tr>
      <w:tr>
        <w:trPr>
          <w:trHeight w:val="291"/>
        </w:trPr>
        <w:tc>
          <w:tcPr>
            <w:tcW w:w="6220" w:type="dxa"/>
            <w:vAlign w:val="bottom"/>
            <w:tcBorders>
              <w:bottom w:val="single" w:sz="8" w:color="DEDEDE"/>
            </w:tcBorders>
            <w:shd w:val="clear" w:color="auto" w:fill="DEDEDE"/>
          </w:tcPr>
          <w:p>
            <w:pPr>
              <w:ind w:left="620"/>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280" w:type="dxa"/>
            <w:vAlign w:val="bottom"/>
            <w:tcBorders>
              <w:bottom w:val="single" w:sz="8" w:color="auto"/>
            </w:tcBorders>
            <w:shd w:val="clear" w:color="auto" w:fill="DEDEDE"/>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1,565,380</w:t>
            </w:r>
          </w:p>
        </w:tc>
        <w:tc>
          <w:tcPr>
            <w:tcW w:w="6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1,100,243</w:t>
            </w:r>
          </w:p>
        </w:tc>
        <w:tc>
          <w:tcPr>
            <w:tcW w:w="6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auto"/>
            </w:tcBorders>
            <w:shd w:val="clear" w:color="auto" w:fill="DEDEDE"/>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1,073,353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-1947545</wp:posOffset>
            </wp:positionV>
            <wp:extent cx="2401570" cy="50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extLst>
                    </a:blip>
                    <a:srcRect/>
                    <a:stretch>
                      <a:fillRect/>
                    </a:stretch>
                  </pic:blipFill>
                  <pic:spPr bwMode="auto">
                    <a:xfrm>
                      <a:off x="0" y="0"/>
                      <a:ext cx="2401570" cy="5016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-1485265</wp:posOffset>
            </wp:positionV>
            <wp:extent cx="2401570" cy="50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extLst>
                    </a:blip>
                    <a:srcRect/>
                    <a:stretch>
                      <a:fillRect/>
                    </a:stretch>
                  </pic:blipFill>
                  <pic:spPr bwMode="auto">
                    <a:xfrm>
                      <a:off x="0" y="0"/>
                      <a:ext cx="2401570" cy="5016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-1309370</wp:posOffset>
            </wp:positionV>
            <wp:extent cx="2401570" cy="50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extLst>
                    </a:blip>
                    <a:srcRect/>
                    <a:stretch>
                      <a:fillRect/>
                    </a:stretch>
                  </pic:blipFill>
                  <pic:spPr bwMode="auto">
                    <a:xfrm>
                      <a:off x="0" y="0"/>
                      <a:ext cx="2401570" cy="5016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-43180</wp:posOffset>
            </wp:positionV>
            <wp:extent cx="2401570" cy="50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extLst>
                    </a:blip>
                    <a:srcRect/>
                    <a:stretch>
                      <a:fillRect/>
                    </a:stretch>
                  </pic:blipFill>
                  <pic:spPr bwMode="auto">
                    <a:xfrm>
                      <a:off x="0" y="0"/>
                      <a:ext cx="2401570" cy="5016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The accompanying notes are an integral part of these consolidated financial statements.</w:t>
      </w:r>
    </w:p>
    <w:p>
      <w:pPr>
        <w:sectPr>
          <w:pgSz w:w="11880" w:h="15480" w:orient="portrait"/>
          <w:cols w:equalWidth="0" w:num="1">
            <w:col w:w="9960"/>
          </w:cols>
          <w:pgMar w:left="960" w:top="91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72</w:t>
      </w:r>
    </w:p>
    <w:p>
      <w:pPr>
        <w:sectPr>
          <w:pgSz w:w="11880" w:h="15480" w:orient="portrait"/>
          <w:cols w:equalWidth="0" w:num="1">
            <w:col w:w="9960"/>
          </w:cols>
          <w:pgMar w:left="960" w:top="913" w:right="960" w:bottom="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9"/>
          <w:szCs w:val="19"/>
          <w:b w:val="1"/>
          <w:bCs w:val="1"/>
          <w:color w:val="auto"/>
        </w:rPr>
        <w:t>ZOOM VIDEO COMMUNICATIONS,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47" w:lineRule="exact"/>
        <w:rPr>
          <w:sz w:val="20"/>
          <w:szCs w:val="20"/>
          <w:color w:val="auto"/>
        </w:rPr>
      </w:pPr>
    </w:p>
    <w:p>
      <w:pPr>
        <w:ind w:left="700" w:hanging="699"/>
        <w:spacing w:after="0"/>
        <w:tabs>
          <w:tab w:leader="none" w:pos="700" w:val="left"/>
        </w:tabs>
        <w:numPr>
          <w:ilvl w:val="0"/>
          <w:numId w:val="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Summary of Business and Significant Accounting Policies</w:t>
      </w:r>
    </w:p>
    <w:p>
      <w:pPr>
        <w:spacing w:after="0" w:line="2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Description of Business</w:t>
      </w:r>
    </w:p>
    <w:p>
      <w:pPr>
        <w:spacing w:after="0" w:line="13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Zoom Video Communications, Inc. and its subsidiaries (collectively, “Zoom,” the “Company,” “we,” “us,” or “our”) provide a unified communications and collaboration platform that connects people through frictionless and secure meetings, phone, chat, content sharing and more. We were incorporated in the state of Delaware in April 2011, and are headquartered in San Jose, California.</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Fiscal Year</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Our fiscal year ends on January 31. References to fiscal year 2024, for example, refer to the fiscal year ended January 31,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2024.</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Basis of Presentation</w:t>
      </w:r>
    </w:p>
    <w:p>
      <w:pPr>
        <w:spacing w:after="0" w:line="13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The accompanying consolidated financial statements have been prepared in accordance with generally accepted accounting principles in the United States of America (“GAAP”) and include the accounts of Zoom Video Communications, Inc., its subsidiaries, and a variable interest entity for which we are the primary beneficiary. All intercompany balances and transactions have been eliminated in consolidation.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Use of Estimates</w:t>
      </w:r>
    </w:p>
    <w:p>
      <w:pPr>
        <w:spacing w:after="0" w:line="139"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stock-based compensation expense, the fair value of marketable securities, acquired intangible assets and goodwill, the valuation of deferred income tax assets and uncertain tax positions, and accruals and contingencies. Actual results could materially differ from those estimates.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Concentration of Risks</w:t>
      </w:r>
    </w:p>
    <w:p>
      <w:pPr>
        <w:spacing w:after="0" w:line="13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Our financial instruments that are exposed to concentrations of credit risk consist primarily of cash and cash equivalents, marketable securities, restricted cash, and accounts receivable. We maintain our cash, cash equivalents, marketable securities, and restricted cash with high-quality financial institutions with investment-grade ratings. A majority of the cash balances are with U.S. banks and are insured to the extent defined by the Federal Deposit Insurance Corporation.</w:t>
      </w:r>
    </w:p>
    <w:p>
      <w:pPr>
        <w:spacing w:after="0" w:line="72"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No single customer accounted for more than 10% of accounts receivable at January 31, 2024 or 2023. No single customer accounted for 10% or more of total revenue during the fiscal years ended January 31, 2024, 2023, or 2022.</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Cash, Cash Equivalents, and Restricted Cash</w:t>
      </w:r>
    </w:p>
    <w:p>
      <w:pPr>
        <w:spacing w:after="0" w:line="139"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Cash and cash equivalents consist of cash in banks and highly liquid investments, primarily money market funds, purchased with an original maturity of three months or less.</w:t>
      </w:r>
    </w:p>
    <w:p>
      <w:pPr>
        <w:spacing w:after="0" w:line="47"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Restricted cash consists of certificates of deposit collateralizing our operating leases and cash from proceeds from international employees’ sales of our common stock, and is included in prepaid expenses and other current assets and other assets, noncurrent in the consolidated balance sheets.</w:t>
      </w:r>
    </w:p>
    <w:p>
      <w:pPr>
        <w:spacing w:after="0" w:line="64"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As of January 31, 2024 and 2023, we had $6.9 million and $13.1 million, respectively, of cash from proceeds from international employees’ sales of our common stock. The amount is held in our bank account until it is remitted to the employees and the tax authorities. Due to the restrictions on the use of the funds in the bank account, we have classified the amount as restricted cash included in prepaid expenses and other current assets, and a corresponding amount is included in accrued expenses and other current liabilities in the consolidated balance sheets.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color w:val="auto"/>
        </w:rPr>
        <w:t>Allowance for Credit Losses</w:t>
      </w:r>
    </w:p>
    <w:p>
      <w:pPr>
        <w:spacing w:after="0" w:line="138"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We are exposed to credit losses primarily through our accounts receivable and investments in available-for-sale debt securities. See Note 3 for additional information related to our available-for-sale debt securities.</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73</w:t>
      </w:r>
    </w:p>
    <w:p>
      <w:pPr>
        <w:sectPr>
          <w:pgSz w:w="11880" w:h="15480" w:orient="portrait"/>
          <w:cols w:equalWidth="0" w:num="1">
            <w:col w:w="9960"/>
          </w:cols>
          <w:pgMar w:left="960" w:top="815" w:right="960" w:bottom="0" w:gutter="0" w:footer="0" w:header="0"/>
          <w:type w:val="continuous"/>
        </w:sectPr>
      </w:pPr>
    </w:p>
    <w:bookmarkStart w:id="77" w:name="page78"/>
    <w:bookmarkEnd w:id="77"/>
    <w:p>
      <w:pPr>
        <w:ind w:left="520"/>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Accounts receivable, net</w:t>
      </w:r>
    </w:p>
    <w:p>
      <w:pPr>
        <w:spacing w:after="0" w:line="134"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Accounts receivable are recorded for invoiced amounts and amounts for which revenue has been recognized, but not invoiced, net of allowances. Our short-term accounts receivable consist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16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As of January 31, 2024</w:t>
            </w:r>
          </w:p>
        </w:tc>
        <w:tc>
          <w:tcPr>
            <w:tcW w:w="40" w:type="dxa"/>
            <w:vAlign w:val="bottom"/>
          </w:tcPr>
          <w:p>
            <w:pPr>
              <w:spacing w:after="0"/>
              <w:rPr>
                <w:sz w:val="18"/>
                <w:szCs w:val="18"/>
                <w:color w:val="auto"/>
              </w:rPr>
            </w:pPr>
          </w:p>
        </w:tc>
        <w:tc>
          <w:tcPr>
            <w:tcW w:w="16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As of January 31, 2023</w:t>
            </w:r>
          </w:p>
        </w:tc>
      </w:tr>
      <w:tr>
        <w:trPr>
          <w:trHeight w:val="288"/>
        </w:trPr>
        <w:tc>
          <w:tcPr>
            <w:tcW w:w="6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40" w:type="dxa"/>
            <w:vAlign w:val="bottom"/>
          </w:tcPr>
          <w:p>
            <w:pPr>
              <w:spacing w:after="0"/>
              <w:rPr>
                <w:sz w:val="24"/>
                <w:szCs w:val="24"/>
                <w:color w:val="auto"/>
              </w:rPr>
            </w:pPr>
          </w:p>
        </w:tc>
      </w:tr>
      <w:tr>
        <w:trPr>
          <w:trHeight w:val="299"/>
        </w:trPr>
        <w:tc>
          <w:tcPr>
            <w:tcW w:w="66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Accounts receivable, gross</w:t>
            </w:r>
          </w:p>
        </w:tc>
        <w:tc>
          <w:tcPr>
            <w:tcW w:w="5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568,449</w:t>
            </w:r>
          </w:p>
        </w:tc>
        <w:tc>
          <w:tcPr>
            <w:tcW w:w="740" w:type="dxa"/>
            <w:vAlign w:val="bottom"/>
            <w:gridSpan w:val="2"/>
            <w:shd w:val="clear" w:color="auto" w:fill="DEDEDE"/>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590,610</w:t>
            </w:r>
          </w:p>
        </w:tc>
      </w:tr>
      <w:tr>
        <w:trPr>
          <w:trHeight w:val="285"/>
        </w:trPr>
        <w:tc>
          <w:tcPr>
            <w:tcW w:w="66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Less: Allowance for credit losses</w:t>
            </w: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(25,916)</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(24,900)</w:t>
            </w:r>
          </w:p>
        </w:tc>
      </w:tr>
      <w:tr>
        <w:trPr>
          <w:trHeight w:val="287"/>
        </w:trPr>
        <w:tc>
          <w:tcPr>
            <w:tcW w:w="664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Less: Allowance for returns</w:t>
            </w:r>
          </w:p>
        </w:tc>
        <w:tc>
          <w:tcPr>
            <w:tcW w:w="540" w:type="dxa"/>
            <w:vAlign w:val="bottom"/>
            <w:tcBorders>
              <w:bottom w:val="single" w:sz="8" w:color="auto"/>
            </w:tcBorders>
            <w:shd w:val="clear" w:color="auto" w:fill="DEDEDE"/>
          </w:tcPr>
          <w:p>
            <w:pPr>
              <w:spacing w:after="0"/>
              <w:rPr>
                <w:sz w:val="24"/>
                <w:szCs w:val="24"/>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(6,455)</w:t>
            </w:r>
          </w:p>
        </w:tc>
        <w:tc>
          <w:tcPr>
            <w:tcW w:w="40" w:type="dxa"/>
            <w:vAlign w:val="bottom"/>
            <w:tcBorders>
              <w:bottom w:val="single" w:sz="8" w:color="DEDEDE"/>
            </w:tcBorders>
            <w:shd w:val="clear" w:color="auto" w:fill="DEDEDE"/>
          </w:tcPr>
          <w:p>
            <w:pPr>
              <w:spacing w:after="0"/>
              <w:rPr>
                <w:sz w:val="24"/>
                <w:szCs w:val="24"/>
                <w:color w:val="auto"/>
              </w:rPr>
            </w:pPr>
          </w:p>
        </w:tc>
        <w:tc>
          <w:tcPr>
            <w:tcW w:w="700" w:type="dxa"/>
            <w:vAlign w:val="bottom"/>
            <w:tcBorders>
              <w:bottom w:val="single" w:sz="8" w:color="auto"/>
            </w:tcBorders>
            <w:shd w:val="clear" w:color="auto" w:fill="DEDEDE"/>
          </w:tcPr>
          <w:p>
            <w:pPr>
              <w:spacing w:after="0"/>
              <w:rPr>
                <w:sz w:val="24"/>
                <w:szCs w:val="24"/>
                <w:color w:val="auto"/>
              </w:rPr>
            </w:pP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(8,306)</w:t>
            </w:r>
          </w:p>
        </w:tc>
      </w:tr>
      <w:tr>
        <w:trPr>
          <w:trHeight w:val="252"/>
        </w:trPr>
        <w:tc>
          <w:tcPr>
            <w:tcW w:w="66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Accounts receivable, net</w:t>
            </w:r>
          </w:p>
        </w:tc>
        <w:tc>
          <w:tcPr>
            <w:tcW w:w="5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536,078</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557,404</w:t>
            </w:r>
          </w:p>
        </w:tc>
      </w:tr>
      <w:tr>
        <w:trPr>
          <w:trHeight w:val="20"/>
        </w:trPr>
        <w:tc>
          <w:tcPr>
            <w:tcW w:w="6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-55880</wp:posOffset>
            </wp:positionV>
            <wp:extent cx="2158365" cy="755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a:extLst>
                        <a:ext uri="{28A0092B-C50C-407E-A947-70E740481C1C}"/>
                      </a:extLst>
                    </a:blip>
                    <a:srcRect/>
                    <a:stretch>
                      <a:fillRect/>
                    </a:stretch>
                  </pic:blipFill>
                  <pic:spPr bwMode="auto">
                    <a:xfrm>
                      <a:off x="0" y="0"/>
                      <a:ext cx="2158365" cy="75565"/>
                    </a:xfrm>
                    <a:prstGeom prst="rect">
                      <a:avLst/>
                    </a:prstGeom>
                    <a:noFill/>
                  </pic:spPr>
                </pic:pic>
              </a:graphicData>
            </a:graphic>
          </wp:anchor>
        </w:drawing>
      </w:r>
    </w:p>
    <w:p>
      <w:pPr>
        <w:spacing w:after="0" w:line="220"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We maintain an allowance for credit losses for expected uncollectible accounts receivable, which is recorded as an offset to accounts receivable, and changes in such are classified as general and administrative expense in the consolidated statements of operations. The allowance for credit losses is based on management’s estimate for expected credit losses for outstanding accounts receivable. We determine expected credit losses based on historical write-off experience, an analysis of the aging of outstanding receivables, customer payment patterns, the establishment of specific reserves for customers in an adverse financial condition, and adjust based upon our expectations of changes in macroeconomic conditions that may impact the collectibility of outstanding receivables, including noncurrent accounts receivable. We also consider current market conditions and reasonable and supportable forecasts of future economic conditions to inform adjustments to historical loss data. We reassess the adequacy of the allowance for credit losses each reporting period. Furthermore, the allowance for sales returns is recorded as an offset to accounts receivable, and changes to the allowance are classified as a reduction in revenue in the consolidated statements of operations. We estimate returns from sales to customers based on historical chargebacks and return rates.</w:t>
      </w:r>
    </w:p>
    <w:p>
      <w:pPr>
        <w:spacing w:after="0" w:line="85"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For the fiscal year ended January 31, 2024, our assessment considered the recent changes in macroeconomic conditions such as inflation, recessionary and uncertain environments, and fluctuations in foreign currency exchange rates has on our estimates of credit and collectibility trends. Below is a rollforward of our allowance for credit losses for the fiscal year ended January 31,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6"/>
                <w:szCs w:val="16"/>
                <w:b w:val="1"/>
                <w:bCs w:val="1"/>
                <w:color w:val="auto"/>
                <w:w w:val="99"/>
              </w:rPr>
              <w:t>January 31, 2024</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January 31, 2023</w:t>
            </w:r>
          </w:p>
        </w:tc>
      </w:tr>
      <w:tr>
        <w:trPr>
          <w:trHeight w:val="288"/>
        </w:trPr>
        <w:tc>
          <w:tcPr>
            <w:tcW w:w="6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4"/>
          </w:tcPr>
          <w:p>
            <w:pPr>
              <w:jc w:val="right"/>
              <w:ind w:right="1067"/>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99"/>
        </w:trPr>
        <w:tc>
          <w:tcPr>
            <w:tcW w:w="66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Balance as of beginning of year</w:t>
            </w:r>
          </w:p>
        </w:tc>
        <w:tc>
          <w:tcPr>
            <w:tcW w:w="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24,900</w:t>
            </w:r>
          </w:p>
        </w:tc>
        <w:tc>
          <w:tcPr>
            <w:tcW w:w="24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17,000</w:t>
            </w:r>
          </w:p>
        </w:tc>
      </w:tr>
      <w:tr>
        <w:trPr>
          <w:trHeight w:val="285"/>
        </w:trPr>
        <w:tc>
          <w:tcPr>
            <w:tcW w:w="66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Provision for credit losses</w:t>
            </w: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47,267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45,211</w:t>
            </w:r>
          </w:p>
        </w:tc>
      </w:tr>
      <w:tr>
        <w:trPr>
          <w:trHeight w:val="306"/>
        </w:trPr>
        <w:tc>
          <w:tcPr>
            <w:tcW w:w="664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Write-offs</w:t>
            </w:r>
          </w:p>
        </w:tc>
        <w:tc>
          <w:tcPr>
            <w:tcW w:w="200" w:type="dxa"/>
            <w:vAlign w:val="bottom"/>
            <w:tcBorders>
              <w:bottom w:val="single" w:sz="8" w:color="auto"/>
            </w:tcBorders>
            <w:shd w:val="clear" w:color="auto" w:fill="DEDEDE"/>
          </w:tcPr>
          <w:p>
            <w:pPr>
              <w:spacing w:after="0"/>
              <w:rPr>
                <w:sz w:val="24"/>
                <w:szCs w:val="24"/>
                <w:color w:val="auto"/>
              </w:rPr>
            </w:pPr>
          </w:p>
        </w:tc>
        <w:tc>
          <w:tcPr>
            <w:tcW w:w="14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(46,251)</w:t>
            </w:r>
          </w:p>
        </w:tc>
        <w:tc>
          <w:tcPr>
            <w:tcW w:w="4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spacing w:after="0"/>
              <w:rPr>
                <w:sz w:val="24"/>
                <w:szCs w:val="24"/>
                <w:color w:val="auto"/>
              </w:rPr>
            </w:pPr>
          </w:p>
        </w:tc>
        <w:tc>
          <w:tcPr>
            <w:tcW w:w="14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(37,311)</w:t>
            </w:r>
          </w:p>
        </w:tc>
      </w:tr>
      <w:tr>
        <w:trPr>
          <w:trHeight w:val="233"/>
        </w:trPr>
        <w:tc>
          <w:tcPr>
            <w:tcW w:w="66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Balance as of end of year</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25,916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24,900</w:t>
            </w:r>
          </w:p>
        </w:tc>
      </w:tr>
      <w:tr>
        <w:trPr>
          <w:trHeight w:val="20"/>
        </w:trPr>
        <w:tc>
          <w:tcPr>
            <w:tcW w:w="6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-55880</wp:posOffset>
            </wp:positionV>
            <wp:extent cx="2158365" cy="755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extLst>
                    </a:blip>
                    <a:srcRect/>
                    <a:stretch>
                      <a:fillRect/>
                    </a:stretch>
                  </pic:blipFill>
                  <pic:spPr bwMode="auto">
                    <a:xfrm>
                      <a:off x="0" y="0"/>
                      <a:ext cx="2158365" cy="75565"/>
                    </a:xfrm>
                    <a:prstGeom prst="rect">
                      <a:avLst/>
                    </a:prstGeom>
                    <a:noFill/>
                  </pic:spPr>
                </pic:pic>
              </a:graphicData>
            </a:graphic>
          </wp:anchor>
        </w:drawing>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Available-for-sale Investments</w:t>
      </w:r>
    </w:p>
    <w:p>
      <w:pPr>
        <w:spacing w:after="0" w:line="134"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Available-for-sale investments consist primarily of high-grade commercial paper, agency bonds, corporate bonds, corporate and other debt securities, U.S. government agency securities, and treasury bills. We classify our marketable securities as available-for-sale at the time of purchase and reevaluate such classification at each balance sheet date. We may sell these securities at any time for use in current operations even if they have not yet reached maturity. As a result, we classify our securities, including those with maturities beyond 12 months, as current assets in the consolidated balance sheets. We carry these securities at fair value and record unrealized gains and losses in accumulated other comprehensive income (loss), which is reflected as a component of stockholders’ equity. We evaluate our securities with unrealized loss positions as to whether the declines in fair value were due to credit losses, and record the portion of impairment relating to the credit losses through allowance for credit losses limited to the amount that fair value was less than the amortized cost basis. Realized gains and losses from the sale of marketable securities are determined based on the specific identification method. Realized gains and losses are reported in other income (expense), net in the consolidated statements of operations.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Strategic Investments</w:t>
      </w:r>
    </w:p>
    <w:p>
      <w:pPr>
        <w:spacing w:after="0" w:line="139"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We hold strategic investments in publicly held equity securities and privately held debt and equity securities in which we do not have a controlling interest. Publicly held equity securities are measured using quoted prices in their respective active markets with changes recorded through gains (losses) on strategic investments, net in the consolidated statements of operations. Privately held equity securities without a readily determinable fair value are recorded at cost and adjusted for impairments and observable price changes with a same or similar security from the same issuer (i.e. using the measurement alternative) and are recorded through gains (losses) on strategic investments, net in the consolidated statements of operations.</w:t>
      </w:r>
    </w:p>
    <w:p>
      <w:pPr>
        <w:sectPr>
          <w:pgSz w:w="11880" w:h="15480" w:orient="portrait"/>
          <w:cols w:equalWidth="0" w:num="1">
            <w:col w:w="9960"/>
          </w:cols>
          <w:pgMar w:left="960" w:top="818" w:right="960" w:bottom="0"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74</w:t>
      </w:r>
    </w:p>
    <w:p>
      <w:pPr>
        <w:sectPr>
          <w:pgSz w:w="11880" w:h="15480" w:orient="portrait"/>
          <w:cols w:equalWidth="0" w:num="1">
            <w:col w:w="9960"/>
          </w:cols>
          <w:pgMar w:left="960" w:top="818" w:right="960" w:bottom="0" w:gutter="0" w:footer="0" w:header="0"/>
          <w:type w:val="continuous"/>
        </w:sectPr>
      </w:pPr>
    </w:p>
    <w:bookmarkStart w:id="78" w:name="page79"/>
    <w:bookmarkEnd w:id="78"/>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If, based on the terms of these publicly traded and privately held securities, we determine that we exercise significant influence on the entity to which these securities relate, we will apply the equity method of accounting for such investments. Privately held equity securities that are accounted for under the equity method are measured at cost less any impairment, plus or minus our share of equity method investee income or loss, which is reported in gains (losses) on strategic investments, net in the consolidated statements of operations.</w:t>
      </w:r>
    </w:p>
    <w:p>
      <w:pPr>
        <w:spacing w:after="0" w:line="75"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Privately held debt securities are recorded at fair value with changes in fair value recorded through accumulated other comprehensive income (loss) on the consolidated balance sheets.</w:t>
      </w:r>
    </w:p>
    <w:p>
      <w:pPr>
        <w:spacing w:after="0" w:line="47"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On a quarterly basis, we assess our privately held debt and equity securities in our strategic investment portfolio for indicators for impairment. As of January 31, 2024, we recognized an immaterial amount of impairment to our privately held debt and equity securities.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Fair Value Measurements</w:t>
      </w:r>
    </w:p>
    <w:p>
      <w:pPr>
        <w:spacing w:after="0" w:line="139"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Level 1—Quoted prices in active markets for identical assets or liabilities.</w:t>
      </w:r>
    </w:p>
    <w:p>
      <w:pPr>
        <w:spacing w:after="0" w:line="131"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Level 2—Observable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64"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Level 3—Unobservable inputs that are supported by little or no market activity and that are significant to the fair value of the assets or liabilities.</w:t>
      </w:r>
    </w:p>
    <w:p>
      <w:pPr>
        <w:spacing w:after="0" w:line="47"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Financial instruments consist of cash equivalents, restricted cash, marketable securities, accounts receivable, and accounts payable. Cash equivalents, restricted cash, and marketable securities are stated at fair value on a recurring basis. Accounts receivable and accounts payable are stated at their carrying value, which approximates fair value due to the short time to the expected receipt or payment date.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Property and Equipment, Net</w:t>
      </w:r>
    </w:p>
    <w:p>
      <w:pPr>
        <w:spacing w:after="0" w:line="139"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Property and equipment, net, are stated at cost, less accumulated depreciation and amortization. Depreciation and amortization are calculated using the straight-line method over the estimated useful lives of the respective assets, determined to be three to five years. Leasehold improvements are amortized over the shorter of the remaining lease term or the estimated useful life of five years. Expenditures for maintenance and repairs are expensed as incurred. Significant improvements and betterments that substantially enhance the life of an asset are capitalized.</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Software Development Costs</w:t>
      </w:r>
    </w:p>
    <w:p>
      <w:pPr>
        <w:spacing w:after="0" w:line="139"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We capitalize certain development costs related to our unified communications and collaboration platform during the application development stage as long as it is probable the project will be completed, and the software will be used to perform the function intended. Capitalized software development costs are recorded as part of property and equipment, net. Costs related to preliminary project activities and post-implementation activities are expensed as incurred. Capitalized software development costs are amortized on a straight-line basis over the software’s estimated useful life, which is generally three years, and are recorded in cost of revenue in the consolidated statements of operations. We evaluate the useful lives of these assets on an annual basis and test for impairment whenever events or changes in circumstances occur that could impact the recoverability of these assets. We have capitalized $8.1 million, $18.0 million, and $20.2 million of software development costs during the fiscal years ended January 31, 2024, 2023, and 2022, respectively.</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Leases</w:t>
      </w:r>
    </w:p>
    <w:p>
      <w:pPr>
        <w:spacing w:after="0" w:line="139"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All lease arrangements are generally recognized at lease commencement. Operating lease right-of-use (“ROU”) assets and operating lease liabilities are recognized at commencement. For short-term leases (an initial term of 12 months or less), an ROU asset and corresponding lease liability are not recorded and we record rent expense in our consolidated statements of operations on a straight-line basis over the lease term and record variable lease payments as incurred. ROU assets represent our right to use an underlying asset during the reasonably certain lease term, and lease liabilities represent our obligation to make lease payments arising from the lease. Our lease terms may include options to extend or terminate the lease when it is</w:t>
      </w:r>
    </w:p>
    <w:p>
      <w:pPr>
        <w:sectPr>
          <w:pgSz w:w="11880" w:h="15480" w:orient="portrait"/>
          <w:cols w:equalWidth="0" w:num="1">
            <w:col w:w="9960"/>
          </w:cols>
          <w:pgMar w:left="960" w:top="821" w:right="960" w:bottom="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75</w:t>
      </w:r>
    </w:p>
    <w:p>
      <w:pPr>
        <w:sectPr>
          <w:pgSz w:w="11880" w:h="15480" w:orient="portrait"/>
          <w:cols w:equalWidth="0" w:num="1">
            <w:col w:w="9960"/>
          </w:cols>
          <w:pgMar w:left="960" w:top="821" w:right="960" w:bottom="0" w:gutter="0" w:footer="0" w:header="0"/>
          <w:type w:val="continuous"/>
        </w:sectPr>
      </w:pPr>
    </w:p>
    <w:bookmarkStart w:id="79" w:name="page80"/>
    <w:bookmarkEnd w:id="79"/>
    <w:p>
      <w:pPr>
        <w:jc w:val="both"/>
        <w:spacing w:after="0" w:line="261" w:lineRule="auto"/>
        <w:rPr>
          <w:sz w:val="20"/>
          <w:szCs w:val="20"/>
          <w:color w:val="auto"/>
        </w:rPr>
      </w:pPr>
      <w:r>
        <w:rPr>
          <w:rFonts w:ascii="Times New Roman" w:cs="Times New Roman" w:eastAsia="Times New Roman" w:hAnsi="Times New Roman"/>
          <w:sz w:val="19"/>
          <w:szCs w:val="19"/>
          <w:color w:val="auto"/>
        </w:rPr>
        <w:t>reasonably certain that we will exercise that option. Operating lease ROU assets and liabilities are recognized at the commencement date based on the present value of fixed payments not yet paid over the lease term. We use our incremental borrowing rate based on the information available at the commencement date in determining the lease liabilities as our leases generally do not provide an implicit rate. Our incremental borrowing rate is estimated to approximate the interest rate on a collateralized basis with similar terms and payments, in an economic environment where the leased asset is located. ROU assets also include any initial direct costs incurred and any lease payments made at or before the lease commencement date, less lease incentives received. We reassess the lease term if and when a significant event or change in circumstances occurs within our control. We currently do not have any finance leases.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Impairment of Long-Lived Assets</w:t>
      </w:r>
    </w:p>
    <w:p>
      <w:pPr>
        <w:spacing w:after="0" w:line="139"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We evaluate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January 31, 2024, 2023, or 2022.</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Business Combinations</w:t>
      </w:r>
    </w:p>
    <w:p>
      <w:pPr>
        <w:spacing w:after="0" w:line="139"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estimates and assumptions, especially with respect to intangible assets. Our estimates of fair value are based upon assumptions believed to be reasonable, but which are inherently uncertain and unpredictable and, as a result, actual results may differ from estimates.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spacing w:after="0" w:line="85"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Uncertain tax positions and tax-related valuation allowances are initially established in connection with a business combination as of the acquisition date. We continue to collect information and reevaluate these estimates and assumptions quarterly. We will record any adjustments to our preliminary estimates to goodwill, provided that it is within the one-year measurement period.</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Goodwill and Intangible Assets</w:t>
      </w:r>
    </w:p>
    <w:p>
      <w:pPr>
        <w:spacing w:after="0" w:line="139"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Goodwill amounts are not amortized, but rather tested for impairment at least annually or more often if circumstances indicate that the carrying value may not be recoverable. Goodwill is considered impaired if the carrying value of the reporting unit exceeds its fair value. We have one reporting unit and as a result, goodwill has been assigned to the single reporting unit. We conducted our annual impairment test of goodwill in the fourth quarter of fiscal year 2024 and determined that no adjustment to the carrying value of goodwill was required.</w:t>
      </w:r>
    </w:p>
    <w:p>
      <w:pPr>
        <w:spacing w:after="0" w:line="75"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Intangible assets consist of acquired identifiable intangible assets resulting from business combinations, as well as other intangible assets purchased outside of a business combination, such as domains and intellectual property addresses. Finite-lived intangible assets are initially recorded at fair value and are amortized on a straight-line basis over their estimated useful lives. We routinely evaluate the estimated remaining useful lives of our finite-lived intangible assets and whether events or changes in circumstances warrant a revision to the remaining period of amortization. Indefinite-lived intangible assets are recorded at fair value and are not amortized. We review the useful lives of indefinite-lived intangible assets each reporting period to determine whether events and circumstances continue to support the indefinite useful life classification. If we determine that the life of an intangible asset is no longer indefinite, that asset would be tested for impairment and amortized prospectively over its estimated remaining useful life. There were no impairment charges to acquired intangible assets during the fiscal year ended January 31, 2024.</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Revenue Recognition</w:t>
      </w:r>
    </w:p>
    <w:p>
      <w:pPr>
        <w:spacing w:after="0" w:line="139"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We derive our revenue primarily from subscription agreements with customers for access to our unified communications and collaboration platform and services. We also provide other services, which include professional services, consulting</w:t>
      </w:r>
    </w:p>
    <w:p>
      <w:pPr>
        <w:sectPr>
          <w:pgSz w:w="11880" w:h="15480" w:orient="portrait"/>
          <w:cols w:equalWidth="0" w:num="1">
            <w:col w:w="9960"/>
          </w:cols>
          <w:pgMar w:left="960" w:top="821" w:right="960" w:bottom="0" w:gutter="0" w:footer="0" w:header="0"/>
        </w:sect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ectPr>
          <w:pgSz w:w="11880" w:h="15480" w:orient="portrait"/>
          <w:cols w:equalWidth="0" w:num="1">
            <w:col w:w="9960"/>
          </w:cols>
          <w:pgMar w:left="960" w:top="821" w:right="960" w:bottom="0" w:gutter="0" w:footer="0" w:header="0"/>
          <w:type w:val="continuous"/>
        </w:sectPr>
      </w:pPr>
    </w:p>
    <w:bookmarkStart w:id="80" w:name="page81"/>
    <w:bookmarkEnd w:id="80"/>
    <w:p>
      <w:pPr>
        <w:jc w:val="both"/>
        <w:spacing w:after="0" w:line="268" w:lineRule="auto"/>
        <w:rPr>
          <w:sz w:val="20"/>
          <w:szCs w:val="20"/>
          <w:color w:val="auto"/>
        </w:rPr>
      </w:pPr>
      <w:r>
        <w:rPr>
          <w:rFonts w:ascii="Times New Roman" w:cs="Times New Roman" w:eastAsia="Times New Roman" w:hAnsi="Times New Roman"/>
          <w:sz w:val="19"/>
          <w:szCs w:val="19"/>
          <w:color w:val="auto"/>
        </w:rPr>
        <w:t>services, and online event hosting, which were immaterial to our consolidated financial statements. Revenue is recognized when a customer obtains control of promised services. The amount of revenue recognized reflects the consideration that we expect to receive in exchange for these services over the contract term which can include a free period discount. We determine revenue recognition through the following steps:</w:t>
      </w:r>
    </w:p>
    <w:p>
      <w:pPr>
        <w:spacing w:after="0" w:line="186" w:lineRule="exact"/>
        <w:rPr>
          <w:sz w:val="20"/>
          <w:szCs w:val="20"/>
          <w:color w:val="auto"/>
        </w:rPr>
      </w:pPr>
    </w:p>
    <w:p>
      <w:pPr>
        <w:ind w:left="700" w:hanging="350"/>
        <w:spacing w:after="0"/>
        <w:tabs>
          <w:tab w:leader="none" w:pos="700" w:val="left"/>
        </w:tabs>
        <w:numPr>
          <w:ilvl w:val="0"/>
          <w:numId w:val="2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Identification of the contract, or contracts, with the customer</w:t>
      </w:r>
    </w:p>
    <w:p>
      <w:pPr>
        <w:spacing w:after="0" w:line="134"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91" w:lineRule="exact"/>
        <w:rPr>
          <w:sz w:val="20"/>
          <w:szCs w:val="20"/>
          <w:color w:val="auto"/>
        </w:rPr>
      </w:pPr>
    </w:p>
    <w:p>
      <w:pPr>
        <w:ind w:left="700" w:hanging="350"/>
        <w:spacing w:after="0"/>
        <w:tabs>
          <w:tab w:leader="none" w:pos="700" w:val="left"/>
        </w:tabs>
        <w:numPr>
          <w:ilvl w:val="0"/>
          <w:numId w:val="2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Identification of the performance obligations in the contract</w:t>
      </w:r>
    </w:p>
    <w:p>
      <w:pPr>
        <w:spacing w:after="0" w:line="134"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or products is separately identifiable from other promises in the contract. Promised services or products under which both of these two criteria are not met are recognized as a combined, single performance obligation. Our performance obligations primarily relate to access to our unified communications and collaboration platform, which consists of one or more software-based services. Our customers do not have the ability to take possession of our software, and through access to our platform, we provide a series of distinct software-based services that are satisfied over the term of the subscription.</w:t>
      </w:r>
    </w:p>
    <w:p>
      <w:pPr>
        <w:spacing w:after="0" w:line="200" w:lineRule="exact"/>
        <w:rPr>
          <w:sz w:val="20"/>
          <w:szCs w:val="20"/>
          <w:color w:val="auto"/>
        </w:rPr>
      </w:pPr>
    </w:p>
    <w:p>
      <w:pPr>
        <w:spacing w:after="0" w:line="226" w:lineRule="exact"/>
        <w:rPr>
          <w:sz w:val="20"/>
          <w:szCs w:val="20"/>
          <w:color w:val="auto"/>
        </w:rPr>
      </w:pPr>
    </w:p>
    <w:p>
      <w:pPr>
        <w:ind w:left="700" w:hanging="350"/>
        <w:spacing w:after="0"/>
        <w:tabs>
          <w:tab w:leader="none" w:pos="700" w:val="left"/>
        </w:tabs>
        <w:numPr>
          <w:ilvl w:val="0"/>
          <w:numId w:val="2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Determination of the transaction price</w:t>
      </w:r>
    </w:p>
    <w:p>
      <w:pPr>
        <w:spacing w:after="0" w:line="134"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75"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Our unified communications and collaboration platform and related services are typically warranted to perform in a professional manner that will comply with the terms of the subscription agreements. In addition, we include service-level commitments to our customers warranting certain levels of uptime reliability and performance and permitting those customers to receive credits in the event that we fail to meet those service levels. These credits represent a form of variable consideration. We have not provided any material refunds related to these agreements in the consolidated financial statements during the periods presented.</w:t>
      </w:r>
    </w:p>
    <w:p>
      <w:pPr>
        <w:spacing w:after="0" w:line="191" w:lineRule="exact"/>
        <w:rPr>
          <w:sz w:val="20"/>
          <w:szCs w:val="20"/>
          <w:color w:val="auto"/>
        </w:rPr>
      </w:pPr>
    </w:p>
    <w:p>
      <w:pPr>
        <w:ind w:left="700" w:hanging="350"/>
        <w:spacing w:after="0"/>
        <w:tabs>
          <w:tab w:leader="none" w:pos="700" w:val="left"/>
        </w:tabs>
        <w:numPr>
          <w:ilvl w:val="0"/>
          <w:numId w:val="2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Allocation of the transaction price to the performance obligations in the contract</w:t>
      </w:r>
    </w:p>
    <w:p>
      <w:pPr>
        <w:spacing w:after="0" w:line="134"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Contracts that contain multiple performance obligations require an allocation of the transaction price to each performance obligation based on each performance obligation’s relative standalone selling price. Our contracts with multiple performance obligations are generally sold over the same subscription term and have the same pattern of transfer to the customer, and so they are accounted for as one combined performance obligation in the context of the contract. Accordingly, the transaction price is allocated to this single performance obligation.</w:t>
      </w:r>
    </w:p>
    <w:p>
      <w:pPr>
        <w:spacing w:after="0" w:line="189" w:lineRule="exact"/>
        <w:rPr>
          <w:sz w:val="20"/>
          <w:szCs w:val="20"/>
          <w:color w:val="auto"/>
        </w:rPr>
      </w:pPr>
    </w:p>
    <w:p>
      <w:pPr>
        <w:ind w:left="700" w:hanging="350"/>
        <w:spacing w:after="0"/>
        <w:tabs>
          <w:tab w:leader="none" w:pos="700" w:val="left"/>
        </w:tabs>
        <w:numPr>
          <w:ilvl w:val="0"/>
          <w:numId w:val="2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Recognition of the revenue when, or as, a performance obligation is satisfied</w:t>
      </w:r>
    </w:p>
    <w:p>
      <w:pPr>
        <w:spacing w:after="0" w:line="134"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unified communications and collaboration platform and related services are subscription revenue and are considered one performance obligation, and the related revenue is recognized ratably over the subscription period as we satisfy the performance obligation.</w:t>
      </w:r>
    </w:p>
    <w:p>
      <w:pPr>
        <w:spacing w:after="0" w:line="75"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Professional services are time-based arrangements and revenue is recognized as these services are performed. Fees for services represent less than 1% of total revenue during the periods presented.</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77</w:t>
      </w:r>
    </w:p>
    <w:p>
      <w:pPr>
        <w:sectPr>
          <w:pgSz w:w="11880" w:h="15480" w:orient="portrait"/>
          <w:cols w:equalWidth="0" w:num="1">
            <w:col w:w="9960"/>
          </w:cols>
          <w:pgMar w:left="960" w:top="821" w:right="960" w:bottom="0" w:gutter="0" w:footer="0" w:header="0"/>
          <w:type w:val="continuous"/>
        </w:sectPr>
      </w:pPr>
    </w:p>
    <w:bookmarkStart w:id="81" w:name="page82"/>
    <w:bookmarkEnd w:id="81"/>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Cost of Revenue</w:t>
      </w:r>
    </w:p>
    <w:p>
      <w:pPr>
        <w:spacing w:after="0" w:line="139"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Cost of revenue primarily consists of costs related to hosting our unified communications and collaboration platform and providing general operating support services to our customers. These costs are composed of co-located data center costs, third-party cloud hosting costs, integrated third-party PSTN services, personnel-related expenses, amortization of capitalized software development costs and acquired intangible assets, royalty payments, and allocated overhead costs. Indirect overhead costs associated with corporate facilities and related depreciation, health care benefits, training, and other employee benefits are allocated to cost of revenue and operating expenses based on applicable headcount.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w:t>
      </w:r>
    </w:p>
    <w:p>
      <w:pPr>
        <w:spacing w:after="0" w:line="13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Research and development costs include personnel-related expenses associated with our engineering personnel and consultants responsible for the design, development, and testing of our unified communications and collaboration platform, depreciation of equipment used in research and development, and allocated overhead costs. Research and development costs are expensed as incurred.</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Advertising Costs</w:t>
      </w:r>
    </w:p>
    <w:p>
      <w:pPr>
        <w:spacing w:after="0" w:line="139"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Advertising costs are expensed as incurred in sales and marketing expense and amounted to $56.5 million, $64.7 million, and $40.9 million for the fiscal years ended January 31, 2024, 2023, and 2022, respectively.</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w:t>
      </w:r>
    </w:p>
    <w:p>
      <w:pPr>
        <w:spacing w:after="0" w:line="139" w:lineRule="exact"/>
        <w:rPr>
          <w:sz w:val="20"/>
          <w:szCs w:val="20"/>
          <w:color w:val="auto"/>
        </w:rPr>
      </w:pPr>
    </w:p>
    <w:p>
      <w:pPr>
        <w:jc w:val="both"/>
        <w:ind w:firstLine="524"/>
        <w:spacing w:after="0" w:line="286" w:lineRule="auto"/>
        <w:rPr>
          <w:sz w:val="20"/>
          <w:szCs w:val="20"/>
          <w:color w:val="auto"/>
        </w:rPr>
      </w:pPr>
      <w:r>
        <w:rPr>
          <w:rFonts w:ascii="Times New Roman" w:cs="Times New Roman" w:eastAsia="Times New Roman" w:hAnsi="Times New Roman"/>
          <w:sz w:val="19"/>
          <w:szCs w:val="19"/>
          <w:color w:val="auto"/>
        </w:rPr>
        <w:t>Stock-based compensation expense related to stock awards (including stock options, RSUs, and ESPP) is measured based on the fair value of the awards granted and recognized as an expense on a straight-line basis over the requisite service period.</w:t>
      </w:r>
    </w:p>
    <w:p>
      <w:pPr>
        <w:spacing w:after="0" w:line="295"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The fair value of each option and ESPP award is estimated on the grant date using the Black-Scholes option pricing model. The Black-Scholes option pricing model requires the use of assumptions, including the fair value of the underlying common stock, the expected term of the award, the expected volatility of the price of our common stock, risk-free interest rates, and the expected dividend yield of our common stock.</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The fair value of each RSU award is based on the fair value of the underlying common stock as of the grant date.</w:t>
      </w:r>
    </w:p>
    <w:p>
      <w:pPr>
        <w:spacing w:after="0" w:line="131"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The assumptions used to determine the fair value of the stock awards represent management’s best estimates. These estimates involve inherent uncertainties and the application of management’s judgment. We account for forfeitures as they occur instead of estimating the number of awards expected to be forfeited.</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Foreign Currency</w:t>
      </w:r>
    </w:p>
    <w:p>
      <w:pPr>
        <w:spacing w:after="0" w:line="13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The functional currency of our foreign subsidiaries is the U.S. dollar. Accordingly, monetary assets and liabilities of our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139"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We use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w:t>
      </w:r>
    </w:p>
    <w:p>
      <w:pPr>
        <w:spacing w:after="0" w:line="64"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Deferred tax assets are evaluated for future realization and reduced by a valuation allowance to the extent we believe it is more likely than not that they will not be realized. We consider all available positive and negative evidence, including future reversals of existing taxable temporary differences, projected future taxable income, tax-planning strategies, carryback potential if permitted under the tax law, and results of recent operations.</w:t>
      </w:r>
    </w:p>
    <w:p>
      <w:pPr>
        <w:spacing w:after="0" w:line="69"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 xml:space="preserve">We record uncertain tax positions in accordance with ASC 740, </w:t>
      </w:r>
      <w:r>
        <w:rPr>
          <w:rFonts w:ascii="Times New Roman" w:cs="Times New Roman" w:eastAsia="Times New Roman" w:hAnsi="Times New Roman"/>
          <w:sz w:val="19"/>
          <w:szCs w:val="19"/>
          <w:b w:val="1"/>
          <w:bCs w:val="1"/>
          <w:i w:val="1"/>
          <w:iCs w:val="1"/>
          <w:color w:val="auto"/>
        </w:rPr>
        <w:t>Income Taxes</w:t>
      </w:r>
      <w:r>
        <w:rPr>
          <w:rFonts w:ascii="Times New Roman" w:cs="Times New Roman" w:eastAsia="Times New Roman" w:hAnsi="Times New Roman"/>
          <w:sz w:val="19"/>
          <w:szCs w:val="19"/>
          <w:color w:val="auto"/>
        </w:rPr>
        <w:t xml:space="preserve">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 We consider many factors when evaluating our uncertain tax positions, which involve significant judgment and may require periodic adjustments. The resolution of these uncertain tax positions in a manner inconsistent with management's expectations could have a material impact on our consolidated financial statements. We recognize interest and penalties related</w:t>
      </w:r>
    </w:p>
    <w:p>
      <w:pPr>
        <w:sectPr>
          <w:pgSz w:w="11880" w:h="15480" w:orient="portrait"/>
          <w:cols w:equalWidth="0" w:num="1">
            <w:col w:w="9960"/>
          </w:cols>
          <w:pgMar w:left="960" w:top="81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78</w:t>
      </w:r>
    </w:p>
    <w:p>
      <w:pPr>
        <w:sectPr>
          <w:pgSz w:w="11880" w:h="15480" w:orient="portrait"/>
          <w:cols w:equalWidth="0" w:num="1">
            <w:col w:w="9960"/>
          </w:cols>
          <w:pgMar w:left="960" w:top="813" w:right="960" w:bottom="0" w:gutter="0" w:footer="0" w:header="0"/>
          <w:type w:val="continuous"/>
        </w:sectPr>
      </w:pPr>
    </w:p>
    <w:bookmarkStart w:id="82" w:name="page83"/>
    <w:bookmarkEnd w:id="82"/>
    <w:p>
      <w:pPr>
        <w:jc w:val="both"/>
        <w:spacing w:after="0" w:line="294" w:lineRule="auto"/>
        <w:rPr>
          <w:sz w:val="20"/>
          <w:szCs w:val="20"/>
          <w:color w:val="auto"/>
        </w:rPr>
      </w:pPr>
      <w:r>
        <w:rPr>
          <w:rFonts w:ascii="Times New Roman" w:cs="Times New Roman" w:eastAsia="Times New Roman" w:hAnsi="Times New Roman"/>
          <w:sz w:val="19"/>
          <w:szCs w:val="19"/>
          <w:color w:val="auto"/>
        </w:rPr>
        <w:t>to uncertain tax positions as a component of our provision for income taxes. Accrued interest and penalties are included with the related tax liability.</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Net Income Per Share Attributable to Common Stockholders</w:t>
      </w:r>
    </w:p>
    <w:p>
      <w:pPr>
        <w:spacing w:after="0" w:line="13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We calculate our net income per share attributable to Class A and Class B common stock using the two-class method required for companies with participating securities. We consider our convertible preferred stock and unvested common stock, which includes early exercised stock options, to be participating securities as holders of such securities have non-forfeitable dividend rights in the event of our declaration of a dividend for shares of common stock.</w:t>
      </w:r>
    </w:p>
    <w:p>
      <w:pPr>
        <w:spacing w:after="0" w:line="72"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Distributed and undistributed earnings allocated to participating securities are subtracted from net income in determining net income attributable to common stockholders. Basic net income per share is computed by dividing net income attributable to common stockholders by the weighted-average number of shares of our Class A and Class B common stock outstanding.</w:t>
      </w:r>
    </w:p>
    <w:p>
      <w:pPr>
        <w:spacing w:after="0" w:line="64"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Segment Information</w:t>
      </w:r>
    </w:p>
    <w:p>
      <w:pPr>
        <w:spacing w:after="0" w:line="13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We operate in one operating segment. Operating segments are defined as components of an enterprise about which separate financial information is evaluated regularly by the chief operating decision maker, who is our CEO, in deciding how to allocate resources and assessing performance. Our chief operating decision maker allocates resources and assesses performance based upon consolidated financial information.</w:t>
      </w:r>
    </w:p>
    <w:p>
      <w:pPr>
        <w:spacing w:after="0" w:line="72"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Revenue by geographical region can be found in the revenue recognition disclosures in Note 2 below. The following table presents our property and equipment, net of depreciation and amortization, by geographic region: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As of January 31,</w:t>
            </w:r>
          </w:p>
        </w:tc>
        <w:tc>
          <w:tcPr>
            <w:tcW w:w="980" w:type="dxa"/>
            <w:vAlign w:val="bottom"/>
            <w:tcBorders>
              <w:bottom w:val="single" w:sz="8" w:color="auto"/>
            </w:tcBorders>
          </w:tcPr>
          <w:p>
            <w:pPr>
              <w:spacing w:after="0"/>
              <w:rPr>
                <w:sz w:val="18"/>
                <w:szCs w:val="18"/>
                <w:color w:val="auto"/>
              </w:rPr>
            </w:pPr>
          </w:p>
        </w:tc>
      </w:tr>
      <w:tr>
        <w:trPr>
          <w:trHeight w:val="213"/>
        </w:trPr>
        <w:tc>
          <w:tcPr>
            <w:tcW w:w="6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73"/>
        </w:trPr>
        <w:tc>
          <w:tcPr>
            <w:tcW w:w="6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80" w:type="dxa"/>
            <w:vAlign w:val="bottom"/>
          </w:tcPr>
          <w:p>
            <w:pPr>
              <w:spacing w:after="0"/>
              <w:rPr>
                <w:sz w:val="23"/>
                <w:szCs w:val="23"/>
                <w:color w:val="auto"/>
              </w:rPr>
            </w:pPr>
          </w:p>
        </w:tc>
      </w:tr>
      <w:tr>
        <w:trPr>
          <w:trHeight w:val="285"/>
        </w:trPr>
        <w:tc>
          <w:tcPr>
            <w:tcW w:w="67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Americas</w:t>
            </w:r>
          </w:p>
        </w:tc>
        <w:tc>
          <w:tcPr>
            <w:tcW w:w="360" w:type="dxa"/>
            <w:vAlign w:val="bottom"/>
            <w:shd w:val="clear" w:color="auto" w:fill="DEDEDE"/>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202,022</w:t>
            </w:r>
          </w:p>
        </w:tc>
        <w:tc>
          <w:tcPr>
            <w:tcW w:w="660" w:type="dxa"/>
            <w:vAlign w:val="bottom"/>
            <w:gridSpan w:val="2"/>
            <w:shd w:val="clear" w:color="auto" w:fill="DEDEDE"/>
          </w:tcPr>
          <w:p>
            <w:pPr>
              <w:jc w:val="right"/>
              <w:ind w:right="4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189,486</w:t>
            </w:r>
          </w:p>
        </w:tc>
      </w:tr>
      <w:tr>
        <w:trPr>
          <w:trHeight w:val="271"/>
        </w:trPr>
        <w:tc>
          <w:tcPr>
            <w:tcW w:w="67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APAC</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45,321</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39,325</w:t>
            </w:r>
          </w:p>
        </w:tc>
      </w:tr>
      <w:tr>
        <w:trPr>
          <w:trHeight w:val="292"/>
        </w:trPr>
        <w:tc>
          <w:tcPr>
            <w:tcW w:w="678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EMEA</w:t>
            </w:r>
          </w:p>
        </w:tc>
        <w:tc>
          <w:tcPr>
            <w:tcW w:w="360" w:type="dxa"/>
            <w:vAlign w:val="bottom"/>
            <w:tcBorders>
              <w:bottom w:val="single" w:sz="8" w:color="auto"/>
            </w:tcBorders>
            <w:shd w:val="clear" w:color="auto" w:fill="DEDEDE"/>
          </w:tcPr>
          <w:p>
            <w:pPr>
              <w:spacing w:after="0"/>
              <w:rPr>
                <w:sz w:val="24"/>
                <w:szCs w:val="24"/>
                <w:color w:val="auto"/>
              </w:rPr>
            </w:pPr>
          </w:p>
        </w:tc>
        <w:tc>
          <w:tcPr>
            <w:tcW w:w="11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46,361</w:t>
            </w:r>
          </w:p>
        </w:tc>
        <w:tc>
          <w:tcPr>
            <w:tcW w:w="80" w:type="dxa"/>
            <w:vAlign w:val="bottom"/>
            <w:tcBorders>
              <w:bottom w:val="single" w:sz="8" w:color="DEDEDE"/>
            </w:tcBorders>
            <w:shd w:val="clear" w:color="auto" w:fill="DEDEDE"/>
          </w:tcPr>
          <w:p>
            <w:pPr>
              <w:spacing w:after="0"/>
              <w:rPr>
                <w:sz w:val="24"/>
                <w:szCs w:val="24"/>
                <w:color w:val="auto"/>
              </w:rPr>
            </w:pPr>
          </w:p>
        </w:tc>
        <w:tc>
          <w:tcPr>
            <w:tcW w:w="580" w:type="dxa"/>
            <w:vAlign w:val="bottom"/>
            <w:tcBorders>
              <w:bottom w:val="single" w:sz="8" w:color="auto"/>
            </w:tcBorders>
            <w:shd w:val="clear" w:color="auto" w:fill="DEDEDE"/>
          </w:tcPr>
          <w:p>
            <w:pPr>
              <w:spacing w:after="0"/>
              <w:rPr>
                <w:sz w:val="24"/>
                <w:szCs w:val="24"/>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24,010</w:t>
            </w:r>
          </w:p>
        </w:tc>
      </w:tr>
      <w:tr>
        <w:trPr>
          <w:trHeight w:val="218"/>
        </w:trPr>
        <w:tc>
          <w:tcPr>
            <w:tcW w:w="67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Total property and equipment, net</w:t>
            </w: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293,704</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252,821</w:t>
            </w:r>
          </w:p>
        </w:tc>
      </w:tr>
      <w:tr>
        <w:trPr>
          <w:trHeight w:val="20"/>
        </w:trPr>
        <w:tc>
          <w:tcPr>
            <w:tcW w:w="6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-43180</wp:posOffset>
            </wp:positionV>
            <wp:extent cx="2031365" cy="50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extLst>
                    </a:blip>
                    <a:srcRect/>
                    <a:stretch>
                      <a:fillRect/>
                    </a:stretch>
                  </pic:blipFill>
                  <pic:spPr bwMode="auto">
                    <a:xfrm>
                      <a:off x="0" y="0"/>
                      <a:ext cx="2031365" cy="50165"/>
                    </a:xfrm>
                    <a:prstGeom prst="rect">
                      <a:avLst/>
                    </a:prstGeom>
                    <a:noFill/>
                  </pic:spPr>
                </pic:pic>
              </a:graphicData>
            </a:graphic>
          </wp:anchor>
        </w:drawing>
      </w:r>
    </w:p>
    <w:p>
      <w:pPr>
        <w:spacing w:after="0" w:line="3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Recent Accounting Pronouncements Not Yet Adopted</w:t>
      </w:r>
    </w:p>
    <w:p>
      <w:pPr>
        <w:spacing w:after="0" w:line="136" w:lineRule="exact"/>
        <w:rPr>
          <w:sz w:val="20"/>
          <w:szCs w:val="20"/>
          <w:color w:val="auto"/>
        </w:rPr>
      </w:pPr>
    </w:p>
    <w:p>
      <w:pPr>
        <w:jc w:val="both"/>
        <w:ind w:firstLine="524"/>
        <w:spacing w:after="0" w:line="264" w:lineRule="auto"/>
        <w:rPr>
          <w:sz w:val="20"/>
          <w:szCs w:val="20"/>
          <w:color w:val="auto"/>
        </w:rPr>
      </w:pPr>
      <w:r>
        <w:rPr>
          <w:rFonts w:ascii="Times New Roman" w:cs="Times New Roman" w:eastAsia="Times New Roman" w:hAnsi="Times New Roman"/>
          <w:sz w:val="19"/>
          <w:szCs w:val="19"/>
          <w:color w:val="auto"/>
        </w:rPr>
        <w:t xml:space="preserve">In November 2023, the FASB issued ASU No. 2023-07, </w:t>
      </w:r>
      <w:r>
        <w:rPr>
          <w:rFonts w:ascii="Times New Roman" w:cs="Times New Roman" w:eastAsia="Times New Roman" w:hAnsi="Times New Roman"/>
          <w:sz w:val="19"/>
          <w:szCs w:val="19"/>
          <w:b w:val="1"/>
          <w:bCs w:val="1"/>
          <w:i w:val="1"/>
          <w:iCs w:val="1"/>
          <w:color w:val="auto"/>
        </w:rPr>
        <w:t>Segment Reporting (Topic 280): Improvements to Reportable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Segment Disclosures</w:t>
      </w:r>
      <w:r>
        <w:rPr>
          <w:rFonts w:ascii="Times New Roman" w:cs="Times New Roman" w:eastAsia="Times New Roman" w:hAnsi="Times New Roman"/>
          <w:sz w:val="19"/>
          <w:szCs w:val="19"/>
          <w:color w:val="auto"/>
        </w:rPr>
        <w:t>, which aims to improve financial reporting by requiring disclosure of incremental segment information 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 annual and interim basis to enable investors to develop more decision-useful financial analyses. ASU 2023-07 is effective for fiscal years beginning after December 15, 2023 and interim periods within fiscal years beginning after December 15, 2024. Early adoption is permitted. We are currently evaluating the impact from the adoption of this ASU on our consolidated financial statements.</w:t>
      </w:r>
    </w:p>
    <w:p>
      <w:pPr>
        <w:spacing w:after="0" w:line="305"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9"/>
          <w:szCs w:val="19"/>
          <w:color w:val="auto"/>
        </w:rPr>
        <w:t xml:space="preserve">In December 2023, the FASB issued ASU No. 2023-09, </w:t>
      </w:r>
      <w:r>
        <w:rPr>
          <w:rFonts w:ascii="Times New Roman" w:cs="Times New Roman" w:eastAsia="Times New Roman" w:hAnsi="Times New Roman"/>
          <w:sz w:val="19"/>
          <w:szCs w:val="19"/>
          <w:b w:val="1"/>
          <w:bCs w:val="1"/>
          <w:i w:val="1"/>
          <w:iCs w:val="1"/>
          <w:color w:val="auto"/>
        </w:rPr>
        <w:t>Income Taxes (Topic 740): Improvements to Income Tax</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Disclosures</w:t>
      </w:r>
      <w:r>
        <w:rPr>
          <w:rFonts w:ascii="Times New Roman" w:cs="Times New Roman" w:eastAsia="Times New Roman" w:hAnsi="Times New Roman"/>
          <w:sz w:val="19"/>
          <w:szCs w:val="19"/>
          <w:color w:val="auto"/>
        </w:rPr>
        <w:t>, which aims to improve the transparency of income tax disclosures by requiring consistent categories and greater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disaggregation of information in the rate reconciliation and income taxes paid disaggregated by jurisdiction. ASU 2023-09 is effective for fiscal years beginning after December 15, 2024 and early adoption is permitted. We are currently evaluating the impact from the adoption of this ASU on our consolidated financial statements.</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79</w:t>
      </w:r>
    </w:p>
    <w:p>
      <w:pPr>
        <w:sectPr>
          <w:pgSz w:w="11880" w:h="15480" w:orient="portrait"/>
          <w:cols w:equalWidth="0" w:num="1">
            <w:col w:w="9960"/>
          </w:cols>
          <w:pgMar w:left="960" w:top="821" w:right="960" w:bottom="0" w:gutter="0" w:footer="0" w:header="0"/>
          <w:type w:val="continuous"/>
        </w:sectPr>
      </w:pPr>
    </w:p>
    <w:bookmarkStart w:id="83" w:name="page84"/>
    <w:bookmarkEnd w:id="83"/>
    <w:p>
      <w:pPr>
        <w:ind w:left="700" w:hanging="699"/>
        <w:spacing w:after="0"/>
        <w:tabs>
          <w:tab w:leader="none" w:pos="700" w:val="left"/>
        </w:tabs>
        <w:numPr>
          <w:ilvl w:val="0"/>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Revenue Recognition</w:t>
      </w:r>
    </w:p>
    <w:p>
      <w:pPr>
        <w:spacing w:after="0" w:line="2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Disaggregation of Revenue</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The following table summarizes revenue by region based on the billing address of customers: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6"/>
                <w:szCs w:val="16"/>
                <w:b w:val="1"/>
                <w:bCs w:val="1"/>
                <w:color w:val="auto"/>
              </w:rPr>
              <w:t>Year Ended January 31,</w:t>
            </w:r>
          </w:p>
        </w:tc>
        <w:tc>
          <w:tcPr>
            <w:tcW w:w="9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18"/>
                <w:szCs w:val="18"/>
                <w:color w:val="auto"/>
              </w:rPr>
            </w:pPr>
          </w:p>
        </w:tc>
        <w:tc>
          <w:tcPr>
            <w:tcW w:w="2020" w:type="dxa"/>
            <w:vAlign w:val="bottom"/>
            <w:tcBorders>
              <w:bottom w:val="single" w:sz="8" w:color="auto"/>
            </w:tcBorders>
            <w:gridSpan w:val="3"/>
          </w:tcPr>
          <w:p>
            <w:pPr>
              <w:jc w:val="right"/>
              <w:ind w:right="77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tcBorders>
              <w:bottom w:val="single" w:sz="8" w:color="auto"/>
            </w:tcBorders>
            <w:gridSpan w:val="5"/>
          </w:tcPr>
          <w:p>
            <w:pPr>
              <w:jc w:val="right"/>
              <w:ind w:right="77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7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85"/>
        </w:trPr>
        <w:tc>
          <w:tcPr>
            <w:tcW w:w="3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60" w:type="dxa"/>
            <w:vAlign w:val="bottom"/>
          </w:tcPr>
          <w:p>
            <w:pPr>
              <w:spacing w:after="0"/>
              <w:rPr>
                <w:sz w:val="13"/>
                <w:szCs w:val="13"/>
                <w:color w:val="auto"/>
              </w:rPr>
            </w:pPr>
          </w:p>
        </w:tc>
        <w:tc>
          <w:tcPr>
            <w:tcW w:w="1000" w:type="dxa"/>
            <w:vAlign w:val="bottom"/>
            <w:gridSpan w:val="2"/>
          </w:tcPr>
          <w:p>
            <w:pPr>
              <w:jc w:val="center"/>
              <w:ind w:right="20"/>
              <w:spacing w:after="0" w:line="155" w:lineRule="exact"/>
              <w:rPr>
                <w:sz w:val="20"/>
                <w:szCs w:val="20"/>
                <w:color w:val="auto"/>
              </w:rPr>
            </w:pPr>
            <w:r>
              <w:rPr>
                <w:rFonts w:ascii="Times New Roman" w:cs="Times New Roman" w:eastAsia="Times New Roman" w:hAnsi="Times New Roman"/>
                <w:sz w:val="16"/>
                <w:szCs w:val="16"/>
                <w:b w:val="1"/>
                <w:bCs w:val="1"/>
                <w:color w:val="auto"/>
              </w:rPr>
              <w:t>of</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4"/>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rPr>
              <w:t>of</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of</w:t>
            </w:r>
          </w:p>
        </w:tc>
        <w:tc>
          <w:tcPr>
            <w:tcW w:w="0" w:type="dxa"/>
            <w:vAlign w:val="bottom"/>
          </w:tcPr>
          <w:p>
            <w:pPr>
              <w:spacing w:after="0"/>
              <w:rPr>
                <w:sz w:val="1"/>
                <w:szCs w:val="1"/>
                <w:color w:val="auto"/>
              </w:rPr>
            </w:pPr>
          </w:p>
        </w:tc>
      </w:tr>
      <w:tr>
        <w:trPr>
          <w:trHeight w:val="208"/>
        </w:trPr>
        <w:tc>
          <w:tcPr>
            <w:tcW w:w="382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6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0" w:type="dxa"/>
            <w:vAlign w:val="bottom"/>
          </w:tcPr>
          <w:p>
            <w:pPr>
              <w:spacing w:after="0"/>
              <w:rPr>
                <w:sz w:val="1"/>
                <w:szCs w:val="1"/>
                <w:color w:val="auto"/>
              </w:rPr>
            </w:pPr>
          </w:p>
        </w:tc>
      </w:tr>
      <w:tr>
        <w:trPr>
          <w:trHeight w:val="273"/>
        </w:trPr>
        <w:tc>
          <w:tcPr>
            <w:tcW w:w="3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140" w:type="dxa"/>
            <w:vAlign w:val="bottom"/>
            <w:gridSpan w:val="11"/>
          </w:tcPr>
          <w:p>
            <w:pPr>
              <w:ind w:left="880"/>
              <w:spacing w:after="0"/>
              <w:rPr>
                <w:sz w:val="20"/>
                <w:szCs w:val="20"/>
                <w:color w:val="auto"/>
              </w:rPr>
            </w:pPr>
            <w:r>
              <w:rPr>
                <w:rFonts w:ascii="Times New Roman" w:cs="Times New Roman" w:eastAsia="Times New Roman" w:hAnsi="Times New Roman"/>
                <w:sz w:val="16"/>
                <w:szCs w:val="16"/>
                <w:b w:val="1"/>
                <w:bCs w:val="1"/>
                <w:color w:val="auto"/>
                <w:w w:val="95"/>
              </w:rPr>
              <w:t>(in thousands, except percentages)</w:t>
            </w: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382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Americas</w:t>
            </w:r>
          </w:p>
        </w:tc>
        <w:tc>
          <w:tcPr>
            <w:tcW w:w="98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9"/>
                <w:szCs w:val="19"/>
                <w:color w:val="auto"/>
              </w:rPr>
              <w:t>$3,228,914</w:t>
            </w:r>
          </w:p>
        </w:tc>
        <w:tc>
          <w:tcPr>
            <w:tcW w:w="10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71.3 %</w:t>
            </w:r>
          </w:p>
        </w:tc>
        <w:tc>
          <w:tcPr>
            <w:tcW w:w="20" w:type="dxa"/>
            <w:vAlign w:val="bottom"/>
            <w:shd w:val="clear" w:color="auto" w:fill="DEDEDE"/>
          </w:tcPr>
          <w:p>
            <w:pPr>
              <w:spacing w:after="0"/>
              <w:rPr>
                <w:sz w:val="24"/>
                <w:szCs w:val="24"/>
                <w:color w:val="auto"/>
              </w:rPr>
            </w:pPr>
          </w:p>
        </w:tc>
        <w:tc>
          <w:tcPr>
            <w:tcW w:w="1020" w:type="dxa"/>
            <w:vAlign w:val="bottom"/>
            <w:gridSpan w:val="3"/>
            <w:shd w:val="clear" w:color="auto" w:fill="DEDEDE"/>
          </w:tcPr>
          <w:p>
            <w:pPr>
              <w:jc w:val="center"/>
              <w:spacing w:after="0"/>
              <w:rPr>
                <w:sz w:val="20"/>
                <w:szCs w:val="20"/>
                <w:color w:val="auto"/>
              </w:rPr>
            </w:pPr>
            <w:r>
              <w:rPr>
                <w:rFonts w:ascii="Times New Roman" w:cs="Times New Roman" w:eastAsia="Times New Roman" w:hAnsi="Times New Roman"/>
                <w:sz w:val="19"/>
                <w:szCs w:val="19"/>
                <w:color w:val="auto"/>
              </w:rPr>
              <w:t>$3,054,172</w:t>
            </w:r>
          </w:p>
        </w:tc>
        <w:tc>
          <w:tcPr>
            <w:tcW w:w="102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69.5 %</w:t>
            </w: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92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9"/>
                <w:szCs w:val="19"/>
                <w:color w:val="auto"/>
              </w:rPr>
              <w:t>$2,734,241</w:t>
            </w:r>
          </w:p>
        </w:tc>
        <w:tc>
          <w:tcPr>
            <w:tcW w:w="104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66.7 %</w:t>
            </w:r>
          </w:p>
        </w:tc>
        <w:tc>
          <w:tcPr>
            <w:tcW w:w="0" w:type="dxa"/>
            <w:vAlign w:val="bottom"/>
          </w:tcPr>
          <w:p>
            <w:pPr>
              <w:spacing w:after="0"/>
              <w:rPr>
                <w:sz w:val="1"/>
                <w:szCs w:val="1"/>
                <w:color w:val="auto"/>
              </w:rPr>
            </w:pPr>
          </w:p>
        </w:tc>
      </w:tr>
      <w:tr>
        <w:trPr>
          <w:trHeight w:val="285"/>
        </w:trPr>
        <w:tc>
          <w:tcPr>
            <w:tcW w:w="38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APAC</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571,596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12.6 %</w:t>
            </w:r>
          </w:p>
        </w:tc>
        <w:tc>
          <w:tcPr>
            <w:tcW w:w="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590,512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13.4 %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564,120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13.8 %</w:t>
            </w:r>
          </w:p>
        </w:tc>
        <w:tc>
          <w:tcPr>
            <w:tcW w:w="0" w:type="dxa"/>
            <w:vAlign w:val="bottom"/>
          </w:tcPr>
          <w:p>
            <w:pPr>
              <w:spacing w:after="0"/>
              <w:rPr>
                <w:sz w:val="1"/>
                <w:szCs w:val="1"/>
                <w:color w:val="auto"/>
              </w:rPr>
            </w:pPr>
          </w:p>
        </w:tc>
      </w:tr>
      <w:tr>
        <w:trPr>
          <w:trHeight w:val="306"/>
        </w:trPr>
        <w:tc>
          <w:tcPr>
            <w:tcW w:w="382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EMEA</w:t>
            </w: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726,714</w:t>
            </w:r>
          </w:p>
        </w:tc>
        <w:tc>
          <w:tcPr>
            <w:tcW w:w="60" w:type="dxa"/>
            <w:vAlign w:val="bottom"/>
            <w:tcBorders>
              <w:bottom w:val="single" w:sz="8" w:color="DEDEDE"/>
            </w:tcBorders>
            <w:shd w:val="clear" w:color="auto" w:fill="DEDEDE"/>
          </w:tcPr>
          <w:p>
            <w:pPr>
              <w:spacing w:after="0"/>
              <w:rPr>
                <w:sz w:val="24"/>
                <w:szCs w:val="24"/>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16.1 %</w:t>
            </w:r>
          </w:p>
        </w:tc>
        <w:tc>
          <w:tcPr>
            <w:tcW w:w="2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gridSpan w:val="2"/>
            <w:shd w:val="clear" w:color="auto" w:fill="DEDEDE"/>
          </w:tcPr>
          <w:p>
            <w:pPr>
              <w:spacing w:after="0"/>
              <w:rPr>
                <w:sz w:val="24"/>
                <w:szCs w:val="24"/>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748,276</w:t>
            </w:r>
          </w:p>
        </w:tc>
        <w:tc>
          <w:tcPr>
            <w:tcW w:w="80" w:type="dxa"/>
            <w:vAlign w:val="bottom"/>
            <w:tcBorders>
              <w:bottom w:val="single" w:sz="8" w:color="DEDEDE"/>
            </w:tcBorders>
            <w:gridSpan w:val="2"/>
            <w:shd w:val="clear" w:color="auto" w:fill="DEDEDE"/>
          </w:tcPr>
          <w:p>
            <w:pPr>
              <w:spacing w:after="0"/>
              <w:rPr>
                <w:sz w:val="24"/>
                <w:szCs w:val="24"/>
                <w:color w:val="auto"/>
              </w:rPr>
            </w:pP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17.1 %</w:t>
            </w:r>
          </w:p>
        </w:tc>
        <w:tc>
          <w:tcPr>
            <w:tcW w:w="20" w:type="dxa"/>
            <w:vAlign w:val="bottom"/>
            <w:tcBorders>
              <w:bottom w:val="single" w:sz="8" w:color="auto"/>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auto"/>
            </w:tcBorders>
            <w:shd w:val="clear" w:color="auto" w:fill="DEDEDE"/>
          </w:tcPr>
          <w:p>
            <w:pPr>
              <w:spacing w:after="0"/>
              <w:rPr>
                <w:sz w:val="24"/>
                <w:szCs w:val="24"/>
                <w:color w:val="auto"/>
              </w:rPr>
            </w:pP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801,503</w:t>
            </w:r>
          </w:p>
        </w:tc>
        <w:tc>
          <w:tcPr>
            <w:tcW w:w="80" w:type="dxa"/>
            <w:vAlign w:val="bottom"/>
            <w:tcBorders>
              <w:bottom w:val="single" w:sz="8" w:color="DEDEDE"/>
            </w:tcBorders>
            <w:gridSpan w:val="2"/>
            <w:shd w:val="clear" w:color="auto" w:fill="DEDEDE"/>
          </w:tcPr>
          <w:p>
            <w:pPr>
              <w:spacing w:after="0"/>
              <w:rPr>
                <w:sz w:val="24"/>
                <w:szCs w:val="24"/>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19.5 %</w:t>
            </w:r>
          </w:p>
        </w:tc>
        <w:tc>
          <w:tcPr>
            <w:tcW w:w="0" w:type="dxa"/>
            <w:vAlign w:val="bottom"/>
          </w:tcPr>
          <w:p>
            <w:pPr>
              <w:spacing w:after="0"/>
              <w:rPr>
                <w:sz w:val="1"/>
                <w:szCs w:val="1"/>
                <w:color w:val="auto"/>
              </w:rPr>
            </w:pPr>
          </w:p>
        </w:tc>
      </w:tr>
      <w:tr>
        <w:trPr>
          <w:trHeight w:val="219"/>
        </w:trPr>
        <w:tc>
          <w:tcPr>
            <w:tcW w:w="382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Total</w:t>
            </w:r>
          </w:p>
        </w:tc>
        <w:tc>
          <w:tcPr>
            <w:tcW w:w="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$4,527,224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100.0 %</w:t>
            </w:r>
          </w:p>
        </w:tc>
        <w:tc>
          <w:tcPr>
            <w:tcW w:w="20" w:type="dxa"/>
            <w:vAlign w:val="bottom"/>
          </w:tcPr>
          <w:p>
            <w:pPr>
              <w:spacing w:after="0"/>
              <w:rPr>
                <w:sz w:val="19"/>
                <w:szCs w:val="19"/>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rPr>
              <w:t>$4,392,960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100.0 %</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$4,099,864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100.0 %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2419350</wp:posOffset>
            </wp:positionH>
            <wp:positionV relativeFrom="paragraph">
              <wp:posOffset>-43180</wp:posOffset>
            </wp:positionV>
            <wp:extent cx="3917315" cy="50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a:extLst>
                        <a:ext uri="{28A0092B-C50C-407E-A947-70E740481C1C}"/>
                      </a:extLst>
                    </a:blip>
                    <a:srcRect/>
                    <a:stretch>
                      <a:fillRect/>
                    </a:stretch>
                  </pic:blipFill>
                  <pic:spPr bwMode="auto">
                    <a:xfrm>
                      <a:off x="0" y="0"/>
                      <a:ext cx="3917315" cy="50165"/>
                    </a:xfrm>
                    <a:prstGeom prst="rect">
                      <a:avLst/>
                    </a:prstGeom>
                    <a:noFill/>
                  </pic:spPr>
                </pic:pic>
              </a:graphicData>
            </a:graphic>
          </wp:anchor>
        </w:drawing>
      </w:r>
    </w:p>
    <w:p>
      <w:pPr>
        <w:spacing w:after="0" w:line="3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Contract Balances</w:t>
      </w:r>
    </w:p>
    <w:p>
      <w:pPr>
        <w:spacing w:after="0" w:line="139"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of allowances on the consolidated balance sheets was $124.8 million and $91.6 million as of January 31, 2024 and 2023, respectively, and the amount of unbilled accounts receivable included within other assets, noncurrent on the consolidated balance sheets was immaterial as of January 31, 2024 and 2023.</w:t>
      </w:r>
    </w:p>
    <w:p>
      <w:pPr>
        <w:spacing w:after="0" w:line="78" w:lineRule="exact"/>
        <w:rPr>
          <w:sz w:val="20"/>
          <w:szCs w:val="20"/>
          <w:color w:val="auto"/>
        </w:rPr>
      </w:pPr>
    </w:p>
    <w:p>
      <w:pPr>
        <w:jc w:val="both"/>
        <w:ind w:firstLine="524"/>
        <w:spacing w:after="0" w:line="267" w:lineRule="auto"/>
        <w:rPr>
          <w:sz w:val="20"/>
          <w:szCs w:val="20"/>
          <w:color w:val="auto"/>
        </w:rPr>
      </w:pPr>
      <w:r>
        <w:rPr>
          <w:rFonts w:ascii="Times New Roman" w:cs="Times New Roman" w:eastAsia="Times New Roman" w:hAnsi="Times New Roman"/>
          <w:sz w:val="19"/>
          <w:szCs w:val="19"/>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fiscal years ended January 31, 2024, 2023, and 2022 that was included in deferred revenue at the beginning of each period was $1,257.4 million, $1,140.7 million, and $858.2 million, respectively.</w:t>
      </w:r>
    </w:p>
    <w:p>
      <w:pPr>
        <w:spacing w:after="0" w:line="200" w:lineRule="exact"/>
        <w:rPr>
          <w:sz w:val="20"/>
          <w:szCs w:val="20"/>
          <w:color w:val="auto"/>
        </w:rPr>
      </w:pP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Remaining Performance Obligations</w:t>
      </w:r>
    </w:p>
    <w:p>
      <w:pPr>
        <w:spacing w:after="0" w:line="139"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The terms of our subscription agreements are monthly, annual, and multiyear and we may bill for the full term in advance or on an annual, quarterly, or monthly basis, depending on the billing terms with customers. As of January 31, 2024, the aggregate amount of the transaction price allocated to our remaining performance obligations was $3,574.8 million, which consists of both billed consideration in the amount of $1,270.4 million and unbilled consideration in the amount of $2,304.4 million that we expect to recognize as revenue. We expect to recognize 58% of our remaining performance obligations as revenue over the next 12 months and the remainder thereafter.</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Cost to Obtain a Contract</w:t>
      </w:r>
    </w:p>
    <w:p>
      <w:pPr>
        <w:spacing w:after="0" w:line="139"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We primarily capitalize sales commissions and associated payroll taxes paid to internal sales personnel that are incremental costs from the acquisition of customer contracts. These costs are recorded as deferred contract acquisition costs in the consolidated balance sheets. We determine whether costs should be deferred based on our sales compensation plans and if the commissions are incremental and would not have occurred absent the customer contract.</w:t>
      </w:r>
    </w:p>
    <w:p>
      <w:pPr>
        <w:spacing w:after="0" w:line="72"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Sales commissions paid upon the initial acquisition of a customer contract are amortized over an estimated period of benefit of three years, which is typically greater than the contractual terms of the customer contracts. Generally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unified communications and collaboration platform and related significant features. Amortization of deferred contract acquisition costs is included in sales and marketing expense in the consolidated statements of operations.</w:t>
      </w:r>
    </w:p>
    <w:p>
      <w:pPr>
        <w:spacing w:after="0" w:line="78" w:lineRule="exact"/>
        <w:rPr>
          <w:sz w:val="20"/>
          <w:szCs w:val="20"/>
          <w:color w:val="auto"/>
        </w:rPr>
      </w:pPr>
    </w:p>
    <w:p>
      <w:pPr>
        <w:jc w:val="both"/>
        <w:ind w:firstLine="524"/>
        <w:spacing w:after="0" w:line="286" w:lineRule="auto"/>
        <w:rPr>
          <w:sz w:val="20"/>
          <w:szCs w:val="20"/>
          <w:color w:val="auto"/>
        </w:rPr>
      </w:pPr>
      <w:r>
        <w:rPr>
          <w:rFonts w:ascii="Times New Roman" w:cs="Times New Roman" w:eastAsia="Times New Roman" w:hAnsi="Times New Roman"/>
          <w:sz w:val="19"/>
          <w:szCs w:val="19"/>
          <w:color w:val="auto"/>
        </w:rPr>
        <w:t>We periodically review these deferred contract acquisition costs to determine whether events or changes in circumstances have occurred that could impact the period of benefit. There were no impairment losses recorded during the periods presented.</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1880" w:h="15480" w:orient="portrait"/>
          <w:cols w:equalWidth="0" w:num="1">
            <w:col w:w="9960"/>
          </w:cols>
          <w:pgMar w:left="960" w:top="815" w:right="960" w:bottom="0" w:gutter="0" w:footer="0" w:header="0"/>
          <w:type w:val="continuous"/>
        </w:sectPr>
      </w:pPr>
    </w:p>
    <w:bookmarkStart w:id="84" w:name="page85"/>
    <w:bookmarkEnd w:id="84"/>
    <w:p>
      <w:pPr>
        <w:ind w:left="520"/>
        <w:spacing w:after="0"/>
        <w:rPr>
          <w:sz w:val="20"/>
          <w:szCs w:val="20"/>
          <w:color w:val="auto"/>
        </w:rPr>
      </w:pPr>
      <w:r>
        <w:rPr>
          <w:rFonts w:ascii="Times New Roman" w:cs="Times New Roman" w:eastAsia="Times New Roman" w:hAnsi="Times New Roman"/>
          <w:sz w:val="19"/>
          <w:szCs w:val="19"/>
          <w:color w:val="auto"/>
        </w:rPr>
        <w:t>The following table represents a rollforward of deferred contract acquisition costs: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545"/>
              <w:spacing w:after="0"/>
              <w:rPr>
                <w:sz w:val="20"/>
                <w:szCs w:val="20"/>
                <w:color w:val="auto"/>
              </w:rPr>
            </w:pPr>
            <w:r>
              <w:rPr>
                <w:rFonts w:ascii="Times New Roman" w:cs="Times New Roman" w:eastAsia="Times New Roman" w:hAnsi="Times New Roman"/>
                <w:sz w:val="16"/>
                <w:szCs w:val="16"/>
                <w:b w:val="1"/>
                <w:bCs w:val="1"/>
                <w:color w:val="auto"/>
              </w:rPr>
              <w:t>Year Ended January 31,</w:t>
            </w:r>
          </w:p>
        </w:tc>
      </w:tr>
      <w:tr>
        <w:trPr>
          <w:trHeight w:val="213"/>
        </w:trPr>
        <w:tc>
          <w:tcPr>
            <w:tcW w:w="7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3"/>
        </w:trPr>
        <w:tc>
          <w:tcPr>
            <w:tcW w:w="7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20" w:type="dxa"/>
            <w:vAlign w:val="bottom"/>
          </w:tcPr>
          <w:p>
            <w:pPr>
              <w:spacing w:after="0"/>
              <w:rPr>
                <w:sz w:val="23"/>
                <w:szCs w:val="23"/>
                <w:color w:val="auto"/>
              </w:rPr>
            </w:pPr>
          </w:p>
        </w:tc>
      </w:tr>
      <w:tr>
        <w:trPr>
          <w:trHeight w:val="285"/>
        </w:trPr>
        <w:tc>
          <w:tcPr>
            <w:tcW w:w="70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Beginning balance</w:t>
            </w:r>
          </w:p>
        </w:tc>
        <w:tc>
          <w:tcPr>
            <w:tcW w:w="340" w:type="dxa"/>
            <w:vAlign w:val="bottom"/>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403,241</w:t>
            </w:r>
          </w:p>
        </w:tc>
        <w:tc>
          <w:tcPr>
            <w:tcW w:w="560" w:type="dxa"/>
            <w:vAlign w:val="bottom"/>
            <w:gridSpan w:val="2"/>
            <w:shd w:val="clear" w:color="auto" w:fill="DEDEDE"/>
          </w:tcPr>
          <w:p>
            <w:pPr>
              <w:jc w:val="right"/>
              <w:ind w:right="24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363,980</w:t>
            </w:r>
          </w:p>
        </w:tc>
      </w:tr>
      <w:tr>
        <w:trPr>
          <w:trHeight w:val="271"/>
        </w:trPr>
        <w:tc>
          <w:tcPr>
            <w:tcW w:w="70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Additions to deferred contract acquisition costs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214,657</w:t>
            </w: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298,629</w:t>
            </w:r>
          </w:p>
        </w:tc>
      </w:tr>
      <w:tr>
        <w:trPr>
          <w:trHeight w:val="292"/>
        </w:trPr>
        <w:tc>
          <w:tcPr>
            <w:tcW w:w="7080" w:type="dxa"/>
            <w:vAlign w:val="bottom"/>
            <w:tcBorders>
              <w:bottom w:val="single" w:sz="8" w:color="DEDEDE"/>
            </w:tcBorders>
            <w:shd w:val="clear" w:color="auto" w:fill="DEDEDE"/>
          </w:tcPr>
          <w:p>
            <w:pPr>
              <w:ind w:left="400"/>
              <w:spacing w:after="0"/>
              <w:rPr>
                <w:sz w:val="20"/>
                <w:szCs w:val="20"/>
                <w:color w:val="auto"/>
              </w:rPr>
            </w:pPr>
            <w:r>
              <w:rPr>
                <w:rFonts w:ascii="Times New Roman" w:cs="Times New Roman" w:eastAsia="Times New Roman" w:hAnsi="Times New Roman"/>
                <w:sz w:val="19"/>
                <w:szCs w:val="19"/>
                <w:color w:val="auto"/>
              </w:rPr>
              <w:t>Amortization of deferred contract acquisition costs</w:t>
            </w:r>
          </w:p>
        </w:tc>
        <w:tc>
          <w:tcPr>
            <w:tcW w:w="3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(270,700)</w:t>
            </w:r>
          </w:p>
        </w:tc>
        <w:tc>
          <w:tcPr>
            <w:tcW w:w="60" w:type="dxa"/>
            <w:vAlign w:val="bottom"/>
            <w:tcBorders>
              <w:bottom w:val="single" w:sz="8" w:color="DEDEDE"/>
            </w:tcBorders>
            <w:shd w:val="clear" w:color="auto" w:fill="DEDEDE"/>
          </w:tcPr>
          <w:p>
            <w:pPr>
              <w:spacing w:after="0"/>
              <w:rPr>
                <w:sz w:val="24"/>
                <w:szCs w:val="24"/>
                <w:color w:val="auto"/>
              </w:rPr>
            </w:pPr>
          </w:p>
        </w:tc>
        <w:tc>
          <w:tcPr>
            <w:tcW w:w="500" w:type="dxa"/>
            <w:vAlign w:val="bottom"/>
            <w:tcBorders>
              <w:bottom w:val="single" w:sz="8" w:color="auto"/>
            </w:tcBorders>
            <w:shd w:val="clear" w:color="auto" w:fill="DEDEDE"/>
          </w:tcPr>
          <w:p>
            <w:pPr>
              <w:spacing w:after="0"/>
              <w:rPr>
                <w:sz w:val="24"/>
                <w:szCs w:val="24"/>
                <w:color w:val="auto"/>
              </w:rPr>
            </w:pP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(259,368)</w:t>
            </w:r>
          </w:p>
        </w:tc>
      </w:tr>
      <w:tr>
        <w:trPr>
          <w:trHeight w:val="256"/>
        </w:trPr>
        <w:tc>
          <w:tcPr>
            <w:tcW w:w="7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Ending balance</w:t>
            </w: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347,198</w:t>
            </w:r>
          </w:p>
        </w:tc>
        <w:tc>
          <w:tcPr>
            <w:tcW w:w="560" w:type="dxa"/>
            <w:vAlign w:val="bottom"/>
            <w:gridSpan w:val="2"/>
          </w:tcPr>
          <w:p>
            <w:pPr>
              <w:jc w:val="right"/>
              <w:ind w:right="24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403,241</w:t>
            </w:r>
          </w:p>
        </w:tc>
      </w:tr>
      <w:tr>
        <w:trPr>
          <w:trHeight w:val="262"/>
        </w:trPr>
        <w:tc>
          <w:tcPr>
            <w:tcW w:w="7080" w:type="dxa"/>
            <w:vAlign w:val="bottom"/>
            <w:tcBorders>
              <w:top w:val="single" w:sz="8" w:color="DEDEDE"/>
            </w:tcBorders>
            <w:shd w:val="clear" w:color="auto" w:fill="DEDEDE"/>
          </w:tcPr>
          <w:p>
            <w:pPr>
              <w:ind w:left="400"/>
              <w:spacing w:after="0"/>
              <w:rPr>
                <w:sz w:val="20"/>
                <w:szCs w:val="20"/>
                <w:color w:val="auto"/>
              </w:rPr>
            </w:pPr>
            <w:r>
              <w:rPr>
                <w:rFonts w:ascii="Times New Roman" w:cs="Times New Roman" w:eastAsia="Times New Roman" w:hAnsi="Times New Roman"/>
                <w:sz w:val="19"/>
                <w:szCs w:val="19"/>
                <w:color w:val="auto"/>
              </w:rPr>
              <w:t>Deferred contract acquisition costs, current (to be amortized in next 12 months)</w:t>
            </w:r>
          </w:p>
        </w:tc>
        <w:tc>
          <w:tcPr>
            <w:tcW w:w="340" w:type="dxa"/>
            <w:vAlign w:val="bottom"/>
            <w:tcBorders>
              <w:top w:val="single" w:sz="8" w:color="auto"/>
            </w:tcBorders>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208,474</w:t>
            </w:r>
          </w:p>
        </w:tc>
        <w:tc>
          <w:tcPr>
            <w:tcW w:w="60" w:type="dxa"/>
            <w:vAlign w:val="bottom"/>
            <w:tcBorders>
              <w:top w:val="single" w:sz="8" w:color="DEDEDE"/>
            </w:tcBorders>
            <w:shd w:val="clear" w:color="auto" w:fill="DEDEDE"/>
          </w:tcPr>
          <w:p>
            <w:pPr>
              <w:spacing w:after="0"/>
              <w:rPr>
                <w:sz w:val="22"/>
                <w:szCs w:val="22"/>
                <w:color w:val="auto"/>
              </w:rPr>
            </w:pPr>
          </w:p>
        </w:tc>
        <w:tc>
          <w:tcPr>
            <w:tcW w:w="500" w:type="dxa"/>
            <w:vAlign w:val="bottom"/>
            <w:tcBorders>
              <w:top w:val="single" w:sz="8" w:color="auto"/>
            </w:tcBorders>
            <w:shd w:val="clear" w:color="auto" w:fill="DEDEDE"/>
          </w:tcPr>
          <w:p>
            <w:pPr>
              <w:jc w:val="right"/>
              <w:ind w:right="24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223,250</w:t>
            </w:r>
          </w:p>
        </w:tc>
      </w:tr>
      <w:tr>
        <w:trPr>
          <w:trHeight w:val="266"/>
        </w:trPr>
        <w:tc>
          <w:tcPr>
            <w:tcW w:w="7080" w:type="dxa"/>
            <w:vAlign w:val="bottom"/>
            <w:tcBorders>
              <w:bottom w:val="single" w:sz="8" w:color="DEDEDE"/>
            </w:tcBorders>
          </w:tcPr>
          <w:p>
            <w:pPr>
              <w:ind w:left="400"/>
              <w:spacing w:after="0"/>
              <w:rPr>
                <w:sz w:val="20"/>
                <w:szCs w:val="20"/>
                <w:color w:val="auto"/>
              </w:rPr>
            </w:pPr>
            <w:r>
              <w:rPr>
                <w:rFonts w:ascii="Times New Roman" w:cs="Times New Roman" w:eastAsia="Times New Roman" w:hAnsi="Times New Roman"/>
                <w:sz w:val="19"/>
                <w:szCs w:val="19"/>
                <w:color w:val="auto"/>
              </w:rPr>
              <w:t>Deferred contract acquisition costs, noncurrent</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138,724</w:t>
            </w:r>
          </w:p>
        </w:tc>
        <w:tc>
          <w:tcPr>
            <w:tcW w:w="60" w:type="dxa"/>
            <w:vAlign w:val="bottom"/>
            <w:tcBorders>
              <w:bottom w:val="single" w:sz="8" w:color="DEDEDE"/>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179,991</w:t>
            </w:r>
          </w:p>
        </w:tc>
      </w:tr>
      <w:tr>
        <w:trPr>
          <w:trHeight w:val="276"/>
        </w:trPr>
        <w:tc>
          <w:tcPr>
            <w:tcW w:w="708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Total deferred contract acquisition costs</w:t>
            </w:r>
          </w:p>
        </w:tc>
        <w:tc>
          <w:tcPr>
            <w:tcW w:w="340" w:type="dxa"/>
            <w:vAlign w:val="bottom"/>
            <w:tcBorders>
              <w:bottom w:val="single" w:sz="8" w:color="auto"/>
            </w:tcBorders>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347,198</w:t>
            </w:r>
          </w:p>
        </w:tc>
        <w:tc>
          <w:tcPr>
            <w:tcW w:w="60" w:type="dxa"/>
            <w:vAlign w:val="bottom"/>
            <w:tcBorders>
              <w:bottom w:val="single" w:sz="8" w:color="DEDEDE"/>
            </w:tcBorders>
            <w:shd w:val="clear" w:color="auto" w:fill="DEDEDE"/>
          </w:tcPr>
          <w:p>
            <w:pPr>
              <w:spacing w:after="0"/>
              <w:rPr>
                <w:sz w:val="24"/>
                <w:szCs w:val="24"/>
                <w:color w:val="auto"/>
              </w:rPr>
            </w:pPr>
          </w:p>
        </w:tc>
        <w:tc>
          <w:tcPr>
            <w:tcW w:w="500" w:type="dxa"/>
            <w:vAlign w:val="bottom"/>
            <w:tcBorders>
              <w:bottom w:val="single" w:sz="8" w:color="auto"/>
            </w:tcBorders>
            <w:shd w:val="clear" w:color="auto" w:fill="DEDEDE"/>
          </w:tcPr>
          <w:p>
            <w:pPr>
              <w:jc w:val="right"/>
              <w:ind w:right="24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403,241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-579120</wp:posOffset>
            </wp:positionV>
            <wp:extent cx="1856105" cy="50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extLst>
                    </a:blip>
                    <a:srcRect/>
                    <a:stretch>
                      <a:fillRect/>
                    </a:stretch>
                  </pic:blipFill>
                  <pic:spPr bwMode="auto">
                    <a:xfrm>
                      <a:off x="0" y="0"/>
                      <a:ext cx="1856105" cy="50165"/>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-43180</wp:posOffset>
            </wp:positionV>
            <wp:extent cx="1856105" cy="501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extLst>
                    </a:blip>
                    <a:srcRect/>
                    <a:stretch>
                      <a:fillRect/>
                    </a:stretch>
                  </pic:blipFill>
                  <pic:spPr bwMode="auto">
                    <a:xfrm>
                      <a:off x="0" y="0"/>
                      <a:ext cx="1856105" cy="5016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20" w:right="7680" w:hanging="519"/>
        <w:spacing w:after="0" w:line="387" w:lineRule="auto"/>
        <w:tabs>
          <w:tab w:leader="none" w:pos="695" w:val="left"/>
        </w:tabs>
        <w:numPr>
          <w:ilvl w:val="0"/>
          <w:numId w:val="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Investments </w:t>
      </w:r>
      <w:r>
        <w:rPr>
          <w:rFonts w:ascii="Times New Roman" w:cs="Times New Roman" w:eastAsia="Times New Roman" w:hAnsi="Times New Roman"/>
          <w:sz w:val="19"/>
          <w:szCs w:val="19"/>
          <w:b w:val="1"/>
          <w:bCs w:val="1"/>
          <w:i w:val="1"/>
          <w:iCs w:val="1"/>
          <w:color w:val="auto"/>
        </w:rPr>
        <w:t>Marketable Securities</w:t>
      </w:r>
    </w:p>
    <w:p>
      <w:pPr>
        <w:spacing w:after="0" w:line="1" w:lineRule="exact"/>
        <w:rPr>
          <w:rFonts w:ascii="Times New Roman" w:cs="Times New Roman" w:eastAsia="Times New Roman" w:hAnsi="Times New Roman"/>
          <w:sz w:val="19"/>
          <w:szCs w:val="19"/>
          <w:b w:val="1"/>
          <w:bCs w:val="1"/>
          <w:color w:val="auto"/>
        </w:rPr>
      </w:pPr>
    </w:p>
    <w:p>
      <w:pPr>
        <w:ind w:left="52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As of January 31, 2024 and 2023, our marketable securities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6"/>
              </w:rPr>
              <w:t>As of January 31, 2024</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6"/>
              </w:rPr>
              <w:t>Amortized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Estimated</w:t>
            </w: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92"/>
              <w:spacing w:after="0" w:line="155"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09"/>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208"/>
        </w:trPr>
        <w:tc>
          <w:tcPr>
            <w:tcW w:w="5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4"/>
              </w:rPr>
              <w:t>Gains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5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4"/>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0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Commercial paper</w:t>
            </w:r>
          </w:p>
        </w:tc>
        <w:tc>
          <w:tcPr>
            <w:tcW w:w="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41,564</w:t>
            </w:r>
          </w:p>
        </w:tc>
        <w:tc>
          <w:tcPr>
            <w:tcW w:w="2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41,564</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Agency bonds</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1,667,601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2,426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(3,344)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1,666,683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0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Corporate and other debt securities</w:t>
            </w:r>
          </w:p>
        </w:tc>
        <w:tc>
          <w:tcPr>
            <w:tcW w:w="18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663,122</w:t>
            </w:r>
          </w:p>
        </w:tc>
        <w:tc>
          <w:tcPr>
            <w:tcW w:w="80" w:type="dxa"/>
            <w:vAlign w:val="bottom"/>
            <w:shd w:val="clear" w:color="auto" w:fill="DEDEDE"/>
          </w:tcPr>
          <w:p>
            <w:pPr>
              <w:spacing w:after="0"/>
              <w:rPr>
                <w:sz w:val="24"/>
                <w:szCs w:val="24"/>
                <w:color w:val="auto"/>
              </w:rPr>
            </w:pPr>
          </w:p>
        </w:tc>
        <w:tc>
          <w:tcPr>
            <w:tcW w:w="18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1,161</w:t>
            </w:r>
          </w:p>
        </w:tc>
        <w:tc>
          <w:tcPr>
            <w:tcW w:w="6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(1,124)</w:t>
            </w:r>
          </w:p>
        </w:tc>
        <w:tc>
          <w:tcPr>
            <w:tcW w:w="6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663,159</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U.S. government agency securities</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3,003,224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7,859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(6,241)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3,004,842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06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Treasury bills</w:t>
            </w:r>
          </w:p>
        </w:tc>
        <w:tc>
          <w:tcPr>
            <w:tcW w:w="180" w:type="dxa"/>
            <w:vAlign w:val="bottom"/>
            <w:tcBorders>
              <w:bottom w:val="single" w:sz="8" w:color="auto"/>
            </w:tcBorders>
            <w:shd w:val="clear" w:color="auto" w:fill="DEDEDE"/>
          </w:tcPr>
          <w:p>
            <w:pPr>
              <w:spacing w:after="0"/>
              <w:rPr>
                <w:sz w:val="24"/>
                <w:szCs w:val="24"/>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27,992</w:t>
            </w:r>
          </w:p>
        </w:tc>
        <w:tc>
          <w:tcPr>
            <w:tcW w:w="80" w:type="dxa"/>
            <w:vAlign w:val="bottom"/>
            <w:tcBorders>
              <w:bottom w:val="single" w:sz="8" w:color="DEDEDE"/>
            </w:tcBorders>
            <w:shd w:val="clear" w:color="auto" w:fill="DEDEDE"/>
          </w:tcPr>
          <w:p>
            <w:pPr>
              <w:spacing w:after="0"/>
              <w:rPr>
                <w:sz w:val="24"/>
                <w:szCs w:val="24"/>
                <w:color w:val="auto"/>
              </w:rPr>
            </w:pPr>
          </w:p>
        </w:tc>
        <w:tc>
          <w:tcPr>
            <w:tcW w:w="180" w:type="dxa"/>
            <w:vAlign w:val="bottom"/>
            <w:tcBorders>
              <w:bottom w:val="single" w:sz="8" w:color="auto"/>
            </w:tcBorders>
            <w:shd w:val="clear" w:color="auto" w:fill="DEDEDE"/>
          </w:tcPr>
          <w:p>
            <w:pPr>
              <w:spacing w:after="0"/>
              <w:rPr>
                <w:sz w:val="24"/>
                <w:szCs w:val="24"/>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spacing w:after="0"/>
              <w:rPr>
                <w:sz w:val="24"/>
                <w:szCs w:val="24"/>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6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spacing w:after="0"/>
              <w:rPr>
                <w:sz w:val="24"/>
                <w:szCs w:val="24"/>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27,985</w:t>
            </w:r>
          </w:p>
        </w:tc>
        <w:tc>
          <w:tcPr>
            <w:tcW w:w="20" w:type="dxa"/>
            <w:vAlign w:val="bottom"/>
            <w:tcBorders>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0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Marketable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5,403,503</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11,446</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(10,716)</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5,404,233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6"/>
              </w:rPr>
              <w:t>As of January 31, 2023</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6"/>
              </w:rPr>
              <w:t>Amortized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Estimated</w:t>
            </w: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92"/>
              <w:spacing w:after="0" w:line="155"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09"/>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208"/>
        </w:trPr>
        <w:tc>
          <w:tcPr>
            <w:tcW w:w="5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4"/>
              </w:rPr>
              <w:t>Gains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5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4"/>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0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Commercial paper</w:t>
            </w:r>
          </w:p>
        </w:tc>
        <w:tc>
          <w:tcPr>
            <w:tcW w:w="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77,701</w:t>
            </w:r>
          </w:p>
        </w:tc>
        <w:tc>
          <w:tcPr>
            <w:tcW w:w="2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77,701</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Agency bonds</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823,027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(12,440)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810,650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0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Corporate and other debt securities</w:t>
            </w:r>
          </w:p>
        </w:tc>
        <w:tc>
          <w:tcPr>
            <w:tcW w:w="18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555,354</w:t>
            </w:r>
          </w:p>
        </w:tc>
        <w:tc>
          <w:tcPr>
            <w:tcW w:w="80" w:type="dxa"/>
            <w:vAlign w:val="bottom"/>
            <w:shd w:val="clear" w:color="auto" w:fill="DEDEDE"/>
          </w:tcPr>
          <w:p>
            <w:pPr>
              <w:spacing w:after="0"/>
              <w:rPr>
                <w:sz w:val="24"/>
                <w:szCs w:val="24"/>
                <w:color w:val="auto"/>
              </w:rPr>
            </w:pPr>
          </w:p>
        </w:tc>
        <w:tc>
          <w:tcPr>
            <w:tcW w:w="18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385</w:t>
            </w:r>
          </w:p>
        </w:tc>
        <w:tc>
          <w:tcPr>
            <w:tcW w:w="6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(4,845)</w:t>
            </w:r>
          </w:p>
        </w:tc>
        <w:tc>
          <w:tcPr>
            <w:tcW w:w="6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550,894</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U.S. government agency securities</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2,910,572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(49,507)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2,861,215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06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Treasury bills</w:t>
            </w:r>
          </w:p>
        </w:tc>
        <w:tc>
          <w:tcPr>
            <w:tcW w:w="180" w:type="dxa"/>
            <w:vAlign w:val="bottom"/>
            <w:tcBorders>
              <w:bottom w:val="single" w:sz="8" w:color="auto"/>
            </w:tcBorders>
            <w:shd w:val="clear" w:color="auto" w:fill="DEDEDE"/>
          </w:tcPr>
          <w:p>
            <w:pPr>
              <w:spacing w:after="0"/>
              <w:rPr>
                <w:sz w:val="24"/>
                <w:szCs w:val="24"/>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25,404</w:t>
            </w:r>
          </w:p>
        </w:tc>
        <w:tc>
          <w:tcPr>
            <w:tcW w:w="80" w:type="dxa"/>
            <w:vAlign w:val="bottom"/>
            <w:tcBorders>
              <w:bottom w:val="single" w:sz="8" w:color="DEDEDE"/>
            </w:tcBorders>
            <w:shd w:val="clear" w:color="auto" w:fill="DEDEDE"/>
          </w:tcPr>
          <w:p>
            <w:pPr>
              <w:spacing w:after="0"/>
              <w:rPr>
                <w:sz w:val="24"/>
                <w:szCs w:val="24"/>
                <w:color w:val="auto"/>
              </w:rPr>
            </w:pPr>
          </w:p>
        </w:tc>
        <w:tc>
          <w:tcPr>
            <w:tcW w:w="180" w:type="dxa"/>
            <w:vAlign w:val="bottom"/>
            <w:tcBorders>
              <w:bottom w:val="single" w:sz="8" w:color="auto"/>
            </w:tcBorders>
            <w:shd w:val="clear" w:color="auto" w:fill="DEDEDE"/>
          </w:tcPr>
          <w:p>
            <w:pPr>
              <w:spacing w:after="0"/>
              <w:rPr>
                <w:sz w:val="24"/>
                <w:szCs w:val="24"/>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6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spacing w:after="0"/>
              <w:rPr>
                <w:sz w:val="24"/>
                <w:szCs w:val="24"/>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(29)</w:t>
            </w:r>
          </w:p>
        </w:tc>
        <w:tc>
          <w:tcPr>
            <w:tcW w:w="6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spacing w:after="0"/>
              <w:rPr>
                <w:sz w:val="24"/>
                <w:szCs w:val="24"/>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25,376</w:t>
            </w:r>
          </w:p>
        </w:tc>
        <w:tc>
          <w:tcPr>
            <w:tcW w:w="20" w:type="dxa"/>
            <w:vAlign w:val="bottom"/>
            <w:tcBorders>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0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Marketable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4,392,058</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599</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(66,821)</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4,325,836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3195955</wp:posOffset>
            </wp:positionH>
            <wp:positionV relativeFrom="paragraph">
              <wp:posOffset>-1999615</wp:posOffset>
            </wp:positionV>
            <wp:extent cx="3122295" cy="50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ext uri="{28A0092B-C50C-407E-A947-70E740481C1C}"/>
                      </a:extLst>
                    </a:blip>
                    <a:srcRect/>
                    <a:stretch>
                      <a:fillRect/>
                    </a:stretch>
                  </pic:blipFill>
                  <pic:spPr bwMode="auto">
                    <a:xfrm>
                      <a:off x="0" y="0"/>
                      <a:ext cx="3122295" cy="50165"/>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-43180</wp:posOffset>
            </wp:positionV>
            <wp:extent cx="3122295" cy="50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extLst>
                        <a:ext uri="{28A0092B-C50C-407E-A947-70E740481C1C}"/>
                      </a:extLst>
                    </a:blip>
                    <a:srcRect/>
                    <a:stretch>
                      <a:fillRect/>
                    </a:stretch>
                  </pic:blipFill>
                  <pic:spPr bwMode="auto">
                    <a:xfrm>
                      <a:off x="0" y="0"/>
                      <a:ext cx="3122295" cy="50165"/>
                    </a:xfrm>
                    <a:prstGeom prst="rect">
                      <a:avLst/>
                    </a:prstGeom>
                    <a:noFill/>
                  </pic:spPr>
                </pic:pic>
              </a:graphicData>
            </a:graphic>
          </wp:anchor>
        </w:drawing>
      </w:r>
    </w:p>
    <w:p>
      <w:pPr>
        <w:spacing w:after="0" w:line="220"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Unrealized losses for securities that have been in an unrealized loss position for less than 12 months were $6.0 million and $24.8 million as of January 31, 2024 and 2023, respectively. Unrealized losses for securities that have been in an unrealized loss position for 12 months or longer were $4.8 million and $42.0 million as of January 31, 2024 and 2023, respectively. 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fiscal year. There were no material realized gains or losses from available-for-sale securities that were reclassified out of accumulated other comprehensive (loss) income for the fiscal years ended January 31, 2024, 2023, and 2022.</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81</w:t>
      </w:r>
    </w:p>
    <w:p>
      <w:pPr>
        <w:sectPr>
          <w:pgSz w:w="11880" w:h="15480" w:orient="portrait"/>
          <w:cols w:equalWidth="0" w:num="1">
            <w:col w:w="9960"/>
          </w:cols>
          <w:pgMar w:left="960" w:top="821" w:right="960" w:bottom="0" w:gutter="0" w:footer="0" w:header="0"/>
          <w:type w:val="continuous"/>
        </w:sectPr>
      </w:pPr>
    </w:p>
    <w:bookmarkStart w:id="85" w:name="page86"/>
    <w:bookmarkEnd w:id="85"/>
    <w:p>
      <w:pPr>
        <w:ind w:left="520"/>
        <w:spacing w:after="0"/>
        <w:rPr>
          <w:sz w:val="20"/>
          <w:szCs w:val="20"/>
          <w:color w:val="auto"/>
        </w:rPr>
      </w:pPr>
      <w:r>
        <w:rPr>
          <w:rFonts w:ascii="Times New Roman" w:cs="Times New Roman" w:eastAsia="Times New Roman" w:hAnsi="Times New Roman"/>
          <w:sz w:val="19"/>
          <w:szCs w:val="19"/>
          <w:color w:val="auto"/>
        </w:rPr>
        <w:t>The following table presents the contractual maturities of our marketable securities as of January 31, 2024 and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January 31,</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6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0" w:type="dxa"/>
            <w:vAlign w:val="bottom"/>
          </w:tcPr>
          <w:p>
            <w:pPr>
              <w:spacing w:after="0"/>
              <w:rPr>
                <w:sz w:val="19"/>
                <w:szCs w:val="19"/>
                <w:color w:val="auto"/>
              </w:rPr>
            </w:pPr>
          </w:p>
        </w:tc>
      </w:tr>
      <w:tr>
        <w:trPr>
          <w:trHeight w:val="288"/>
        </w:trPr>
        <w:tc>
          <w:tcPr>
            <w:tcW w:w="6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3"/>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9"/>
        </w:trPr>
        <w:tc>
          <w:tcPr>
            <w:tcW w:w="69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9"/>
                <w:szCs w:val="19"/>
                <w:color w:val="auto"/>
              </w:rPr>
              <w:t>Less than one year</w:t>
            </w:r>
          </w:p>
        </w:tc>
        <w:tc>
          <w:tcPr>
            <w:tcW w:w="360" w:type="dxa"/>
            <w:vAlign w:val="bottom"/>
            <w:shd w:val="clear" w:color="auto" w:fill="E0E0E0"/>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2,883,598</w:t>
            </w:r>
          </w:p>
        </w:tc>
        <w:tc>
          <w:tcPr>
            <w:tcW w:w="640" w:type="dxa"/>
            <w:vAlign w:val="bottom"/>
            <w:gridSpan w:val="2"/>
            <w:shd w:val="clear" w:color="auto" w:fill="E0E0E0"/>
          </w:tcPr>
          <w:p>
            <w:pPr>
              <w:jc w:val="right"/>
              <w:ind w:right="32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2,743,677</w:t>
            </w:r>
          </w:p>
        </w:tc>
        <w:tc>
          <w:tcPr>
            <w:tcW w:w="20" w:type="dxa"/>
            <w:vAlign w:val="bottom"/>
            <w:shd w:val="clear" w:color="auto" w:fill="E0E0E0"/>
          </w:tcPr>
          <w:p>
            <w:pPr>
              <w:spacing w:after="0"/>
              <w:rPr>
                <w:sz w:val="24"/>
                <w:szCs w:val="24"/>
                <w:color w:val="auto"/>
              </w:rPr>
            </w:pPr>
          </w:p>
        </w:tc>
      </w:tr>
      <w:tr>
        <w:trPr>
          <w:trHeight w:val="281"/>
        </w:trPr>
        <w:tc>
          <w:tcPr>
            <w:tcW w:w="6940" w:type="dxa"/>
            <w:vAlign w:val="bottom"/>
            <w:tcBorders>
              <w:bottom w:val="single" w:sz="8" w:color="E0E0E0"/>
            </w:tcBorders>
          </w:tcPr>
          <w:p>
            <w:pPr>
              <w:ind w:left="60"/>
              <w:spacing w:after="0"/>
              <w:rPr>
                <w:sz w:val="20"/>
                <w:szCs w:val="20"/>
                <w:color w:val="auto"/>
              </w:rPr>
            </w:pPr>
            <w:r>
              <w:rPr>
                <w:rFonts w:ascii="Times New Roman" w:cs="Times New Roman" w:eastAsia="Times New Roman" w:hAnsi="Times New Roman"/>
                <w:sz w:val="19"/>
                <w:szCs w:val="19"/>
                <w:color w:val="auto"/>
              </w:rPr>
              <w:t>Due in one to five years</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2,520,635</w:t>
            </w:r>
          </w:p>
        </w:tc>
        <w:tc>
          <w:tcPr>
            <w:tcW w:w="80" w:type="dxa"/>
            <w:vAlign w:val="bottom"/>
            <w:tcBorders>
              <w:bottom w:val="single" w:sz="8" w:color="E0E0E0"/>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1,582,159</w:t>
            </w:r>
          </w:p>
        </w:tc>
        <w:tc>
          <w:tcPr>
            <w:tcW w:w="20" w:type="dxa"/>
            <w:vAlign w:val="bottom"/>
            <w:tcBorders>
              <w:bottom w:val="single" w:sz="8" w:color="E0E0E0"/>
            </w:tcBorders>
          </w:tcPr>
          <w:p>
            <w:pPr>
              <w:spacing w:after="0"/>
              <w:rPr>
                <w:sz w:val="24"/>
                <w:szCs w:val="24"/>
                <w:color w:val="auto"/>
              </w:rPr>
            </w:pPr>
          </w:p>
        </w:tc>
      </w:tr>
      <w:tr>
        <w:trPr>
          <w:trHeight w:val="291"/>
        </w:trPr>
        <w:tc>
          <w:tcPr>
            <w:tcW w:w="694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19"/>
                <w:szCs w:val="19"/>
                <w:color w:val="auto"/>
              </w:rPr>
              <w:t>Total</w:t>
            </w:r>
          </w:p>
        </w:tc>
        <w:tc>
          <w:tcPr>
            <w:tcW w:w="360" w:type="dxa"/>
            <w:vAlign w:val="bottom"/>
            <w:tcBorders>
              <w:bottom w:val="single" w:sz="8" w:color="auto"/>
            </w:tcBorders>
            <w:shd w:val="clear" w:color="auto" w:fill="E0E0E0"/>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5,404,233</w:t>
            </w:r>
          </w:p>
        </w:tc>
        <w:tc>
          <w:tcPr>
            <w:tcW w:w="80" w:type="dxa"/>
            <w:vAlign w:val="bottom"/>
            <w:tcBorders>
              <w:bottom w:val="single" w:sz="8" w:color="E0E0E0"/>
            </w:tcBorders>
            <w:shd w:val="clear" w:color="auto" w:fill="E0E0E0"/>
          </w:tcPr>
          <w:p>
            <w:pPr>
              <w:spacing w:after="0"/>
              <w:rPr>
                <w:sz w:val="24"/>
                <w:szCs w:val="24"/>
                <w:color w:val="auto"/>
              </w:rPr>
            </w:pPr>
          </w:p>
        </w:tc>
        <w:tc>
          <w:tcPr>
            <w:tcW w:w="560" w:type="dxa"/>
            <w:vAlign w:val="bottom"/>
            <w:tcBorders>
              <w:bottom w:val="single" w:sz="8" w:color="auto"/>
            </w:tcBorders>
            <w:shd w:val="clear" w:color="auto" w:fill="E0E0E0"/>
          </w:tcPr>
          <w:p>
            <w:pPr>
              <w:jc w:val="right"/>
              <w:ind w:right="32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4,325,836</w:t>
            </w:r>
          </w:p>
        </w:tc>
        <w:tc>
          <w:tcPr>
            <w:tcW w:w="20" w:type="dxa"/>
            <w:vAlign w:val="bottom"/>
            <w:tcBorders>
              <w:bottom w:val="single" w:sz="8" w:color="E0E0E0"/>
            </w:tcBorders>
            <w:shd w:val="clear" w:color="auto" w:fill="E0E0E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-43180</wp:posOffset>
            </wp:positionV>
            <wp:extent cx="1920875" cy="50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extLst>
                    </a:blip>
                    <a:srcRect/>
                    <a:stretch>
                      <a:fillRect/>
                    </a:stretch>
                  </pic:blipFill>
                  <pic:spPr bwMode="auto">
                    <a:xfrm>
                      <a:off x="0" y="0"/>
                      <a:ext cx="1920875" cy="50165"/>
                    </a:xfrm>
                    <a:prstGeom prst="rect">
                      <a:avLst/>
                    </a:prstGeom>
                    <a:noFill/>
                  </pic:spPr>
                </pic:pic>
              </a:graphicData>
            </a:graphic>
          </wp:anchor>
        </w:drawing>
      </w:r>
    </w:p>
    <w:p>
      <w:pPr>
        <w:spacing w:after="0" w:line="3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Strategic Investments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Strategic investments by form and measurement category as of January 31, 2024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6"/>
                <w:szCs w:val="16"/>
                <w:b w:val="1"/>
                <w:bCs w:val="1"/>
                <w:color w:val="auto"/>
              </w:rPr>
              <w:t>Measurement Category</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194"/>
              <w:spacing w:after="0" w:line="180" w:lineRule="exact"/>
              <w:rPr>
                <w:sz w:val="20"/>
                <w:szCs w:val="20"/>
                <w:color w:val="auto"/>
              </w:rPr>
            </w:pPr>
            <w:r>
              <w:rPr>
                <w:rFonts w:ascii="Times New Roman" w:cs="Times New Roman" w:eastAsia="Times New Roman" w:hAnsi="Times New Roman"/>
                <w:sz w:val="16"/>
                <w:szCs w:val="16"/>
                <w:b w:val="1"/>
                <w:bCs w:val="1"/>
                <w:color w:val="auto"/>
                <w:w w:val="99"/>
              </w:rPr>
              <w:t>Measurement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w w:val="98"/>
              </w:rPr>
              <w:t>Equity Method</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vMerge w:val="restart"/>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Alternative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4"/>
          </w:tcPr>
          <w:p>
            <w:pPr>
              <w:jc w:val="right"/>
              <w:ind w:right="928"/>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9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Equity securities</w:t>
            </w:r>
          </w:p>
        </w:tc>
        <w:tc>
          <w:tcPr>
            <w:tcW w:w="260" w:type="dxa"/>
            <w:vAlign w:val="bottom"/>
            <w:shd w:val="clear" w:color="auto" w:fill="DEDEDE"/>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23,160</w:t>
            </w:r>
          </w:p>
        </w:tc>
        <w:tc>
          <w:tcPr>
            <w:tcW w:w="3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285,509</w:t>
            </w:r>
          </w:p>
        </w:tc>
        <w:tc>
          <w:tcPr>
            <w:tcW w:w="2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96,725</w:t>
            </w:r>
          </w:p>
        </w:tc>
        <w:tc>
          <w:tcPr>
            <w:tcW w:w="420" w:type="dxa"/>
            <w:vAlign w:val="bottom"/>
            <w:gridSpan w:val="2"/>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405,394</w:t>
            </w:r>
          </w:p>
        </w:tc>
        <w:tc>
          <w:tcPr>
            <w:tcW w:w="0" w:type="dxa"/>
            <w:vAlign w:val="bottom"/>
          </w:tcPr>
          <w:p>
            <w:pPr>
              <w:spacing w:after="0"/>
              <w:rPr>
                <w:sz w:val="1"/>
                <w:szCs w:val="1"/>
                <w:color w:val="auto"/>
              </w:rPr>
            </w:pPr>
          </w:p>
        </w:tc>
      </w:tr>
      <w:tr>
        <w:trPr>
          <w:trHeight w:val="281"/>
        </w:trPr>
        <w:tc>
          <w:tcPr>
            <w:tcW w:w="394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9"/>
                <w:szCs w:val="19"/>
                <w:color w:val="auto"/>
              </w:rPr>
              <w:t>Debt securities</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3,828</w:t>
            </w:r>
          </w:p>
        </w:tc>
        <w:tc>
          <w:tcPr>
            <w:tcW w:w="80" w:type="dxa"/>
            <w:vAlign w:val="bottom"/>
            <w:tcBorders>
              <w:bottom w:val="single" w:sz="8" w:color="DEDEDE"/>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EDEDE"/>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EDEDE"/>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3,828</w:t>
            </w:r>
          </w:p>
        </w:tc>
        <w:tc>
          <w:tcPr>
            <w:tcW w:w="0" w:type="dxa"/>
            <w:vAlign w:val="bottom"/>
          </w:tcPr>
          <w:p>
            <w:pPr>
              <w:spacing w:after="0"/>
              <w:rPr>
                <w:sz w:val="1"/>
                <w:szCs w:val="1"/>
                <w:color w:val="auto"/>
              </w:rPr>
            </w:pPr>
          </w:p>
        </w:tc>
      </w:tr>
      <w:tr>
        <w:trPr>
          <w:trHeight w:val="291"/>
        </w:trPr>
        <w:tc>
          <w:tcPr>
            <w:tcW w:w="3940" w:type="dxa"/>
            <w:vAlign w:val="bottom"/>
            <w:tcBorders>
              <w:bottom w:val="single" w:sz="8" w:color="DEDEDE"/>
            </w:tcBorders>
            <w:shd w:val="clear" w:color="auto" w:fill="DEDEDE"/>
          </w:tcPr>
          <w:p>
            <w:pPr>
              <w:ind w:left="400"/>
              <w:spacing w:after="0"/>
              <w:rPr>
                <w:sz w:val="20"/>
                <w:szCs w:val="20"/>
                <w:color w:val="auto"/>
              </w:rPr>
            </w:pPr>
            <w:r>
              <w:rPr>
                <w:rFonts w:ascii="Times New Roman" w:cs="Times New Roman" w:eastAsia="Times New Roman" w:hAnsi="Times New Roman"/>
                <w:sz w:val="19"/>
                <w:szCs w:val="19"/>
                <w:color w:val="auto"/>
              </w:rPr>
              <w:t>Strategic investments</w:t>
            </w:r>
          </w:p>
        </w:tc>
        <w:tc>
          <w:tcPr>
            <w:tcW w:w="260" w:type="dxa"/>
            <w:vAlign w:val="bottom"/>
            <w:tcBorders>
              <w:bottom w:val="single" w:sz="8" w:color="auto"/>
            </w:tcBorders>
            <w:shd w:val="clear" w:color="auto" w:fill="DEDEDE"/>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26,988</w:t>
            </w:r>
          </w:p>
        </w:tc>
        <w:tc>
          <w:tcPr>
            <w:tcW w:w="8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285,509</w:t>
            </w:r>
          </w:p>
        </w:tc>
        <w:tc>
          <w:tcPr>
            <w:tcW w:w="60" w:type="dxa"/>
            <w:vAlign w:val="bottom"/>
            <w:tcBorders>
              <w:bottom w:val="single" w:sz="8" w:color="DEDEDE"/>
            </w:tcBorders>
            <w:shd w:val="clear" w:color="auto" w:fill="DEDEDE"/>
          </w:tcPr>
          <w:p>
            <w:pPr>
              <w:spacing w:after="0"/>
              <w:rPr>
                <w:sz w:val="24"/>
                <w:szCs w:val="24"/>
                <w:color w:val="auto"/>
              </w:rPr>
            </w:pPr>
          </w:p>
        </w:tc>
        <w:tc>
          <w:tcPr>
            <w:tcW w:w="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96,725</w:t>
            </w:r>
          </w:p>
        </w:tc>
        <w:tc>
          <w:tcPr>
            <w:tcW w:w="6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409,222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-43180</wp:posOffset>
            </wp:positionV>
            <wp:extent cx="3852545" cy="50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extLst>
                        <a:ext uri="{28A0092B-C50C-407E-A947-70E740481C1C}"/>
                      </a:extLst>
                    </a:blip>
                    <a:srcRect/>
                    <a:stretch>
                      <a:fillRect/>
                    </a:stretch>
                  </pic:blipFill>
                  <pic:spPr bwMode="auto">
                    <a:xfrm>
                      <a:off x="0" y="0"/>
                      <a:ext cx="3852545" cy="50165"/>
                    </a:xfrm>
                    <a:prstGeom prst="rect">
                      <a:avLst/>
                    </a:prstGeom>
                    <a:noFill/>
                  </pic:spPr>
                </pic:pic>
              </a:graphicData>
            </a:graphic>
          </wp:anchor>
        </w:drawing>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Strategic investments by form and measurement category as of January 31, 2023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6"/>
                <w:szCs w:val="16"/>
                <w:b w:val="1"/>
                <w:bCs w:val="1"/>
                <w:color w:val="auto"/>
              </w:rPr>
              <w:t>Measurement Category</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194"/>
              <w:spacing w:after="0" w:line="180" w:lineRule="exact"/>
              <w:rPr>
                <w:sz w:val="20"/>
                <w:szCs w:val="20"/>
                <w:color w:val="auto"/>
              </w:rPr>
            </w:pPr>
            <w:r>
              <w:rPr>
                <w:rFonts w:ascii="Times New Roman" w:cs="Times New Roman" w:eastAsia="Times New Roman" w:hAnsi="Times New Roman"/>
                <w:sz w:val="16"/>
                <w:szCs w:val="16"/>
                <w:b w:val="1"/>
                <w:bCs w:val="1"/>
                <w:color w:val="auto"/>
                <w:w w:val="99"/>
              </w:rPr>
              <w:t>Measurement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w w:val="98"/>
              </w:rPr>
              <w:t>Equity Method</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vMerge w:val="restart"/>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Alternative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4"/>
          </w:tcPr>
          <w:p>
            <w:pPr>
              <w:jc w:val="right"/>
              <w:ind w:right="928"/>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9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Equity securities</w:t>
            </w:r>
          </w:p>
        </w:tc>
        <w:tc>
          <w:tcPr>
            <w:tcW w:w="260" w:type="dxa"/>
            <w:vAlign w:val="bottom"/>
            <w:shd w:val="clear" w:color="auto" w:fill="DEDEDE"/>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171,975</w:t>
            </w:r>
          </w:p>
        </w:tc>
        <w:tc>
          <w:tcPr>
            <w:tcW w:w="3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118,763</w:t>
            </w:r>
          </w:p>
        </w:tc>
        <w:tc>
          <w:tcPr>
            <w:tcW w:w="2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93,854</w:t>
            </w:r>
          </w:p>
        </w:tc>
        <w:tc>
          <w:tcPr>
            <w:tcW w:w="420" w:type="dxa"/>
            <w:vAlign w:val="bottom"/>
            <w:gridSpan w:val="2"/>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384,592</w:t>
            </w:r>
          </w:p>
        </w:tc>
        <w:tc>
          <w:tcPr>
            <w:tcW w:w="0" w:type="dxa"/>
            <w:vAlign w:val="bottom"/>
          </w:tcPr>
          <w:p>
            <w:pPr>
              <w:spacing w:after="0"/>
              <w:rPr>
                <w:sz w:val="1"/>
                <w:szCs w:val="1"/>
                <w:color w:val="auto"/>
              </w:rPr>
            </w:pPr>
          </w:p>
        </w:tc>
      </w:tr>
      <w:tr>
        <w:trPr>
          <w:trHeight w:val="281"/>
        </w:trPr>
        <w:tc>
          <w:tcPr>
            <w:tcW w:w="394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9"/>
                <w:szCs w:val="19"/>
                <w:color w:val="auto"/>
              </w:rPr>
              <w:t>Debt securities</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14,400</w:t>
            </w:r>
          </w:p>
        </w:tc>
        <w:tc>
          <w:tcPr>
            <w:tcW w:w="80" w:type="dxa"/>
            <w:vAlign w:val="bottom"/>
            <w:tcBorders>
              <w:bottom w:val="single" w:sz="8" w:color="DEDEDE"/>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EDEDE"/>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EDEDE"/>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14,400</w:t>
            </w:r>
          </w:p>
        </w:tc>
        <w:tc>
          <w:tcPr>
            <w:tcW w:w="0" w:type="dxa"/>
            <w:vAlign w:val="bottom"/>
          </w:tcPr>
          <w:p>
            <w:pPr>
              <w:spacing w:after="0"/>
              <w:rPr>
                <w:sz w:val="1"/>
                <w:szCs w:val="1"/>
                <w:color w:val="auto"/>
              </w:rPr>
            </w:pPr>
          </w:p>
        </w:tc>
      </w:tr>
      <w:tr>
        <w:trPr>
          <w:trHeight w:val="291"/>
        </w:trPr>
        <w:tc>
          <w:tcPr>
            <w:tcW w:w="3940" w:type="dxa"/>
            <w:vAlign w:val="bottom"/>
            <w:tcBorders>
              <w:bottom w:val="single" w:sz="8" w:color="DEDEDE"/>
            </w:tcBorders>
            <w:shd w:val="clear" w:color="auto" w:fill="DEDEDE"/>
          </w:tcPr>
          <w:p>
            <w:pPr>
              <w:ind w:left="400"/>
              <w:spacing w:after="0"/>
              <w:rPr>
                <w:sz w:val="20"/>
                <w:szCs w:val="20"/>
                <w:color w:val="auto"/>
              </w:rPr>
            </w:pPr>
            <w:r>
              <w:rPr>
                <w:rFonts w:ascii="Times New Roman" w:cs="Times New Roman" w:eastAsia="Times New Roman" w:hAnsi="Times New Roman"/>
                <w:sz w:val="19"/>
                <w:szCs w:val="19"/>
                <w:color w:val="auto"/>
              </w:rPr>
              <w:t>Strategic investments</w:t>
            </w:r>
          </w:p>
        </w:tc>
        <w:tc>
          <w:tcPr>
            <w:tcW w:w="260" w:type="dxa"/>
            <w:vAlign w:val="bottom"/>
            <w:tcBorders>
              <w:bottom w:val="single" w:sz="8" w:color="auto"/>
            </w:tcBorders>
            <w:shd w:val="clear" w:color="auto" w:fill="DEDEDE"/>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186,375</w:t>
            </w:r>
          </w:p>
        </w:tc>
        <w:tc>
          <w:tcPr>
            <w:tcW w:w="8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118,763</w:t>
            </w:r>
          </w:p>
        </w:tc>
        <w:tc>
          <w:tcPr>
            <w:tcW w:w="60" w:type="dxa"/>
            <w:vAlign w:val="bottom"/>
            <w:tcBorders>
              <w:bottom w:val="single" w:sz="8" w:color="DEDEDE"/>
            </w:tcBorders>
            <w:shd w:val="clear" w:color="auto" w:fill="DEDEDE"/>
          </w:tcPr>
          <w:p>
            <w:pPr>
              <w:spacing w:after="0"/>
              <w:rPr>
                <w:sz w:val="24"/>
                <w:szCs w:val="24"/>
                <w:color w:val="auto"/>
              </w:rPr>
            </w:pPr>
          </w:p>
        </w:tc>
        <w:tc>
          <w:tcPr>
            <w:tcW w:w="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93,854</w:t>
            </w:r>
          </w:p>
        </w:tc>
        <w:tc>
          <w:tcPr>
            <w:tcW w:w="6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398,992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-43180</wp:posOffset>
            </wp:positionV>
            <wp:extent cx="3852545" cy="50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extLst>
                        <a:ext uri="{28A0092B-C50C-407E-A947-70E740481C1C}"/>
                      </a:extLst>
                    </a:blip>
                    <a:srcRect/>
                    <a:stretch>
                      <a:fillRect/>
                    </a:stretch>
                  </pic:blipFill>
                  <pic:spPr bwMode="auto">
                    <a:xfrm>
                      <a:off x="0" y="0"/>
                      <a:ext cx="3852545" cy="50165"/>
                    </a:xfrm>
                    <a:prstGeom prst="rect">
                      <a:avLst/>
                    </a:prstGeom>
                    <a:noFill/>
                  </pic:spPr>
                </pic:pic>
              </a:graphicData>
            </a:graphic>
          </wp:anchor>
        </w:drawing>
      </w:r>
    </w:p>
    <w:p>
      <w:pPr>
        <w:spacing w:after="0" w:line="220"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During the fiscal year ended January 31, 2024, we made a total of $70.5 million of strategic investments in equity securities of private companies. Based on the terms of these privately-held securities, we determined that we do not have a controlling interest nor the ability to exercise significant influence over the operating and financial policies of the investees. Therefore these investments are currently accounted for under the measurement alternative method. In addition, during the fiscal year ended January 31, 2024, we recorded a $85.6 million net unrealized gain on our investments accounted for under the measurement alternative method, mainly driven by changes in the fair value of these investments.</w:t>
      </w:r>
    </w:p>
    <w:p>
      <w:pPr>
        <w:spacing w:after="0" w:line="194"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During the fiscal year ended January 31, 2024, we sold a total of $169.9 million of strategic investments in equity securities of public companies. The net gains on sale, which were not material, were recorded through gains (losses) on strategic investments, net in the consolidated statements of operations.</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82</w:t>
      </w:r>
    </w:p>
    <w:p>
      <w:pPr>
        <w:sectPr>
          <w:pgSz w:w="11880" w:h="15480" w:orient="portrait"/>
          <w:cols w:equalWidth="0" w:num="1">
            <w:col w:w="9960"/>
          </w:cols>
          <w:pgMar w:left="960" w:top="821" w:right="960" w:bottom="0" w:gutter="0" w:footer="0" w:header="0"/>
          <w:type w:val="continuous"/>
        </w:sectPr>
      </w:pPr>
    </w:p>
    <w:bookmarkStart w:id="86" w:name="page87"/>
    <w:bookmarkEnd w:id="86"/>
    <w:p>
      <w:pPr>
        <w:ind w:left="700" w:hanging="699"/>
        <w:spacing w:after="0"/>
        <w:tabs>
          <w:tab w:leader="none" w:pos="700" w:val="left"/>
        </w:tabs>
        <w:numPr>
          <w:ilvl w:val="0"/>
          <w:numId w:val="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Fair Value Measurements</w:t>
      </w:r>
    </w:p>
    <w:p>
      <w:pPr>
        <w:spacing w:after="0" w:line="138"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The following tables present information about our financial instruments that are measured at fair value on a recurring basis and indicate the fair value hierarchy of the valuation inputs utilized to determine such fair value: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As of January 31, 2024</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28"/>
        </w:trPr>
        <w:tc>
          <w:tcPr>
            <w:tcW w:w="5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88"/>
        </w:trPr>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5080" w:type="dxa"/>
            <w:vAlign w:val="bottom"/>
            <w:gridSpan w:val="2"/>
            <w:shd w:val="clear" w:color="auto" w:fill="DEDEDE"/>
          </w:tcPr>
          <w:p>
            <w:pPr>
              <w:ind w:left="60"/>
              <w:spacing w:after="0"/>
              <w:rPr>
                <w:sz w:val="20"/>
                <w:szCs w:val="20"/>
                <w:color w:val="auto"/>
              </w:rPr>
            </w:pPr>
            <w:r>
              <w:rPr>
                <w:rFonts w:ascii="Times New Roman" w:cs="Times New Roman" w:eastAsia="Times New Roman" w:hAnsi="Times New Roman"/>
                <w:sz w:val="19"/>
                <w:szCs w:val="19"/>
                <w:b w:val="1"/>
                <w:bCs w:val="1"/>
                <w:color w:val="auto"/>
              </w:rPr>
              <w:t>Financial Assets:</w:t>
            </w:r>
          </w:p>
        </w:tc>
        <w:tc>
          <w:tcPr>
            <w:tcW w:w="180" w:type="dxa"/>
            <w:vAlign w:val="bottom"/>
            <w:shd w:val="clear" w:color="auto" w:fill="DEDEDE"/>
          </w:tcPr>
          <w:p>
            <w:pPr>
              <w:spacing w:after="0"/>
              <w:rPr>
                <w:sz w:val="24"/>
                <w:szCs w:val="24"/>
                <w:color w:val="auto"/>
              </w:rPr>
            </w:pPr>
          </w:p>
        </w:tc>
        <w:tc>
          <w:tcPr>
            <w:tcW w:w="9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85"/>
        </w:trPr>
        <w:tc>
          <w:tcPr>
            <w:tcW w:w="50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851,100</w:t>
            </w:r>
          </w:p>
        </w:tc>
        <w:tc>
          <w:tcPr>
            <w:tcW w:w="20" w:type="dxa"/>
            <w:vAlign w:val="bottom"/>
          </w:tcPr>
          <w:p>
            <w:pPr>
              <w:spacing w:after="0"/>
              <w:rPr>
                <w:sz w:val="24"/>
                <w:szCs w:val="24"/>
                <w:color w:val="auto"/>
              </w:rPr>
            </w:pPr>
          </w:p>
        </w:tc>
        <w:tc>
          <w:tcPr>
            <w:tcW w:w="320" w:type="dxa"/>
            <w:vAlign w:val="bottom"/>
            <w:gridSpan w:val="3"/>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851,100</w:t>
            </w:r>
          </w:p>
        </w:tc>
        <w:tc>
          <w:tcPr>
            <w:tcW w:w="2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98"/>
        </w:trPr>
        <w:tc>
          <w:tcPr>
            <w:tcW w:w="5080" w:type="dxa"/>
            <w:vAlign w:val="bottom"/>
            <w:gridSpan w:val="2"/>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Treasury bills</w:t>
            </w:r>
          </w:p>
        </w:tc>
        <w:tc>
          <w:tcPr>
            <w:tcW w:w="18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100,629</w:t>
            </w: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92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100,629</w:t>
            </w: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940" w:type="dxa"/>
            <w:vAlign w:val="bottom"/>
            <w:gridSpan w:val="3"/>
            <w:shd w:val="clear" w:color="auto" w:fill="DEDEDE"/>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85"/>
        </w:trPr>
        <w:tc>
          <w:tcPr>
            <w:tcW w:w="50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Corporate debt securities</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2,715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306"/>
        </w:trPr>
        <w:tc>
          <w:tcPr>
            <w:tcW w:w="5080" w:type="dxa"/>
            <w:vAlign w:val="bottom"/>
            <w:tcBorders>
              <w:bottom w:val="single" w:sz="8" w:color="DEDEDE"/>
            </w:tcBorders>
            <w:gridSpan w:val="2"/>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U.S. government agency securities</w:t>
            </w:r>
          </w:p>
        </w:tc>
        <w:tc>
          <w:tcPr>
            <w:tcW w:w="180" w:type="dxa"/>
            <w:vAlign w:val="bottom"/>
            <w:tcBorders>
              <w:bottom w:val="single" w:sz="8" w:color="auto"/>
            </w:tcBorders>
            <w:shd w:val="clear" w:color="auto" w:fill="DEDEDE"/>
          </w:tcPr>
          <w:p>
            <w:pPr>
              <w:spacing w:after="0"/>
              <w:rPr>
                <w:sz w:val="24"/>
                <w:szCs w:val="24"/>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20,155</w:t>
            </w:r>
          </w:p>
        </w:tc>
        <w:tc>
          <w:tcPr>
            <w:tcW w:w="2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920" w:type="dxa"/>
            <w:vAlign w:val="bottom"/>
            <w:tcBorders>
              <w:bottom w:val="single" w:sz="8" w:color="auto"/>
            </w:tcBorders>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auto"/>
            </w:tcBorders>
            <w:shd w:val="clear" w:color="auto" w:fill="DEDEDE"/>
          </w:tcPr>
          <w:p>
            <w:pPr>
              <w:spacing w:after="0"/>
              <w:rPr>
                <w:sz w:val="24"/>
                <w:szCs w:val="24"/>
                <w:color w:val="auto"/>
              </w:rPr>
            </w:pP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20,155</w:t>
            </w:r>
          </w:p>
        </w:tc>
        <w:tc>
          <w:tcPr>
            <w:tcW w:w="20" w:type="dxa"/>
            <w:vAlign w:val="bottom"/>
            <w:tcBorders>
              <w:bottom w:val="single" w:sz="8" w:color="auto"/>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auto"/>
            </w:tcBorders>
            <w:shd w:val="clear" w:color="auto" w:fill="DEDEDE"/>
          </w:tcPr>
          <w:p>
            <w:pPr>
              <w:spacing w:after="0"/>
              <w:rPr>
                <w:sz w:val="24"/>
                <w:szCs w:val="24"/>
                <w:color w:val="auto"/>
              </w:rPr>
            </w:pPr>
          </w:p>
        </w:tc>
        <w:tc>
          <w:tcPr>
            <w:tcW w:w="940" w:type="dxa"/>
            <w:vAlign w:val="bottom"/>
            <w:tcBorders>
              <w:bottom w:val="single" w:sz="8" w:color="auto"/>
            </w:tcBorders>
            <w:gridSpan w:val="3"/>
            <w:shd w:val="clear" w:color="auto" w:fill="DEDEDE"/>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52"/>
        </w:trPr>
        <w:tc>
          <w:tcPr>
            <w:tcW w:w="5080" w:type="dxa"/>
            <w:vAlign w:val="bottom"/>
            <w:tcBorders>
              <w:bottom w:val="single" w:sz="8" w:color="DEDEDE"/>
            </w:tcBorders>
            <w:gridSpan w:val="2"/>
          </w:tcPr>
          <w:p>
            <w:pPr>
              <w:ind w:left="380"/>
              <w:spacing w:after="0"/>
              <w:rPr>
                <w:sz w:val="20"/>
                <w:szCs w:val="20"/>
                <w:color w:val="auto"/>
              </w:rPr>
            </w:pPr>
            <w:r>
              <w:rPr>
                <w:rFonts w:ascii="Times New Roman" w:cs="Times New Roman" w:eastAsia="Times New Roman" w:hAnsi="Times New Roman"/>
                <w:sz w:val="19"/>
                <w:szCs w:val="19"/>
                <w:color w:val="auto"/>
              </w:rPr>
              <w:t>Cash equivalents</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974,599</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851,100</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DEDEDE"/>
            </w:tcBorders>
          </w:tcPr>
          <w:p>
            <w:pPr>
              <w:spacing w:after="0"/>
              <w:rPr>
                <w:sz w:val="21"/>
                <w:szCs w:val="21"/>
                <w:color w:val="auto"/>
              </w:rPr>
            </w:pPr>
          </w:p>
        </w:tc>
        <w:tc>
          <w:tcPr>
            <w:tcW w:w="40" w:type="dxa"/>
            <w:vAlign w:val="bottom"/>
            <w:tcBorders>
              <w:bottom w:val="single" w:sz="8" w:color="DEDEDE"/>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123,499</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DEDEDE"/>
            </w:tcBorders>
          </w:tcPr>
          <w:p>
            <w:pPr>
              <w:spacing w:after="0"/>
              <w:rPr>
                <w:sz w:val="21"/>
                <w:szCs w:val="21"/>
                <w:color w:val="auto"/>
              </w:rPr>
            </w:pPr>
          </w:p>
        </w:tc>
        <w:tc>
          <w:tcPr>
            <w:tcW w:w="40" w:type="dxa"/>
            <w:vAlign w:val="bottom"/>
            <w:tcBorders>
              <w:bottom w:val="single" w:sz="8" w:color="DEDEDE"/>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81"/>
        </w:trPr>
        <w:tc>
          <w:tcPr>
            <w:tcW w:w="5080" w:type="dxa"/>
            <w:vAlign w:val="bottom"/>
            <w:gridSpan w:val="2"/>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Commercial paper</w:t>
            </w:r>
          </w:p>
        </w:tc>
        <w:tc>
          <w:tcPr>
            <w:tcW w:w="18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41,564</w:t>
            </w: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92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41,564</w:t>
            </w: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940" w:type="dxa"/>
            <w:vAlign w:val="bottom"/>
            <w:gridSpan w:val="3"/>
            <w:shd w:val="clear" w:color="auto" w:fill="DEDEDE"/>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85"/>
        </w:trPr>
        <w:tc>
          <w:tcPr>
            <w:tcW w:w="50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Agency bonds</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1,666,683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1,666,683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98"/>
        </w:trPr>
        <w:tc>
          <w:tcPr>
            <w:tcW w:w="5080" w:type="dxa"/>
            <w:vAlign w:val="bottom"/>
            <w:gridSpan w:val="2"/>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Corporate and other debt securities</w:t>
            </w:r>
          </w:p>
        </w:tc>
        <w:tc>
          <w:tcPr>
            <w:tcW w:w="18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663,159</w:t>
            </w: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92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663,159</w:t>
            </w: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940" w:type="dxa"/>
            <w:vAlign w:val="bottom"/>
            <w:gridSpan w:val="3"/>
            <w:shd w:val="clear" w:color="auto" w:fill="DEDEDE"/>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99"/>
        </w:trPr>
        <w:tc>
          <w:tcPr>
            <w:tcW w:w="50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U.S. government agency securities</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3,004,842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3,004,842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306"/>
        </w:trPr>
        <w:tc>
          <w:tcPr>
            <w:tcW w:w="5080" w:type="dxa"/>
            <w:vAlign w:val="bottom"/>
            <w:tcBorders>
              <w:bottom w:val="single" w:sz="8" w:color="DEDEDE"/>
            </w:tcBorders>
            <w:gridSpan w:val="2"/>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Treasury bills</w:t>
            </w:r>
          </w:p>
        </w:tc>
        <w:tc>
          <w:tcPr>
            <w:tcW w:w="180" w:type="dxa"/>
            <w:vAlign w:val="bottom"/>
            <w:tcBorders>
              <w:bottom w:val="single" w:sz="8" w:color="auto"/>
            </w:tcBorders>
            <w:shd w:val="clear" w:color="auto" w:fill="DEDEDE"/>
          </w:tcPr>
          <w:p>
            <w:pPr>
              <w:spacing w:after="0"/>
              <w:rPr>
                <w:sz w:val="24"/>
                <w:szCs w:val="24"/>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27,985</w:t>
            </w:r>
          </w:p>
        </w:tc>
        <w:tc>
          <w:tcPr>
            <w:tcW w:w="2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920" w:type="dxa"/>
            <w:vAlign w:val="bottom"/>
            <w:tcBorders>
              <w:bottom w:val="single" w:sz="8" w:color="auto"/>
            </w:tcBorders>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auto"/>
            </w:tcBorders>
            <w:shd w:val="clear" w:color="auto" w:fill="DEDEDE"/>
          </w:tcPr>
          <w:p>
            <w:pPr>
              <w:spacing w:after="0"/>
              <w:rPr>
                <w:sz w:val="24"/>
                <w:szCs w:val="24"/>
                <w:color w:val="auto"/>
              </w:rPr>
            </w:pP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27,985</w:t>
            </w:r>
          </w:p>
        </w:tc>
        <w:tc>
          <w:tcPr>
            <w:tcW w:w="20" w:type="dxa"/>
            <w:vAlign w:val="bottom"/>
            <w:tcBorders>
              <w:bottom w:val="single" w:sz="8" w:color="auto"/>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auto"/>
            </w:tcBorders>
            <w:shd w:val="clear" w:color="auto" w:fill="DEDEDE"/>
          </w:tcPr>
          <w:p>
            <w:pPr>
              <w:spacing w:after="0"/>
              <w:rPr>
                <w:sz w:val="24"/>
                <w:szCs w:val="24"/>
                <w:color w:val="auto"/>
              </w:rPr>
            </w:pPr>
          </w:p>
        </w:tc>
        <w:tc>
          <w:tcPr>
            <w:tcW w:w="940" w:type="dxa"/>
            <w:vAlign w:val="bottom"/>
            <w:tcBorders>
              <w:bottom w:val="single" w:sz="8" w:color="auto"/>
            </w:tcBorders>
            <w:gridSpan w:val="3"/>
            <w:shd w:val="clear" w:color="auto" w:fill="DEDEDE"/>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52"/>
        </w:trPr>
        <w:tc>
          <w:tcPr>
            <w:tcW w:w="5080" w:type="dxa"/>
            <w:vAlign w:val="bottom"/>
            <w:tcBorders>
              <w:bottom w:val="single" w:sz="8" w:color="DEDEDE"/>
            </w:tcBorders>
            <w:gridSpan w:val="2"/>
          </w:tcPr>
          <w:p>
            <w:pPr>
              <w:ind w:left="380"/>
              <w:spacing w:after="0"/>
              <w:rPr>
                <w:sz w:val="20"/>
                <w:szCs w:val="20"/>
                <w:color w:val="auto"/>
              </w:rPr>
            </w:pPr>
            <w:r>
              <w:rPr>
                <w:rFonts w:ascii="Times New Roman" w:cs="Times New Roman" w:eastAsia="Times New Roman" w:hAnsi="Times New Roman"/>
                <w:sz w:val="19"/>
                <w:szCs w:val="19"/>
                <w:color w:val="auto"/>
              </w:rPr>
              <w:t>Marketable securities</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5,404,233</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bottom w:val="single" w:sz="8" w:color="DEDEDE"/>
            </w:tcBorders>
          </w:tcPr>
          <w:p>
            <w:pPr>
              <w:spacing w:after="0"/>
              <w:rPr>
                <w:sz w:val="21"/>
                <w:szCs w:val="21"/>
                <w:color w:val="auto"/>
              </w:rPr>
            </w:pPr>
          </w:p>
        </w:tc>
        <w:tc>
          <w:tcPr>
            <w:tcW w:w="40" w:type="dxa"/>
            <w:vAlign w:val="bottom"/>
            <w:tcBorders>
              <w:bottom w:val="single" w:sz="8" w:color="DEDEDE"/>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5,404,233</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DEDEDE"/>
            </w:tcBorders>
          </w:tcPr>
          <w:p>
            <w:pPr>
              <w:spacing w:after="0"/>
              <w:rPr>
                <w:sz w:val="21"/>
                <w:szCs w:val="21"/>
                <w:color w:val="auto"/>
              </w:rPr>
            </w:pPr>
          </w:p>
        </w:tc>
        <w:tc>
          <w:tcPr>
            <w:tcW w:w="40" w:type="dxa"/>
            <w:vAlign w:val="bottom"/>
            <w:tcBorders>
              <w:bottom w:val="single" w:sz="8" w:color="DEDEDE"/>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90"/>
        </w:trPr>
        <w:tc>
          <w:tcPr>
            <w:tcW w:w="5080" w:type="dxa"/>
            <w:vAlign w:val="bottom"/>
            <w:tcBorders>
              <w:bottom w:val="single" w:sz="8" w:color="DEDEDE"/>
            </w:tcBorders>
            <w:gridSpan w:val="2"/>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Certificates of deposit included in other assets, noncurrent</w:t>
            </w:r>
          </w:p>
        </w:tc>
        <w:tc>
          <w:tcPr>
            <w:tcW w:w="180" w:type="dxa"/>
            <w:vAlign w:val="bottom"/>
            <w:tcBorders>
              <w:bottom w:val="single" w:sz="8" w:color="auto"/>
            </w:tcBorders>
            <w:shd w:val="clear" w:color="auto" w:fill="DEDEDE"/>
          </w:tcPr>
          <w:p>
            <w:pPr>
              <w:spacing w:after="0"/>
              <w:rPr>
                <w:sz w:val="24"/>
                <w:szCs w:val="24"/>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254</w:t>
            </w:r>
          </w:p>
        </w:tc>
        <w:tc>
          <w:tcPr>
            <w:tcW w:w="2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920" w:type="dxa"/>
            <w:vAlign w:val="bottom"/>
            <w:tcBorders>
              <w:bottom w:val="single" w:sz="8" w:color="auto"/>
            </w:tcBorders>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auto"/>
            </w:tcBorders>
            <w:shd w:val="clear" w:color="auto" w:fill="DEDEDE"/>
          </w:tcPr>
          <w:p>
            <w:pPr>
              <w:spacing w:after="0"/>
              <w:rPr>
                <w:sz w:val="24"/>
                <w:szCs w:val="24"/>
                <w:color w:val="auto"/>
              </w:rPr>
            </w:pP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254</w:t>
            </w:r>
          </w:p>
        </w:tc>
        <w:tc>
          <w:tcPr>
            <w:tcW w:w="20" w:type="dxa"/>
            <w:vAlign w:val="bottom"/>
            <w:tcBorders>
              <w:bottom w:val="single" w:sz="8" w:color="auto"/>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auto"/>
            </w:tcBorders>
            <w:shd w:val="clear" w:color="auto" w:fill="DEDEDE"/>
          </w:tcPr>
          <w:p>
            <w:pPr>
              <w:spacing w:after="0"/>
              <w:rPr>
                <w:sz w:val="24"/>
                <w:szCs w:val="24"/>
                <w:color w:val="auto"/>
              </w:rPr>
            </w:pPr>
          </w:p>
        </w:tc>
        <w:tc>
          <w:tcPr>
            <w:tcW w:w="940" w:type="dxa"/>
            <w:vAlign w:val="bottom"/>
            <w:tcBorders>
              <w:bottom w:val="single" w:sz="8" w:color="auto"/>
            </w:tcBorders>
            <w:gridSpan w:val="3"/>
            <w:shd w:val="clear" w:color="auto" w:fill="DEDEDE"/>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52"/>
        </w:trPr>
        <w:tc>
          <w:tcPr>
            <w:tcW w:w="5080" w:type="dxa"/>
            <w:vAlign w:val="bottom"/>
            <w:tcBorders>
              <w:bottom w:val="single" w:sz="8" w:color="DEDEDE"/>
            </w:tcBorders>
            <w:gridSpan w:val="2"/>
          </w:tcPr>
          <w:p>
            <w:pPr>
              <w:ind w:left="60"/>
              <w:spacing w:after="0"/>
              <w:rPr>
                <w:sz w:val="20"/>
                <w:szCs w:val="20"/>
                <w:color w:val="auto"/>
              </w:rPr>
            </w:pPr>
            <w:r>
              <w:rPr>
                <w:rFonts w:ascii="Times New Roman" w:cs="Times New Roman" w:eastAsia="Times New Roman" w:hAnsi="Times New Roman"/>
                <w:sz w:val="19"/>
                <w:szCs w:val="19"/>
                <w:color w:val="auto"/>
              </w:rPr>
              <w:t>Publicly held equity securities included in strategic investments</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23,160</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23,160</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DEDEDE"/>
            </w:tcBorders>
          </w:tcPr>
          <w:p>
            <w:pPr>
              <w:spacing w:after="0"/>
              <w:rPr>
                <w:sz w:val="21"/>
                <w:szCs w:val="21"/>
                <w:color w:val="auto"/>
              </w:rPr>
            </w:pPr>
          </w:p>
        </w:tc>
        <w:tc>
          <w:tcPr>
            <w:tcW w:w="40" w:type="dxa"/>
            <w:vAlign w:val="bottom"/>
            <w:tcBorders>
              <w:bottom w:val="single" w:sz="8" w:color="DEDEDE"/>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bottom w:val="single" w:sz="8" w:color="DEDEDE"/>
            </w:tcBorders>
          </w:tcPr>
          <w:p>
            <w:pPr>
              <w:spacing w:after="0"/>
              <w:rPr>
                <w:sz w:val="21"/>
                <w:szCs w:val="21"/>
                <w:color w:val="auto"/>
              </w:rPr>
            </w:pPr>
          </w:p>
        </w:tc>
        <w:tc>
          <w:tcPr>
            <w:tcW w:w="40" w:type="dxa"/>
            <w:vAlign w:val="bottom"/>
            <w:tcBorders>
              <w:bottom w:val="single" w:sz="8" w:color="DEDEDE"/>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90"/>
        </w:trPr>
        <w:tc>
          <w:tcPr>
            <w:tcW w:w="5080" w:type="dxa"/>
            <w:vAlign w:val="bottom"/>
            <w:tcBorders>
              <w:bottom w:val="single" w:sz="8" w:color="DEDEDE"/>
            </w:tcBorders>
            <w:gridSpan w:val="2"/>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Privately held debt securities included in strategic investments</w:t>
            </w:r>
          </w:p>
        </w:tc>
        <w:tc>
          <w:tcPr>
            <w:tcW w:w="180" w:type="dxa"/>
            <w:vAlign w:val="bottom"/>
            <w:tcBorders>
              <w:bottom w:val="single" w:sz="8" w:color="auto"/>
            </w:tcBorders>
            <w:shd w:val="clear" w:color="auto" w:fill="DEDEDE"/>
          </w:tcPr>
          <w:p>
            <w:pPr>
              <w:spacing w:after="0"/>
              <w:rPr>
                <w:sz w:val="24"/>
                <w:szCs w:val="24"/>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3,828</w:t>
            </w:r>
          </w:p>
        </w:tc>
        <w:tc>
          <w:tcPr>
            <w:tcW w:w="2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920" w:type="dxa"/>
            <w:vAlign w:val="bottom"/>
            <w:tcBorders>
              <w:bottom w:val="single" w:sz="8" w:color="auto"/>
            </w:tcBorders>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auto"/>
            </w:tcBorders>
            <w:shd w:val="clear" w:color="auto" w:fill="DEDEDE"/>
          </w:tcPr>
          <w:p>
            <w:pPr>
              <w:spacing w:after="0"/>
              <w:rPr>
                <w:sz w:val="24"/>
                <w:szCs w:val="24"/>
                <w:color w:val="auto"/>
              </w:rPr>
            </w:pPr>
          </w:p>
        </w:tc>
        <w:tc>
          <w:tcPr>
            <w:tcW w:w="940" w:type="dxa"/>
            <w:vAlign w:val="bottom"/>
            <w:tcBorders>
              <w:bottom w:val="single" w:sz="8" w:color="auto"/>
            </w:tcBorders>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3,828</w:t>
            </w:r>
          </w:p>
        </w:tc>
        <w:tc>
          <w:tcPr>
            <w:tcW w:w="20" w:type="dxa"/>
            <w:vAlign w:val="bottom"/>
            <w:tcBorders>
              <w:bottom w:val="single" w:sz="8" w:color="auto"/>
            </w:tcBorders>
            <w:shd w:val="clear" w:color="auto" w:fill="DEDEDE"/>
          </w:tcPr>
          <w:p>
            <w:pPr>
              <w:spacing w:after="0"/>
              <w:rPr>
                <w:sz w:val="24"/>
                <w:szCs w:val="24"/>
                <w:color w:val="auto"/>
              </w:rPr>
            </w:pPr>
          </w:p>
        </w:tc>
        <w:tc>
          <w:tcPr>
            <w:tcW w:w="20" w:type="dxa"/>
            <w:vAlign w:val="bottom"/>
            <w:tcBorders>
              <w:bottom w:val="single" w:sz="8" w:color="auto"/>
            </w:tcBorders>
            <w:shd w:val="clear" w:color="auto" w:fill="DEDEDE"/>
          </w:tcPr>
          <w:p>
            <w:pPr>
              <w:spacing w:after="0"/>
              <w:rPr>
                <w:sz w:val="24"/>
                <w:szCs w:val="24"/>
                <w:color w:val="auto"/>
              </w:rPr>
            </w:pPr>
          </w:p>
        </w:tc>
      </w:tr>
      <w:tr>
        <w:trPr>
          <w:trHeight w:val="233"/>
        </w:trPr>
        <w:tc>
          <w:tcPr>
            <w:tcW w:w="50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Total financial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6,406,074</w:t>
            </w:r>
          </w:p>
        </w:tc>
        <w:tc>
          <w:tcPr>
            <w:tcW w:w="20" w:type="dxa"/>
            <w:vAlign w:val="bottom"/>
            <w:tcBorders>
              <w:bottom w:val="single" w:sz="8" w:color="auto"/>
            </w:tcBorders>
          </w:tcPr>
          <w:p>
            <w:pPr>
              <w:spacing w:after="0"/>
              <w:rPr>
                <w:sz w:val="20"/>
                <w:szCs w:val="20"/>
                <w:color w:val="auto"/>
              </w:rPr>
            </w:pPr>
          </w:p>
        </w:tc>
        <w:tc>
          <w:tcPr>
            <w:tcW w:w="80" w:type="dxa"/>
            <w:vAlign w:val="bottom"/>
            <w:gridSpan w:val="2"/>
          </w:tcPr>
          <w:p>
            <w:pPr>
              <w:spacing w:after="0"/>
              <w:rPr>
                <w:sz w:val="20"/>
                <w:szCs w:val="20"/>
                <w:color w:val="auto"/>
              </w:rPr>
            </w:pP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874,260</w:t>
            </w:r>
          </w:p>
        </w:tc>
        <w:tc>
          <w:tcPr>
            <w:tcW w:w="20" w:type="dxa"/>
            <w:vAlign w:val="bottom"/>
            <w:tcBorders>
              <w:bottom w:val="single" w:sz="8" w:color="auto"/>
            </w:tcBorders>
          </w:tcPr>
          <w:p>
            <w:pPr>
              <w:spacing w:after="0"/>
              <w:rPr>
                <w:sz w:val="20"/>
                <w:szCs w:val="20"/>
                <w:color w:val="auto"/>
              </w:rPr>
            </w:pPr>
          </w:p>
        </w:tc>
        <w:tc>
          <w:tcPr>
            <w:tcW w:w="80" w:type="dxa"/>
            <w:vAlign w:val="bottom"/>
            <w:gridSpan w:val="2"/>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5,527,986</w:t>
            </w:r>
          </w:p>
        </w:tc>
        <w:tc>
          <w:tcPr>
            <w:tcW w:w="20" w:type="dxa"/>
            <w:vAlign w:val="bottom"/>
            <w:tcBorders>
              <w:bottom w:val="single" w:sz="8" w:color="auto"/>
            </w:tcBorders>
          </w:tcPr>
          <w:p>
            <w:pPr>
              <w:spacing w:after="0"/>
              <w:rPr>
                <w:sz w:val="20"/>
                <w:szCs w:val="20"/>
                <w:color w:val="auto"/>
              </w:rPr>
            </w:pPr>
          </w:p>
        </w:tc>
        <w:tc>
          <w:tcPr>
            <w:tcW w:w="80" w:type="dxa"/>
            <w:vAlign w:val="bottom"/>
            <w:gridSpan w:val="2"/>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3,828</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0"/>
        </w:trPr>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20"/>
        </w:trPr>
        <w:tc>
          <w:tcPr>
            <w:tcW w:w="5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As of January 31, 2023</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0" w:type="dxa"/>
            <w:vAlign w:val="bottom"/>
            <w:gridSpan w:val="2"/>
          </w:tcPr>
          <w:p>
            <w:pPr>
              <w:spacing w:after="0"/>
              <w:rPr>
                <w:sz w:val="19"/>
                <w:szCs w:val="19"/>
                <w:color w:val="auto"/>
              </w:rPr>
            </w:pPr>
          </w:p>
        </w:tc>
      </w:tr>
      <w:tr>
        <w:trPr>
          <w:trHeight w:val="288"/>
        </w:trPr>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7"/>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5080" w:type="dxa"/>
            <w:vAlign w:val="bottom"/>
            <w:gridSpan w:val="2"/>
            <w:shd w:val="clear" w:color="auto" w:fill="DEDEDE"/>
          </w:tcPr>
          <w:p>
            <w:pPr>
              <w:ind w:left="60"/>
              <w:spacing w:after="0"/>
              <w:rPr>
                <w:sz w:val="20"/>
                <w:szCs w:val="20"/>
                <w:color w:val="auto"/>
              </w:rPr>
            </w:pPr>
            <w:r>
              <w:rPr>
                <w:rFonts w:ascii="Times New Roman" w:cs="Times New Roman" w:eastAsia="Times New Roman" w:hAnsi="Times New Roman"/>
                <w:sz w:val="19"/>
                <w:szCs w:val="19"/>
                <w:b w:val="1"/>
                <w:bCs w:val="1"/>
                <w:color w:val="auto"/>
              </w:rPr>
              <w:t>Financial Assets:</w:t>
            </w:r>
          </w:p>
        </w:tc>
        <w:tc>
          <w:tcPr>
            <w:tcW w:w="180" w:type="dxa"/>
            <w:vAlign w:val="bottom"/>
            <w:shd w:val="clear" w:color="auto" w:fill="DEDEDE"/>
          </w:tcPr>
          <w:p>
            <w:pPr>
              <w:spacing w:after="0"/>
              <w:rPr>
                <w:sz w:val="24"/>
                <w:szCs w:val="24"/>
                <w:color w:val="auto"/>
              </w:rPr>
            </w:pPr>
          </w:p>
        </w:tc>
        <w:tc>
          <w:tcPr>
            <w:tcW w:w="9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81"/>
        </w:trPr>
        <w:tc>
          <w:tcPr>
            <w:tcW w:w="506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9"/>
                <w:szCs w:val="19"/>
                <w:color w:val="auto"/>
              </w:rPr>
              <w:t>Money market funds</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310,571</w:t>
            </w:r>
          </w:p>
        </w:tc>
        <w:tc>
          <w:tcPr>
            <w:tcW w:w="20" w:type="dxa"/>
            <w:vAlign w:val="bottom"/>
            <w:tcBorders>
              <w:bottom w:val="single" w:sz="8" w:color="DEDEDE"/>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26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310,571</w:t>
            </w:r>
          </w:p>
        </w:tc>
        <w:tc>
          <w:tcPr>
            <w:tcW w:w="20" w:type="dxa"/>
            <w:vAlign w:val="bottom"/>
            <w:tcBorders>
              <w:bottom w:val="single" w:sz="8" w:color="DEDEDE"/>
            </w:tcBorders>
          </w:tcPr>
          <w:p>
            <w:pPr>
              <w:spacing w:after="0"/>
              <w:rPr>
                <w:sz w:val="24"/>
                <w:szCs w:val="24"/>
                <w:color w:val="auto"/>
              </w:rPr>
            </w:pPr>
          </w:p>
        </w:tc>
        <w:tc>
          <w:tcPr>
            <w:tcW w:w="40" w:type="dxa"/>
            <w:vAlign w:val="bottom"/>
            <w:tcBorders>
              <w:bottom w:val="single" w:sz="8" w:color="DEDEDE"/>
            </w:tcBorders>
          </w:tcPr>
          <w:p>
            <w:pPr>
              <w:spacing w:after="0"/>
              <w:rPr>
                <w:sz w:val="24"/>
                <w:szCs w:val="24"/>
                <w:color w:val="auto"/>
              </w:rPr>
            </w:pPr>
          </w:p>
        </w:tc>
        <w:tc>
          <w:tcPr>
            <w:tcW w:w="2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DEDEDE"/>
            </w:tcBorders>
          </w:tcPr>
          <w:p>
            <w:pPr>
              <w:spacing w:after="0"/>
              <w:rPr>
                <w:sz w:val="24"/>
                <w:szCs w:val="24"/>
                <w:color w:val="auto"/>
              </w:rPr>
            </w:pPr>
          </w:p>
        </w:tc>
        <w:tc>
          <w:tcPr>
            <w:tcW w:w="40" w:type="dxa"/>
            <w:vAlign w:val="bottom"/>
            <w:tcBorders>
              <w:bottom w:val="single" w:sz="8" w:color="DEDEDE"/>
            </w:tcBorders>
          </w:tcPr>
          <w:p>
            <w:pPr>
              <w:spacing w:after="0"/>
              <w:rPr>
                <w:sz w:val="24"/>
                <w:szCs w:val="24"/>
                <w:color w:val="auto"/>
              </w:rPr>
            </w:pPr>
          </w:p>
        </w:tc>
        <w:tc>
          <w:tcPr>
            <w:tcW w:w="2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bottom w:val="single" w:sz="8" w:color="DEDEDE"/>
            </w:tcBorders>
            <w:gridSpan w:val="2"/>
          </w:tcPr>
          <w:p>
            <w:pPr>
              <w:spacing w:after="0"/>
              <w:rPr>
                <w:sz w:val="24"/>
                <w:szCs w:val="24"/>
                <w:color w:val="auto"/>
              </w:rPr>
            </w:pPr>
          </w:p>
        </w:tc>
      </w:tr>
      <w:tr>
        <w:trPr>
          <w:trHeight w:val="271"/>
        </w:trPr>
        <w:tc>
          <w:tcPr>
            <w:tcW w:w="5060" w:type="dxa"/>
            <w:vAlign w:val="bottom"/>
            <w:tcBorders>
              <w:bottom w:val="single" w:sz="8" w:color="DEDEDE"/>
            </w:tcBorders>
            <w:shd w:val="clear" w:color="auto" w:fill="DEDEDE"/>
          </w:tcPr>
          <w:p>
            <w:pPr>
              <w:ind w:left="380"/>
              <w:spacing w:after="0"/>
              <w:rPr>
                <w:sz w:val="20"/>
                <w:szCs w:val="20"/>
                <w:color w:val="auto"/>
              </w:rPr>
            </w:pPr>
            <w:r>
              <w:rPr>
                <w:rFonts w:ascii="Times New Roman" w:cs="Times New Roman" w:eastAsia="Times New Roman" w:hAnsi="Times New Roman"/>
                <w:sz w:val="19"/>
                <w:szCs w:val="19"/>
                <w:color w:val="auto"/>
              </w:rPr>
              <w:t>Cash equivalents</w:t>
            </w:r>
          </w:p>
        </w:tc>
        <w:tc>
          <w:tcPr>
            <w:tcW w:w="20" w:type="dxa"/>
            <w:vAlign w:val="bottom"/>
            <w:tcBorders>
              <w:bottom w:val="single" w:sz="8" w:color="auto"/>
            </w:tcBorders>
            <w:shd w:val="clear" w:color="auto" w:fill="DEDEDE"/>
          </w:tcPr>
          <w:p>
            <w:pPr>
              <w:spacing w:after="0"/>
              <w:rPr>
                <w:sz w:val="23"/>
                <w:szCs w:val="23"/>
                <w:color w:val="auto"/>
              </w:rPr>
            </w:pPr>
          </w:p>
        </w:tc>
        <w:tc>
          <w:tcPr>
            <w:tcW w:w="180" w:type="dxa"/>
            <w:vAlign w:val="bottom"/>
            <w:tcBorders>
              <w:bottom w:val="single" w:sz="8" w:color="auto"/>
            </w:tcBorders>
            <w:shd w:val="clear" w:color="auto" w:fill="DEDEDE"/>
          </w:tcPr>
          <w:p>
            <w:pPr>
              <w:spacing w:after="0"/>
              <w:rPr>
                <w:sz w:val="23"/>
                <w:szCs w:val="23"/>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310,571</w:t>
            </w:r>
          </w:p>
        </w:tc>
        <w:tc>
          <w:tcPr>
            <w:tcW w:w="20" w:type="dxa"/>
            <w:vAlign w:val="bottom"/>
            <w:tcBorders>
              <w:bottom w:val="single" w:sz="8" w:color="DEDEDE"/>
            </w:tcBorders>
            <w:shd w:val="clear" w:color="auto" w:fill="DEDEDE"/>
          </w:tcPr>
          <w:p>
            <w:pPr>
              <w:spacing w:after="0"/>
              <w:rPr>
                <w:sz w:val="23"/>
                <w:szCs w:val="23"/>
                <w:color w:val="auto"/>
              </w:rPr>
            </w:pPr>
          </w:p>
        </w:tc>
        <w:tc>
          <w:tcPr>
            <w:tcW w:w="60" w:type="dxa"/>
            <w:vAlign w:val="bottom"/>
            <w:tcBorders>
              <w:bottom w:val="single" w:sz="8" w:color="DEDEDE"/>
            </w:tcBorders>
            <w:shd w:val="clear" w:color="auto" w:fill="DEDEDE"/>
          </w:tcPr>
          <w:p>
            <w:pPr>
              <w:spacing w:after="0"/>
              <w:rPr>
                <w:sz w:val="23"/>
                <w:szCs w:val="23"/>
                <w:color w:val="auto"/>
              </w:rPr>
            </w:pPr>
          </w:p>
        </w:tc>
        <w:tc>
          <w:tcPr>
            <w:tcW w:w="20" w:type="dxa"/>
            <w:vAlign w:val="bottom"/>
            <w:tcBorders>
              <w:bottom w:val="single" w:sz="8" w:color="auto"/>
            </w:tcBorders>
            <w:shd w:val="clear" w:color="auto" w:fill="DEDEDE"/>
          </w:tcPr>
          <w:p>
            <w:pPr>
              <w:spacing w:after="0"/>
              <w:rPr>
                <w:sz w:val="23"/>
                <w:szCs w:val="23"/>
                <w:color w:val="auto"/>
              </w:rPr>
            </w:pPr>
          </w:p>
        </w:tc>
        <w:tc>
          <w:tcPr>
            <w:tcW w:w="240" w:type="dxa"/>
            <w:vAlign w:val="bottom"/>
            <w:tcBorders>
              <w:bottom w:val="single" w:sz="8" w:color="auto"/>
            </w:tcBorders>
            <w:shd w:val="clear" w:color="auto" w:fill="DEDEDE"/>
          </w:tcPr>
          <w:p>
            <w:pPr>
              <w:spacing w:after="0"/>
              <w:rPr>
                <w:sz w:val="23"/>
                <w:szCs w:val="23"/>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310,571</w:t>
            </w:r>
          </w:p>
        </w:tc>
        <w:tc>
          <w:tcPr>
            <w:tcW w:w="20" w:type="dxa"/>
            <w:vAlign w:val="bottom"/>
            <w:tcBorders>
              <w:bottom w:val="single" w:sz="8" w:color="DEDEDE"/>
            </w:tcBorders>
            <w:shd w:val="clear" w:color="auto" w:fill="DEDEDE"/>
          </w:tcPr>
          <w:p>
            <w:pPr>
              <w:spacing w:after="0"/>
              <w:rPr>
                <w:sz w:val="23"/>
                <w:szCs w:val="23"/>
                <w:color w:val="auto"/>
              </w:rPr>
            </w:pPr>
          </w:p>
        </w:tc>
        <w:tc>
          <w:tcPr>
            <w:tcW w:w="40" w:type="dxa"/>
            <w:vAlign w:val="bottom"/>
            <w:tcBorders>
              <w:bottom w:val="single" w:sz="8" w:color="DEDEDE"/>
            </w:tcBorders>
            <w:shd w:val="clear" w:color="auto" w:fill="DEDEDE"/>
          </w:tcPr>
          <w:p>
            <w:pPr>
              <w:spacing w:after="0"/>
              <w:rPr>
                <w:sz w:val="23"/>
                <w:szCs w:val="23"/>
                <w:color w:val="auto"/>
              </w:rPr>
            </w:pPr>
          </w:p>
        </w:tc>
        <w:tc>
          <w:tcPr>
            <w:tcW w:w="40" w:type="dxa"/>
            <w:vAlign w:val="bottom"/>
            <w:tcBorders>
              <w:bottom w:val="single" w:sz="8" w:color="auto"/>
            </w:tcBorders>
            <w:shd w:val="clear" w:color="auto" w:fill="DEDEDE"/>
          </w:tcPr>
          <w:p>
            <w:pPr>
              <w:spacing w:after="0"/>
              <w:rPr>
                <w:sz w:val="23"/>
                <w:szCs w:val="23"/>
                <w:color w:val="auto"/>
              </w:rPr>
            </w:pPr>
          </w:p>
        </w:tc>
        <w:tc>
          <w:tcPr>
            <w:tcW w:w="220" w:type="dxa"/>
            <w:vAlign w:val="bottom"/>
            <w:tcBorders>
              <w:bottom w:val="single" w:sz="8" w:color="auto"/>
            </w:tcBorders>
            <w:shd w:val="clear" w:color="auto" w:fill="DEDEDE"/>
          </w:tcPr>
          <w:p>
            <w:pPr>
              <w:spacing w:after="0"/>
              <w:rPr>
                <w:sz w:val="23"/>
                <w:szCs w:val="23"/>
                <w:color w:val="auto"/>
              </w:rPr>
            </w:pP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DEDEDE"/>
            </w:tcBorders>
            <w:shd w:val="clear" w:color="auto" w:fill="DEDEDE"/>
          </w:tcPr>
          <w:p>
            <w:pPr>
              <w:spacing w:after="0"/>
              <w:rPr>
                <w:sz w:val="23"/>
                <w:szCs w:val="23"/>
                <w:color w:val="auto"/>
              </w:rPr>
            </w:pPr>
          </w:p>
        </w:tc>
        <w:tc>
          <w:tcPr>
            <w:tcW w:w="40" w:type="dxa"/>
            <w:vAlign w:val="bottom"/>
            <w:tcBorders>
              <w:bottom w:val="single" w:sz="8" w:color="DEDEDE"/>
            </w:tcBorders>
            <w:shd w:val="clear" w:color="auto" w:fill="DEDEDE"/>
          </w:tcPr>
          <w:p>
            <w:pPr>
              <w:spacing w:after="0"/>
              <w:rPr>
                <w:sz w:val="23"/>
                <w:szCs w:val="23"/>
                <w:color w:val="auto"/>
              </w:rPr>
            </w:pPr>
          </w:p>
        </w:tc>
        <w:tc>
          <w:tcPr>
            <w:tcW w:w="40" w:type="dxa"/>
            <w:vAlign w:val="bottom"/>
            <w:tcBorders>
              <w:bottom w:val="single" w:sz="8" w:color="auto"/>
            </w:tcBorders>
            <w:shd w:val="clear" w:color="auto" w:fill="DEDEDE"/>
          </w:tcPr>
          <w:p>
            <w:pPr>
              <w:spacing w:after="0"/>
              <w:rPr>
                <w:sz w:val="23"/>
                <w:szCs w:val="23"/>
                <w:color w:val="auto"/>
              </w:rPr>
            </w:pPr>
          </w:p>
        </w:tc>
        <w:tc>
          <w:tcPr>
            <w:tcW w:w="220" w:type="dxa"/>
            <w:vAlign w:val="bottom"/>
            <w:tcBorders>
              <w:bottom w:val="single" w:sz="8" w:color="auto"/>
            </w:tcBorders>
            <w:shd w:val="clear" w:color="auto" w:fill="DEDEDE"/>
          </w:tcPr>
          <w:p>
            <w:pPr>
              <w:spacing w:after="0"/>
              <w:rPr>
                <w:sz w:val="23"/>
                <w:szCs w:val="23"/>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DEDEDE"/>
            </w:tcBorders>
            <w:shd w:val="clear" w:color="auto" w:fill="DEDEDE"/>
          </w:tcPr>
          <w:p>
            <w:pPr>
              <w:spacing w:after="0"/>
              <w:rPr>
                <w:sz w:val="23"/>
                <w:szCs w:val="23"/>
                <w:color w:val="auto"/>
              </w:rPr>
            </w:pPr>
          </w:p>
        </w:tc>
        <w:tc>
          <w:tcPr>
            <w:tcW w:w="20" w:type="dxa"/>
            <w:vAlign w:val="bottom"/>
            <w:tcBorders>
              <w:bottom w:val="single" w:sz="8" w:color="DEDEDE"/>
            </w:tcBorders>
            <w:shd w:val="clear" w:color="auto" w:fill="DEDEDE"/>
          </w:tcPr>
          <w:p>
            <w:pPr>
              <w:spacing w:after="0"/>
              <w:rPr>
                <w:sz w:val="23"/>
                <w:szCs w:val="23"/>
                <w:color w:val="auto"/>
              </w:rPr>
            </w:pPr>
          </w:p>
        </w:tc>
      </w:tr>
      <w:tr>
        <w:trPr>
          <w:trHeight w:val="275"/>
        </w:trPr>
        <w:tc>
          <w:tcPr>
            <w:tcW w:w="50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Commercial paper</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77,701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77,701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r>
      <w:tr>
        <w:trPr>
          <w:trHeight w:val="298"/>
        </w:trPr>
        <w:tc>
          <w:tcPr>
            <w:tcW w:w="5080" w:type="dxa"/>
            <w:vAlign w:val="bottom"/>
            <w:gridSpan w:val="2"/>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Agency bonds</w:t>
            </w:r>
          </w:p>
        </w:tc>
        <w:tc>
          <w:tcPr>
            <w:tcW w:w="18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810,650</w:t>
            </w: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92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810,650</w:t>
            </w: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92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DEDEDE"/>
          </w:tcPr>
          <w:p>
            <w:pPr>
              <w:spacing w:after="0"/>
              <w:rPr>
                <w:sz w:val="24"/>
                <w:szCs w:val="24"/>
                <w:color w:val="auto"/>
              </w:rPr>
            </w:pPr>
          </w:p>
        </w:tc>
      </w:tr>
      <w:tr>
        <w:trPr>
          <w:trHeight w:val="285"/>
        </w:trPr>
        <w:tc>
          <w:tcPr>
            <w:tcW w:w="50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Corporate and other debt securities</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550,894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550,894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4"/>
                <w:szCs w:val="24"/>
                <w:color w:val="auto"/>
              </w:rPr>
            </w:pPr>
          </w:p>
        </w:tc>
      </w:tr>
      <w:tr>
        <w:trPr>
          <w:trHeight w:val="298"/>
        </w:trPr>
        <w:tc>
          <w:tcPr>
            <w:tcW w:w="5080" w:type="dxa"/>
            <w:vAlign w:val="bottom"/>
            <w:gridSpan w:val="2"/>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U.S. government agency securities</w:t>
            </w:r>
          </w:p>
        </w:tc>
        <w:tc>
          <w:tcPr>
            <w:tcW w:w="18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2,861,215</w:t>
            </w: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92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2,861,215</w:t>
            </w: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92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DEDEDE"/>
          </w:tcPr>
          <w:p>
            <w:pPr>
              <w:spacing w:after="0"/>
              <w:rPr>
                <w:sz w:val="24"/>
                <w:szCs w:val="24"/>
                <w:color w:val="auto"/>
              </w:rPr>
            </w:pPr>
          </w:p>
        </w:tc>
      </w:tr>
      <w:tr>
        <w:trPr>
          <w:trHeight w:val="281"/>
        </w:trPr>
        <w:tc>
          <w:tcPr>
            <w:tcW w:w="506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9"/>
                <w:szCs w:val="19"/>
                <w:color w:val="auto"/>
              </w:rPr>
              <w:t>Treasury bills</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25,376</w:t>
            </w:r>
          </w:p>
        </w:tc>
        <w:tc>
          <w:tcPr>
            <w:tcW w:w="20" w:type="dxa"/>
            <w:vAlign w:val="bottom"/>
            <w:tcBorders>
              <w:bottom w:val="single" w:sz="8" w:color="DEDEDE"/>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DEDEDE"/>
            </w:tcBorders>
          </w:tcPr>
          <w:p>
            <w:pPr>
              <w:spacing w:after="0"/>
              <w:rPr>
                <w:sz w:val="24"/>
                <w:szCs w:val="24"/>
                <w:color w:val="auto"/>
              </w:rPr>
            </w:pPr>
          </w:p>
        </w:tc>
        <w:tc>
          <w:tcPr>
            <w:tcW w:w="40" w:type="dxa"/>
            <w:vAlign w:val="bottom"/>
            <w:tcBorders>
              <w:bottom w:val="single" w:sz="8" w:color="DEDEDE"/>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25,376</w:t>
            </w:r>
          </w:p>
        </w:tc>
        <w:tc>
          <w:tcPr>
            <w:tcW w:w="20" w:type="dxa"/>
            <w:vAlign w:val="bottom"/>
            <w:tcBorders>
              <w:bottom w:val="single" w:sz="8" w:color="DEDEDE"/>
            </w:tcBorders>
          </w:tcPr>
          <w:p>
            <w:pPr>
              <w:spacing w:after="0"/>
              <w:rPr>
                <w:sz w:val="24"/>
                <w:szCs w:val="24"/>
                <w:color w:val="auto"/>
              </w:rPr>
            </w:pPr>
          </w:p>
        </w:tc>
        <w:tc>
          <w:tcPr>
            <w:tcW w:w="40" w:type="dxa"/>
            <w:vAlign w:val="bottom"/>
            <w:tcBorders>
              <w:bottom w:val="single" w:sz="8" w:color="DEDEDE"/>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bottom w:val="single" w:sz="8" w:color="DEDEDE"/>
            </w:tcBorders>
            <w:gridSpan w:val="2"/>
          </w:tcPr>
          <w:p>
            <w:pPr>
              <w:spacing w:after="0"/>
              <w:rPr>
                <w:sz w:val="24"/>
                <w:szCs w:val="24"/>
                <w:color w:val="auto"/>
              </w:rPr>
            </w:pPr>
          </w:p>
        </w:tc>
      </w:tr>
      <w:tr>
        <w:trPr>
          <w:trHeight w:val="271"/>
        </w:trPr>
        <w:tc>
          <w:tcPr>
            <w:tcW w:w="5060" w:type="dxa"/>
            <w:vAlign w:val="bottom"/>
            <w:tcBorders>
              <w:bottom w:val="single" w:sz="8" w:color="DEDEDE"/>
            </w:tcBorders>
            <w:shd w:val="clear" w:color="auto" w:fill="DEDEDE"/>
          </w:tcPr>
          <w:p>
            <w:pPr>
              <w:ind w:left="380"/>
              <w:spacing w:after="0"/>
              <w:rPr>
                <w:sz w:val="20"/>
                <w:szCs w:val="20"/>
                <w:color w:val="auto"/>
              </w:rPr>
            </w:pPr>
            <w:r>
              <w:rPr>
                <w:rFonts w:ascii="Times New Roman" w:cs="Times New Roman" w:eastAsia="Times New Roman" w:hAnsi="Times New Roman"/>
                <w:sz w:val="19"/>
                <w:szCs w:val="19"/>
                <w:color w:val="auto"/>
              </w:rPr>
              <w:t>Marketable securities</w:t>
            </w:r>
          </w:p>
        </w:tc>
        <w:tc>
          <w:tcPr>
            <w:tcW w:w="20" w:type="dxa"/>
            <w:vAlign w:val="bottom"/>
            <w:tcBorders>
              <w:bottom w:val="single" w:sz="8" w:color="auto"/>
            </w:tcBorders>
            <w:shd w:val="clear" w:color="auto" w:fill="DEDEDE"/>
          </w:tcPr>
          <w:p>
            <w:pPr>
              <w:spacing w:after="0"/>
              <w:rPr>
                <w:sz w:val="23"/>
                <w:szCs w:val="23"/>
                <w:color w:val="auto"/>
              </w:rPr>
            </w:pPr>
          </w:p>
        </w:tc>
        <w:tc>
          <w:tcPr>
            <w:tcW w:w="180" w:type="dxa"/>
            <w:vAlign w:val="bottom"/>
            <w:tcBorders>
              <w:bottom w:val="single" w:sz="8" w:color="auto"/>
            </w:tcBorders>
            <w:shd w:val="clear" w:color="auto" w:fill="DEDEDE"/>
          </w:tcPr>
          <w:p>
            <w:pPr>
              <w:spacing w:after="0"/>
              <w:rPr>
                <w:sz w:val="23"/>
                <w:szCs w:val="23"/>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4,325,836</w:t>
            </w:r>
          </w:p>
        </w:tc>
        <w:tc>
          <w:tcPr>
            <w:tcW w:w="20" w:type="dxa"/>
            <w:vAlign w:val="bottom"/>
            <w:tcBorders>
              <w:bottom w:val="single" w:sz="8" w:color="DEDEDE"/>
            </w:tcBorders>
            <w:shd w:val="clear" w:color="auto" w:fill="DEDEDE"/>
          </w:tcPr>
          <w:p>
            <w:pPr>
              <w:spacing w:after="0"/>
              <w:rPr>
                <w:sz w:val="23"/>
                <w:szCs w:val="23"/>
                <w:color w:val="auto"/>
              </w:rPr>
            </w:pPr>
          </w:p>
        </w:tc>
        <w:tc>
          <w:tcPr>
            <w:tcW w:w="60" w:type="dxa"/>
            <w:vAlign w:val="bottom"/>
            <w:tcBorders>
              <w:bottom w:val="single" w:sz="8" w:color="DEDEDE"/>
            </w:tcBorders>
            <w:shd w:val="clear" w:color="auto" w:fill="DEDEDE"/>
          </w:tcPr>
          <w:p>
            <w:pPr>
              <w:spacing w:after="0"/>
              <w:rPr>
                <w:sz w:val="23"/>
                <w:szCs w:val="23"/>
                <w:color w:val="auto"/>
              </w:rPr>
            </w:pPr>
          </w:p>
        </w:tc>
        <w:tc>
          <w:tcPr>
            <w:tcW w:w="20" w:type="dxa"/>
            <w:vAlign w:val="bottom"/>
            <w:tcBorders>
              <w:bottom w:val="single" w:sz="8" w:color="auto"/>
            </w:tcBorders>
            <w:shd w:val="clear" w:color="auto" w:fill="DEDEDE"/>
          </w:tcPr>
          <w:p>
            <w:pPr>
              <w:spacing w:after="0"/>
              <w:rPr>
                <w:sz w:val="23"/>
                <w:szCs w:val="23"/>
                <w:color w:val="auto"/>
              </w:rPr>
            </w:pPr>
          </w:p>
        </w:tc>
        <w:tc>
          <w:tcPr>
            <w:tcW w:w="240" w:type="dxa"/>
            <w:vAlign w:val="bottom"/>
            <w:tcBorders>
              <w:bottom w:val="single" w:sz="8" w:color="auto"/>
            </w:tcBorders>
            <w:shd w:val="clear" w:color="auto" w:fill="DEDEDE"/>
          </w:tcPr>
          <w:p>
            <w:pPr>
              <w:spacing w:after="0"/>
              <w:rPr>
                <w:sz w:val="23"/>
                <w:szCs w:val="23"/>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DEDEDE"/>
            </w:tcBorders>
            <w:shd w:val="clear" w:color="auto" w:fill="DEDEDE"/>
          </w:tcPr>
          <w:p>
            <w:pPr>
              <w:spacing w:after="0"/>
              <w:rPr>
                <w:sz w:val="23"/>
                <w:szCs w:val="23"/>
                <w:color w:val="auto"/>
              </w:rPr>
            </w:pPr>
          </w:p>
        </w:tc>
        <w:tc>
          <w:tcPr>
            <w:tcW w:w="40" w:type="dxa"/>
            <w:vAlign w:val="bottom"/>
            <w:tcBorders>
              <w:bottom w:val="single" w:sz="8" w:color="DEDEDE"/>
            </w:tcBorders>
            <w:shd w:val="clear" w:color="auto" w:fill="DEDEDE"/>
          </w:tcPr>
          <w:p>
            <w:pPr>
              <w:spacing w:after="0"/>
              <w:rPr>
                <w:sz w:val="23"/>
                <w:szCs w:val="23"/>
                <w:color w:val="auto"/>
              </w:rPr>
            </w:pPr>
          </w:p>
        </w:tc>
        <w:tc>
          <w:tcPr>
            <w:tcW w:w="40" w:type="dxa"/>
            <w:vAlign w:val="bottom"/>
            <w:tcBorders>
              <w:bottom w:val="single" w:sz="8" w:color="auto"/>
            </w:tcBorders>
            <w:shd w:val="clear" w:color="auto" w:fill="DEDEDE"/>
          </w:tcPr>
          <w:p>
            <w:pPr>
              <w:spacing w:after="0"/>
              <w:rPr>
                <w:sz w:val="23"/>
                <w:szCs w:val="23"/>
                <w:color w:val="auto"/>
              </w:rPr>
            </w:pPr>
          </w:p>
        </w:tc>
        <w:tc>
          <w:tcPr>
            <w:tcW w:w="220" w:type="dxa"/>
            <w:vAlign w:val="bottom"/>
            <w:tcBorders>
              <w:bottom w:val="single" w:sz="8" w:color="auto"/>
            </w:tcBorders>
            <w:shd w:val="clear" w:color="auto" w:fill="DEDEDE"/>
          </w:tcPr>
          <w:p>
            <w:pPr>
              <w:spacing w:after="0"/>
              <w:rPr>
                <w:sz w:val="23"/>
                <w:szCs w:val="23"/>
                <w:color w:val="auto"/>
              </w:rPr>
            </w:pP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4,325,836</w:t>
            </w:r>
          </w:p>
        </w:tc>
        <w:tc>
          <w:tcPr>
            <w:tcW w:w="20" w:type="dxa"/>
            <w:vAlign w:val="bottom"/>
            <w:tcBorders>
              <w:bottom w:val="single" w:sz="8" w:color="DEDEDE"/>
            </w:tcBorders>
            <w:shd w:val="clear" w:color="auto" w:fill="DEDEDE"/>
          </w:tcPr>
          <w:p>
            <w:pPr>
              <w:spacing w:after="0"/>
              <w:rPr>
                <w:sz w:val="23"/>
                <w:szCs w:val="23"/>
                <w:color w:val="auto"/>
              </w:rPr>
            </w:pPr>
          </w:p>
        </w:tc>
        <w:tc>
          <w:tcPr>
            <w:tcW w:w="40" w:type="dxa"/>
            <w:vAlign w:val="bottom"/>
            <w:tcBorders>
              <w:bottom w:val="single" w:sz="8" w:color="DEDEDE"/>
            </w:tcBorders>
            <w:shd w:val="clear" w:color="auto" w:fill="DEDEDE"/>
          </w:tcPr>
          <w:p>
            <w:pPr>
              <w:spacing w:after="0"/>
              <w:rPr>
                <w:sz w:val="23"/>
                <w:szCs w:val="23"/>
                <w:color w:val="auto"/>
              </w:rPr>
            </w:pPr>
          </w:p>
        </w:tc>
        <w:tc>
          <w:tcPr>
            <w:tcW w:w="40" w:type="dxa"/>
            <w:vAlign w:val="bottom"/>
            <w:tcBorders>
              <w:bottom w:val="single" w:sz="8" w:color="auto"/>
            </w:tcBorders>
            <w:shd w:val="clear" w:color="auto" w:fill="DEDEDE"/>
          </w:tcPr>
          <w:p>
            <w:pPr>
              <w:spacing w:after="0"/>
              <w:rPr>
                <w:sz w:val="23"/>
                <w:szCs w:val="23"/>
                <w:color w:val="auto"/>
              </w:rPr>
            </w:pPr>
          </w:p>
        </w:tc>
        <w:tc>
          <w:tcPr>
            <w:tcW w:w="220" w:type="dxa"/>
            <w:vAlign w:val="bottom"/>
            <w:tcBorders>
              <w:bottom w:val="single" w:sz="8" w:color="auto"/>
            </w:tcBorders>
            <w:shd w:val="clear" w:color="auto" w:fill="DEDEDE"/>
          </w:tcPr>
          <w:p>
            <w:pPr>
              <w:spacing w:after="0"/>
              <w:rPr>
                <w:sz w:val="23"/>
                <w:szCs w:val="23"/>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DEDEDE"/>
            </w:tcBorders>
            <w:shd w:val="clear" w:color="auto" w:fill="DEDEDE"/>
          </w:tcPr>
          <w:p>
            <w:pPr>
              <w:spacing w:after="0"/>
              <w:rPr>
                <w:sz w:val="23"/>
                <w:szCs w:val="23"/>
                <w:color w:val="auto"/>
              </w:rPr>
            </w:pPr>
          </w:p>
        </w:tc>
        <w:tc>
          <w:tcPr>
            <w:tcW w:w="20" w:type="dxa"/>
            <w:vAlign w:val="bottom"/>
            <w:tcBorders>
              <w:bottom w:val="single" w:sz="8" w:color="DEDEDE"/>
            </w:tcBorders>
            <w:shd w:val="clear" w:color="auto" w:fill="DEDEDE"/>
          </w:tcPr>
          <w:p>
            <w:pPr>
              <w:spacing w:after="0"/>
              <w:rPr>
                <w:sz w:val="23"/>
                <w:szCs w:val="23"/>
                <w:color w:val="auto"/>
              </w:rPr>
            </w:pPr>
          </w:p>
        </w:tc>
      </w:tr>
      <w:tr>
        <w:trPr>
          <w:trHeight w:val="271"/>
        </w:trPr>
        <w:tc>
          <w:tcPr>
            <w:tcW w:w="506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9"/>
                <w:szCs w:val="19"/>
                <w:color w:val="auto"/>
              </w:rPr>
              <w:t>Certificates of deposit included in other assets, noncurrent</w:t>
            </w: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272</w:t>
            </w:r>
          </w:p>
        </w:tc>
        <w:tc>
          <w:tcPr>
            <w:tcW w:w="20" w:type="dxa"/>
            <w:vAlign w:val="bottom"/>
            <w:tcBorders>
              <w:bottom w:val="single" w:sz="8" w:color="DEDEDE"/>
            </w:tcBorders>
          </w:tcPr>
          <w:p>
            <w:pPr>
              <w:spacing w:after="0"/>
              <w:rPr>
                <w:sz w:val="23"/>
                <w:szCs w:val="23"/>
                <w:color w:val="auto"/>
              </w:rPr>
            </w:pPr>
          </w:p>
        </w:tc>
        <w:tc>
          <w:tcPr>
            <w:tcW w:w="60" w:type="dxa"/>
            <w:vAlign w:val="bottom"/>
            <w:tcBorders>
              <w:bottom w:val="single" w:sz="8" w:color="DEDEDE"/>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DEDEDE"/>
            </w:tcBorders>
          </w:tcPr>
          <w:p>
            <w:pPr>
              <w:spacing w:after="0"/>
              <w:rPr>
                <w:sz w:val="23"/>
                <w:szCs w:val="23"/>
                <w:color w:val="auto"/>
              </w:rPr>
            </w:pPr>
          </w:p>
        </w:tc>
        <w:tc>
          <w:tcPr>
            <w:tcW w:w="40" w:type="dxa"/>
            <w:vAlign w:val="bottom"/>
            <w:tcBorders>
              <w:bottom w:val="single" w:sz="8" w:color="DEDEDE"/>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272</w:t>
            </w:r>
          </w:p>
        </w:tc>
        <w:tc>
          <w:tcPr>
            <w:tcW w:w="20" w:type="dxa"/>
            <w:vAlign w:val="bottom"/>
            <w:tcBorders>
              <w:bottom w:val="single" w:sz="8" w:color="DEDEDE"/>
            </w:tcBorders>
          </w:tcPr>
          <w:p>
            <w:pPr>
              <w:spacing w:after="0"/>
              <w:rPr>
                <w:sz w:val="23"/>
                <w:szCs w:val="23"/>
                <w:color w:val="auto"/>
              </w:rPr>
            </w:pPr>
          </w:p>
        </w:tc>
        <w:tc>
          <w:tcPr>
            <w:tcW w:w="40" w:type="dxa"/>
            <w:vAlign w:val="bottom"/>
            <w:tcBorders>
              <w:bottom w:val="single" w:sz="8" w:color="DEDEDE"/>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bottom w:val="single" w:sz="8" w:color="DEDEDE"/>
            </w:tcBorders>
            <w:gridSpan w:val="2"/>
          </w:tcPr>
          <w:p>
            <w:pPr>
              <w:spacing w:after="0"/>
              <w:rPr>
                <w:sz w:val="23"/>
                <w:szCs w:val="23"/>
                <w:color w:val="auto"/>
              </w:rPr>
            </w:pPr>
          </w:p>
        </w:tc>
      </w:tr>
      <w:tr>
        <w:trPr>
          <w:trHeight w:val="257"/>
        </w:trPr>
        <w:tc>
          <w:tcPr>
            <w:tcW w:w="506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Publicly held equity securities included in strategic investments</w:t>
            </w:r>
          </w:p>
        </w:tc>
        <w:tc>
          <w:tcPr>
            <w:tcW w:w="20" w:type="dxa"/>
            <w:vAlign w:val="bottom"/>
            <w:tcBorders>
              <w:bottom w:val="single" w:sz="8" w:color="auto"/>
            </w:tcBorders>
            <w:shd w:val="clear" w:color="auto" w:fill="DEDEDE"/>
          </w:tcPr>
          <w:p>
            <w:pPr>
              <w:spacing w:after="0"/>
              <w:rPr>
                <w:sz w:val="22"/>
                <w:szCs w:val="22"/>
                <w:color w:val="auto"/>
              </w:rPr>
            </w:pPr>
          </w:p>
        </w:tc>
        <w:tc>
          <w:tcPr>
            <w:tcW w:w="180" w:type="dxa"/>
            <w:vAlign w:val="bottom"/>
            <w:tcBorders>
              <w:bottom w:val="single" w:sz="8" w:color="auto"/>
            </w:tcBorders>
            <w:shd w:val="clear" w:color="auto" w:fill="DEDEDE"/>
          </w:tcPr>
          <w:p>
            <w:pPr>
              <w:spacing w:after="0"/>
              <w:rPr>
                <w:sz w:val="22"/>
                <w:szCs w:val="22"/>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171,975</w:t>
            </w:r>
          </w:p>
        </w:tc>
        <w:tc>
          <w:tcPr>
            <w:tcW w:w="20" w:type="dxa"/>
            <w:vAlign w:val="bottom"/>
            <w:tcBorders>
              <w:bottom w:val="single" w:sz="8" w:color="DEDEDE"/>
            </w:tcBorders>
            <w:shd w:val="clear" w:color="auto" w:fill="DEDEDE"/>
          </w:tcPr>
          <w:p>
            <w:pPr>
              <w:spacing w:after="0"/>
              <w:rPr>
                <w:sz w:val="22"/>
                <w:szCs w:val="22"/>
                <w:color w:val="auto"/>
              </w:rPr>
            </w:pPr>
          </w:p>
        </w:tc>
        <w:tc>
          <w:tcPr>
            <w:tcW w:w="60" w:type="dxa"/>
            <w:vAlign w:val="bottom"/>
            <w:tcBorders>
              <w:bottom w:val="single" w:sz="8" w:color="DEDEDE"/>
            </w:tcBorders>
            <w:shd w:val="clear" w:color="auto" w:fill="DEDEDE"/>
          </w:tcPr>
          <w:p>
            <w:pPr>
              <w:spacing w:after="0"/>
              <w:rPr>
                <w:sz w:val="22"/>
                <w:szCs w:val="22"/>
                <w:color w:val="auto"/>
              </w:rPr>
            </w:pPr>
          </w:p>
        </w:tc>
        <w:tc>
          <w:tcPr>
            <w:tcW w:w="20" w:type="dxa"/>
            <w:vAlign w:val="bottom"/>
            <w:tcBorders>
              <w:bottom w:val="single" w:sz="8" w:color="auto"/>
            </w:tcBorders>
            <w:shd w:val="clear" w:color="auto" w:fill="DEDEDE"/>
          </w:tcPr>
          <w:p>
            <w:pPr>
              <w:spacing w:after="0"/>
              <w:rPr>
                <w:sz w:val="22"/>
                <w:szCs w:val="22"/>
                <w:color w:val="auto"/>
              </w:rPr>
            </w:pPr>
          </w:p>
        </w:tc>
        <w:tc>
          <w:tcPr>
            <w:tcW w:w="240" w:type="dxa"/>
            <w:vAlign w:val="bottom"/>
            <w:tcBorders>
              <w:bottom w:val="single" w:sz="8" w:color="auto"/>
            </w:tcBorders>
            <w:shd w:val="clear" w:color="auto" w:fill="DEDEDE"/>
          </w:tcPr>
          <w:p>
            <w:pPr>
              <w:spacing w:after="0"/>
              <w:rPr>
                <w:sz w:val="22"/>
                <w:szCs w:val="22"/>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171,975</w:t>
            </w:r>
          </w:p>
        </w:tc>
        <w:tc>
          <w:tcPr>
            <w:tcW w:w="20" w:type="dxa"/>
            <w:vAlign w:val="bottom"/>
            <w:tcBorders>
              <w:bottom w:val="single" w:sz="8" w:color="DEDEDE"/>
            </w:tcBorders>
            <w:shd w:val="clear" w:color="auto" w:fill="DEDEDE"/>
          </w:tcPr>
          <w:p>
            <w:pPr>
              <w:spacing w:after="0"/>
              <w:rPr>
                <w:sz w:val="22"/>
                <w:szCs w:val="22"/>
                <w:color w:val="auto"/>
              </w:rPr>
            </w:pPr>
          </w:p>
        </w:tc>
        <w:tc>
          <w:tcPr>
            <w:tcW w:w="40" w:type="dxa"/>
            <w:vAlign w:val="bottom"/>
            <w:tcBorders>
              <w:bottom w:val="single" w:sz="8" w:color="DEDEDE"/>
            </w:tcBorders>
            <w:shd w:val="clear" w:color="auto" w:fill="DEDEDE"/>
          </w:tcPr>
          <w:p>
            <w:pPr>
              <w:spacing w:after="0"/>
              <w:rPr>
                <w:sz w:val="22"/>
                <w:szCs w:val="22"/>
                <w:color w:val="auto"/>
              </w:rPr>
            </w:pPr>
          </w:p>
        </w:tc>
        <w:tc>
          <w:tcPr>
            <w:tcW w:w="40" w:type="dxa"/>
            <w:vAlign w:val="bottom"/>
            <w:tcBorders>
              <w:bottom w:val="single" w:sz="8" w:color="auto"/>
            </w:tcBorders>
            <w:shd w:val="clear" w:color="auto" w:fill="DEDEDE"/>
          </w:tcPr>
          <w:p>
            <w:pPr>
              <w:spacing w:after="0"/>
              <w:rPr>
                <w:sz w:val="22"/>
                <w:szCs w:val="22"/>
                <w:color w:val="auto"/>
              </w:rPr>
            </w:pPr>
          </w:p>
        </w:tc>
        <w:tc>
          <w:tcPr>
            <w:tcW w:w="220" w:type="dxa"/>
            <w:vAlign w:val="bottom"/>
            <w:tcBorders>
              <w:bottom w:val="single" w:sz="8" w:color="auto"/>
            </w:tcBorders>
            <w:shd w:val="clear" w:color="auto" w:fill="DEDEDE"/>
          </w:tcPr>
          <w:p>
            <w:pPr>
              <w:spacing w:after="0"/>
              <w:rPr>
                <w:sz w:val="22"/>
                <w:szCs w:val="22"/>
                <w:color w:val="auto"/>
              </w:rPr>
            </w:pP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DEDEDE"/>
            </w:tcBorders>
            <w:shd w:val="clear" w:color="auto" w:fill="DEDEDE"/>
          </w:tcPr>
          <w:p>
            <w:pPr>
              <w:spacing w:after="0"/>
              <w:rPr>
                <w:sz w:val="22"/>
                <w:szCs w:val="22"/>
                <w:color w:val="auto"/>
              </w:rPr>
            </w:pPr>
          </w:p>
        </w:tc>
        <w:tc>
          <w:tcPr>
            <w:tcW w:w="40" w:type="dxa"/>
            <w:vAlign w:val="bottom"/>
            <w:tcBorders>
              <w:bottom w:val="single" w:sz="8" w:color="DEDEDE"/>
            </w:tcBorders>
            <w:shd w:val="clear" w:color="auto" w:fill="DEDEDE"/>
          </w:tcPr>
          <w:p>
            <w:pPr>
              <w:spacing w:after="0"/>
              <w:rPr>
                <w:sz w:val="22"/>
                <w:szCs w:val="22"/>
                <w:color w:val="auto"/>
              </w:rPr>
            </w:pPr>
          </w:p>
        </w:tc>
        <w:tc>
          <w:tcPr>
            <w:tcW w:w="40" w:type="dxa"/>
            <w:vAlign w:val="bottom"/>
            <w:tcBorders>
              <w:bottom w:val="single" w:sz="8" w:color="auto"/>
            </w:tcBorders>
            <w:shd w:val="clear" w:color="auto" w:fill="DEDEDE"/>
          </w:tcPr>
          <w:p>
            <w:pPr>
              <w:spacing w:after="0"/>
              <w:rPr>
                <w:sz w:val="22"/>
                <w:szCs w:val="22"/>
                <w:color w:val="auto"/>
              </w:rPr>
            </w:pPr>
          </w:p>
        </w:tc>
        <w:tc>
          <w:tcPr>
            <w:tcW w:w="220" w:type="dxa"/>
            <w:vAlign w:val="bottom"/>
            <w:tcBorders>
              <w:bottom w:val="single" w:sz="8" w:color="auto"/>
            </w:tcBorders>
            <w:shd w:val="clear" w:color="auto" w:fill="DEDEDE"/>
          </w:tcPr>
          <w:p>
            <w:pPr>
              <w:spacing w:after="0"/>
              <w:rPr>
                <w:sz w:val="22"/>
                <w:szCs w:val="22"/>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DEDEDE"/>
            </w:tcBorders>
            <w:shd w:val="clear" w:color="auto" w:fill="DEDEDE"/>
          </w:tcPr>
          <w:p>
            <w:pPr>
              <w:spacing w:after="0"/>
              <w:rPr>
                <w:sz w:val="22"/>
                <w:szCs w:val="22"/>
                <w:color w:val="auto"/>
              </w:rPr>
            </w:pPr>
          </w:p>
        </w:tc>
        <w:tc>
          <w:tcPr>
            <w:tcW w:w="20" w:type="dxa"/>
            <w:vAlign w:val="bottom"/>
            <w:tcBorders>
              <w:bottom w:val="single" w:sz="8" w:color="DEDEDE"/>
            </w:tcBorders>
            <w:shd w:val="clear" w:color="auto" w:fill="DEDEDE"/>
          </w:tcPr>
          <w:p>
            <w:pPr>
              <w:spacing w:after="0"/>
              <w:rPr>
                <w:sz w:val="22"/>
                <w:szCs w:val="22"/>
                <w:color w:val="auto"/>
              </w:rPr>
            </w:pPr>
          </w:p>
        </w:tc>
      </w:tr>
      <w:tr>
        <w:trPr>
          <w:trHeight w:val="257"/>
        </w:trPr>
        <w:tc>
          <w:tcPr>
            <w:tcW w:w="506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9"/>
                <w:szCs w:val="19"/>
                <w:color w:val="auto"/>
              </w:rPr>
              <w:t>Privately held debt securities included in strategic investments</w:t>
            </w: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14,400</w:t>
            </w:r>
          </w:p>
        </w:tc>
        <w:tc>
          <w:tcPr>
            <w:tcW w:w="20" w:type="dxa"/>
            <w:vAlign w:val="bottom"/>
            <w:tcBorders>
              <w:bottom w:val="single" w:sz="8" w:color="DEDEDE"/>
            </w:tcBorders>
          </w:tcPr>
          <w:p>
            <w:pPr>
              <w:spacing w:after="0"/>
              <w:rPr>
                <w:sz w:val="22"/>
                <w:szCs w:val="22"/>
                <w:color w:val="auto"/>
              </w:rPr>
            </w:pPr>
          </w:p>
        </w:tc>
        <w:tc>
          <w:tcPr>
            <w:tcW w:w="60" w:type="dxa"/>
            <w:vAlign w:val="bottom"/>
            <w:tcBorders>
              <w:bottom w:val="single" w:sz="8" w:color="DEDEDE"/>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DEDEDE"/>
            </w:tcBorders>
          </w:tcPr>
          <w:p>
            <w:pPr>
              <w:spacing w:after="0"/>
              <w:rPr>
                <w:sz w:val="22"/>
                <w:szCs w:val="22"/>
                <w:color w:val="auto"/>
              </w:rPr>
            </w:pPr>
          </w:p>
        </w:tc>
        <w:tc>
          <w:tcPr>
            <w:tcW w:w="40" w:type="dxa"/>
            <w:vAlign w:val="bottom"/>
            <w:tcBorders>
              <w:bottom w:val="single" w:sz="8" w:color="DEDEDE"/>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DEDEDE"/>
            </w:tcBorders>
          </w:tcPr>
          <w:p>
            <w:pPr>
              <w:spacing w:after="0"/>
              <w:rPr>
                <w:sz w:val="22"/>
                <w:szCs w:val="22"/>
                <w:color w:val="auto"/>
              </w:rPr>
            </w:pPr>
          </w:p>
        </w:tc>
        <w:tc>
          <w:tcPr>
            <w:tcW w:w="40" w:type="dxa"/>
            <w:vAlign w:val="bottom"/>
            <w:tcBorders>
              <w:bottom w:val="single" w:sz="8" w:color="DEDEDE"/>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14,400</w:t>
            </w:r>
          </w:p>
        </w:tc>
        <w:tc>
          <w:tcPr>
            <w:tcW w:w="20" w:type="dxa"/>
            <w:vAlign w:val="bottom"/>
            <w:tcBorders>
              <w:bottom w:val="single" w:sz="8" w:color="DEDEDE"/>
            </w:tcBorders>
          </w:tcPr>
          <w:p>
            <w:pPr>
              <w:spacing w:after="0"/>
              <w:rPr>
                <w:sz w:val="22"/>
                <w:szCs w:val="22"/>
                <w:color w:val="auto"/>
              </w:rPr>
            </w:pPr>
          </w:p>
        </w:tc>
        <w:tc>
          <w:tcPr>
            <w:tcW w:w="20" w:type="dxa"/>
            <w:vAlign w:val="bottom"/>
            <w:tcBorders>
              <w:bottom w:val="single" w:sz="8" w:color="DEDEDE"/>
            </w:tcBorders>
          </w:tcPr>
          <w:p>
            <w:pPr>
              <w:spacing w:after="0"/>
              <w:rPr>
                <w:sz w:val="22"/>
                <w:szCs w:val="22"/>
                <w:color w:val="auto"/>
              </w:rPr>
            </w:pPr>
          </w:p>
        </w:tc>
      </w:tr>
      <w:tr>
        <w:trPr>
          <w:trHeight w:val="291"/>
        </w:trPr>
        <w:tc>
          <w:tcPr>
            <w:tcW w:w="506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Total financial assets</w:t>
            </w:r>
          </w:p>
        </w:tc>
        <w:tc>
          <w:tcPr>
            <w:tcW w:w="20" w:type="dxa"/>
            <w:vAlign w:val="bottom"/>
            <w:tcBorders>
              <w:bottom w:val="single" w:sz="8" w:color="auto"/>
            </w:tcBorders>
            <w:shd w:val="clear" w:color="auto" w:fill="DEDEDE"/>
          </w:tcPr>
          <w:p>
            <w:pPr>
              <w:spacing w:after="0"/>
              <w:rPr>
                <w:sz w:val="24"/>
                <w:szCs w:val="24"/>
                <w:color w:val="auto"/>
              </w:rPr>
            </w:pPr>
          </w:p>
        </w:tc>
        <w:tc>
          <w:tcPr>
            <w:tcW w:w="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4,823,054</w:t>
            </w:r>
          </w:p>
        </w:tc>
        <w:tc>
          <w:tcPr>
            <w:tcW w:w="2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gridSpan w:val="2"/>
            <w:shd w:val="clear" w:color="auto" w:fill="DEDEDE"/>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482,546</w:t>
            </w:r>
          </w:p>
        </w:tc>
        <w:tc>
          <w:tcPr>
            <w:tcW w:w="2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gridSpan w:val="2"/>
            <w:shd w:val="clear" w:color="auto" w:fill="DEDEDE"/>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4,326,108</w:t>
            </w:r>
          </w:p>
        </w:tc>
        <w:tc>
          <w:tcPr>
            <w:tcW w:w="2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gridSpan w:val="2"/>
            <w:shd w:val="clear" w:color="auto" w:fill="DEDEDE"/>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14,400</w:t>
            </w:r>
          </w:p>
        </w:tc>
        <w:tc>
          <w:tcPr>
            <w:tcW w:w="2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-3062605</wp:posOffset>
            </wp:positionV>
            <wp:extent cx="3122295" cy="50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extLst>
                    </a:blip>
                    <a:srcRect/>
                    <a:stretch>
                      <a:fillRect/>
                    </a:stretch>
                  </pic:blipFill>
                  <pic:spPr bwMode="auto">
                    <a:xfrm>
                      <a:off x="0" y="0"/>
                      <a:ext cx="3122295" cy="50165"/>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-43180</wp:posOffset>
            </wp:positionV>
            <wp:extent cx="3122295" cy="501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a:extLst>
                        <a:ext uri="{28A0092B-C50C-407E-A947-70E740481C1C}"/>
                      </a:extLst>
                    </a:blip>
                    <a:srcRect/>
                    <a:stretch>
                      <a:fillRect/>
                    </a:stretch>
                  </pic:blipFill>
                  <pic:spPr bwMode="auto">
                    <a:xfrm>
                      <a:off x="0" y="0"/>
                      <a:ext cx="3122295" cy="50165"/>
                    </a:xfrm>
                    <a:prstGeom prst="rect">
                      <a:avLst/>
                    </a:prstGeom>
                    <a:noFill/>
                  </pic:spPr>
                </pic:pic>
              </a:graphicData>
            </a:graphic>
          </wp:anchor>
        </w:drawing>
      </w:r>
    </w:p>
    <w:p>
      <w:pPr>
        <w:spacing w:after="0" w:line="220"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We classify our highly liquid money market funds and publicly held equity securities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 such as the probability weighting of the various scenarios that can impact settlement of the arrangement.</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83</w:t>
      </w:r>
    </w:p>
    <w:p>
      <w:pPr>
        <w:sectPr>
          <w:pgSz w:w="11880" w:h="15480" w:orient="portrait"/>
          <w:cols w:equalWidth="0" w:num="1">
            <w:col w:w="9960"/>
          </w:cols>
          <w:pgMar w:left="960" w:top="815" w:right="960" w:bottom="0" w:gutter="0" w:footer="0" w:header="0"/>
          <w:type w:val="continuous"/>
        </w:sectPr>
      </w:pPr>
    </w:p>
    <w:bookmarkStart w:id="87" w:name="page88"/>
    <w:bookmarkEnd w:id="87"/>
    <w:p>
      <w:pPr>
        <w:ind w:left="520" w:right="7340" w:hanging="519"/>
        <w:spacing w:after="0" w:line="387" w:lineRule="auto"/>
        <w:tabs>
          <w:tab w:leader="none" w:pos="695" w:val="left"/>
        </w:tabs>
        <w:numPr>
          <w:ilvl w:val="0"/>
          <w:numId w:val="3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Business Combinations Solvvy, Inc.</w:t>
      </w:r>
    </w:p>
    <w:p>
      <w:pPr>
        <w:spacing w:after="0" w:line="1"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On May 19, 2022, we acquired 100% of the issued and outstanding share capital of Solvvy, Inc., a private technology company specializing in customer support automation, for an all-cash purchase consideration of $121.2 million. The acquisition adds to our customer service capabilities and enhances our integrated platform by providing conversational AI capabilities. The acquisition has been accounted for as a business combination.</w:t>
      </w:r>
    </w:p>
    <w:p>
      <w:pPr>
        <w:spacing w:after="0" w:line="72"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In allocating the purchase consideration, $95.0 million was attributed to goodwill, $26.7 million to intangible assets (consisting of $12.0 million to developed technology and $14.7 million to customer relationships), and $0.5 million to other net liabilities acquired. The goodwill amount represents synergies related to our existing products expected to be realized from the acquisition and assembled workforce. The associated goodwill is not deductible for tax purposes.</w:t>
      </w:r>
    </w:p>
    <w:p>
      <w:pPr>
        <w:spacing w:after="0" w:line="72" w:lineRule="exact"/>
        <w:rPr>
          <w:sz w:val="20"/>
          <w:szCs w:val="20"/>
          <w:color w:val="auto"/>
        </w:rPr>
      </w:pPr>
    </w:p>
    <w:p>
      <w:pPr>
        <w:jc w:val="both"/>
        <w:ind w:firstLine="524"/>
        <w:spacing w:after="0" w:line="264" w:lineRule="auto"/>
        <w:rPr>
          <w:sz w:val="20"/>
          <w:szCs w:val="20"/>
          <w:color w:val="auto"/>
        </w:rPr>
      </w:pPr>
      <w:r>
        <w:rPr>
          <w:rFonts w:ascii="Times New Roman" w:cs="Times New Roman" w:eastAsia="Times New Roman" w:hAnsi="Times New Roman"/>
          <w:sz w:val="19"/>
          <w:szCs w:val="19"/>
          <w:color w:val="auto"/>
        </w:rPr>
        <w:t>At the date of the acquisition, the developed technology and customer relationships both had an estimated useful life of 5.0 years, and both are amortized using the straight-line method over their respective estimated useful lives. Amortization expense of developed technology is recorded within cost of revenue in the consolidated statements of operations and amortization expense of customer relationships is recorded within sales and marketing in the consolidated statements of operations. As of January 31, 2024, the developed technology and customer relationships both had a remaining useful life of 3.3 years.</w:t>
      </w:r>
    </w:p>
    <w:p>
      <w:pPr>
        <w:spacing w:after="0" w:line="313"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Transaction costs incurred in connection with the acquisition were immaterial. The results of operations of Solvvy, Inc., which are not material, have been included in our consolidated financial statements from the date of the acquisition. Pro forma and historical results of operations of the company have not been presented, as the results do not have a material effect on any of the periods presented in our consolidated statements of operations.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color w:val="auto"/>
        </w:rPr>
        <w:t>Workvivo Limited</w:t>
      </w:r>
    </w:p>
    <w:p>
      <w:pPr>
        <w:spacing w:after="0" w:line="138"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On April 21, 2023, we acquired 100% of the issued and outstanding share capital of Workvivo Limited (“Workvivo”), a private technology company that provides an employee experience platform, for an all-cash purchase consideration of $221.8 million. The acquisition extends our platform and offers our customers new ways to keep employees informed, engaged, and connected. The acquisition has been accounted for as a business combination.</w:t>
      </w:r>
    </w:p>
    <w:p>
      <w:pPr>
        <w:spacing w:after="0" w:line="72"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In allocating the purchase consideration, $184.7 million was attributed to goodwill, $28.0 million to intangible assets (primarily consisting of $10.8 million to developed technology and $17.0 million to customer relationships), and $9.1 million to other net assets acquired. The goodwill amount represents synergies related to our existing products expected to be realized from the acquisition and assembled workforce. The associated goodwill is not deductible for tax purposes.</w:t>
      </w:r>
    </w:p>
    <w:p>
      <w:pPr>
        <w:spacing w:after="0" w:line="72" w:lineRule="exact"/>
        <w:rPr>
          <w:sz w:val="20"/>
          <w:szCs w:val="20"/>
          <w:color w:val="auto"/>
        </w:rPr>
      </w:pPr>
    </w:p>
    <w:p>
      <w:pPr>
        <w:jc w:val="both"/>
        <w:ind w:firstLine="524"/>
        <w:spacing w:after="0" w:line="264" w:lineRule="auto"/>
        <w:rPr>
          <w:sz w:val="20"/>
          <w:szCs w:val="20"/>
          <w:color w:val="auto"/>
        </w:rPr>
      </w:pPr>
      <w:r>
        <w:rPr>
          <w:rFonts w:ascii="Times New Roman" w:cs="Times New Roman" w:eastAsia="Times New Roman" w:hAnsi="Times New Roman"/>
          <w:sz w:val="19"/>
          <w:szCs w:val="19"/>
          <w:color w:val="auto"/>
        </w:rPr>
        <w:t>At the date of the acquisition, the developed technology and customer relationships both had an estimated useful life of 5.0 years, and both are amortized using the straight-line method over their respective estimated useful lives. Amortization expense of developed technology is recorded within cost of revenue in the consolidated statements of operations and amortization expense of customer relationships is recorded within sales and marketing in the consolidated statements of operations. As of January 31, 2024, the developed technology and customer relationships both had a remaining useful life of 4.2 years.</w:t>
      </w:r>
    </w:p>
    <w:p>
      <w:pPr>
        <w:spacing w:after="0" w:line="313"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Transaction costs incurred in connection with the acquisition were immaterial. The results of operations of Workvivo, which are not material, have been included in our consolidated financial statements from the date of the acquisition. Pro forma and historical results of operations of the company have not been presented, as the results do not have a material effect on any of the periods presented in our consolidated statements of operations.</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84</w:t>
      </w:r>
    </w:p>
    <w:p>
      <w:pPr>
        <w:sectPr>
          <w:pgSz w:w="11880" w:h="15480" w:orient="portrait"/>
          <w:cols w:equalWidth="0" w:num="1">
            <w:col w:w="9960"/>
          </w:cols>
          <w:pgMar w:left="960" w:top="815" w:right="960" w:bottom="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6.</w:t>
            </w:r>
          </w:p>
        </w:tc>
        <w:tc>
          <w:tcPr>
            <w:tcW w:w="6660" w:type="dxa"/>
            <w:vAlign w:val="bottom"/>
          </w:tcPr>
          <w:p>
            <w:pPr>
              <w:ind w:left="420"/>
              <w:spacing w:after="0"/>
              <w:rPr>
                <w:sz w:val="20"/>
                <w:szCs w:val="20"/>
                <w:color w:val="auto"/>
              </w:rPr>
            </w:pPr>
            <w:r>
              <w:rPr>
                <w:rFonts w:ascii="Times New Roman" w:cs="Times New Roman" w:eastAsia="Times New Roman" w:hAnsi="Times New Roman"/>
                <w:sz w:val="19"/>
                <w:szCs w:val="19"/>
                <w:b w:val="1"/>
                <w:bCs w:val="1"/>
                <w:color w:val="auto"/>
              </w:rPr>
              <w:t>Balance Sheet Components</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80" w:type="dxa"/>
            <w:vAlign w:val="bottom"/>
          </w:tcPr>
          <w:p>
            <w:pPr>
              <w:spacing w:after="0"/>
              <w:rPr>
                <w:sz w:val="24"/>
                <w:szCs w:val="24"/>
                <w:color w:val="auto"/>
              </w:rPr>
            </w:pPr>
          </w:p>
        </w:tc>
        <w:tc>
          <w:tcPr>
            <w:tcW w:w="6660" w:type="dxa"/>
            <w:vAlign w:val="bottom"/>
          </w:tcPr>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Prepaid Expenses and Other Current Assets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280" w:type="dxa"/>
            <w:vAlign w:val="bottom"/>
          </w:tcPr>
          <w:p>
            <w:pPr>
              <w:spacing w:after="0"/>
              <w:rPr>
                <w:sz w:val="24"/>
                <w:szCs w:val="24"/>
                <w:color w:val="auto"/>
              </w:rPr>
            </w:pPr>
          </w:p>
        </w:tc>
        <w:tc>
          <w:tcPr>
            <w:tcW w:w="6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Prepaid expenses and other current assets consisted of the following:</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2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449"/>
              <w:spacing w:after="0"/>
              <w:rPr>
                <w:sz w:val="20"/>
                <w:szCs w:val="20"/>
                <w:color w:val="auto"/>
              </w:rPr>
            </w:pPr>
            <w:r>
              <w:rPr>
                <w:rFonts w:ascii="Times New Roman" w:cs="Times New Roman" w:eastAsia="Times New Roman" w:hAnsi="Times New Roman"/>
                <w:sz w:val="16"/>
                <w:szCs w:val="16"/>
                <w:b w:val="1"/>
                <w:bCs w:val="1"/>
                <w:color w:val="auto"/>
                <w:w w:val="96"/>
              </w:rPr>
              <w:t>As of January 31,</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8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40" w:type="dxa"/>
            <w:vAlign w:val="bottom"/>
            <w:gridSpan w:val="3"/>
          </w:tcPr>
          <w:p>
            <w:pPr>
              <w:jc w:val="center"/>
              <w:ind w:left="449"/>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940" w:type="dxa"/>
            <w:vAlign w:val="bottom"/>
            <w:gridSpan w:val="2"/>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Prepaid expenses</w:t>
            </w:r>
          </w:p>
        </w:tc>
        <w:tc>
          <w:tcPr>
            <w:tcW w:w="360" w:type="dxa"/>
            <w:vAlign w:val="bottom"/>
            <w:shd w:val="clear" w:color="auto" w:fill="DEDEDE"/>
          </w:tcPr>
          <w:p>
            <w:pPr>
              <w:spacing w:after="0"/>
              <w:rPr>
                <w:sz w:val="24"/>
                <w:szCs w:val="24"/>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188,259</w:t>
            </w:r>
          </w:p>
        </w:tc>
        <w:tc>
          <w:tcPr>
            <w:tcW w:w="80" w:type="dxa"/>
            <w:vAlign w:val="bottom"/>
            <w:shd w:val="clear" w:color="auto" w:fill="DEDEDE"/>
          </w:tcPr>
          <w:p>
            <w:pPr>
              <w:spacing w:after="0"/>
              <w:rPr>
                <w:sz w:val="24"/>
                <w:szCs w:val="24"/>
                <w:color w:val="auto"/>
              </w:rPr>
            </w:pPr>
          </w:p>
        </w:tc>
        <w:tc>
          <w:tcPr>
            <w:tcW w:w="56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123,493</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9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Restricted cash from international employee stock sales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6,874</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6940" w:type="dxa"/>
            <w:vAlign w:val="bottom"/>
            <w:tcBorders>
              <w:bottom w:val="single" w:sz="8" w:color="DEDEDE"/>
            </w:tcBorders>
            <w:gridSpan w:val="2"/>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Other</w:t>
            </w:r>
          </w:p>
        </w:tc>
        <w:tc>
          <w:tcPr>
            <w:tcW w:w="360" w:type="dxa"/>
            <w:vAlign w:val="bottom"/>
            <w:tcBorders>
              <w:bottom w:val="single" w:sz="8" w:color="auto"/>
            </w:tcBorders>
            <w:shd w:val="clear" w:color="auto" w:fill="DEDEDE"/>
          </w:tcPr>
          <w:p>
            <w:pPr>
              <w:spacing w:after="0"/>
              <w:rPr>
                <w:sz w:val="24"/>
                <w:szCs w:val="24"/>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24,049</w:t>
            </w:r>
          </w:p>
        </w:tc>
        <w:tc>
          <w:tcPr>
            <w:tcW w:w="80" w:type="dxa"/>
            <w:vAlign w:val="bottom"/>
            <w:tcBorders>
              <w:bottom w:val="single" w:sz="8" w:color="DEDEDE"/>
            </w:tcBorders>
            <w:shd w:val="clear" w:color="auto" w:fill="DEDEDE"/>
          </w:tcPr>
          <w:p>
            <w:pPr>
              <w:spacing w:after="0"/>
              <w:rPr>
                <w:sz w:val="24"/>
                <w:szCs w:val="24"/>
                <w:color w:val="auto"/>
              </w:rPr>
            </w:pPr>
          </w:p>
        </w:tc>
        <w:tc>
          <w:tcPr>
            <w:tcW w:w="56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26,458</w:t>
            </w:r>
          </w:p>
        </w:tc>
        <w:tc>
          <w:tcPr>
            <w:tcW w:w="20" w:type="dxa"/>
            <w:vAlign w:val="bottom"/>
            <w:tcBorders>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66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Prepaid expenses and other current assets</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219,182</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163,092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60" w:type="dxa"/>
            <w:vAlign w:val="bottom"/>
            <w:vMerge w:val="restart"/>
          </w:tcPr>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Property and Equipment, Net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280" w:type="dxa"/>
            <w:vAlign w:val="bottom"/>
          </w:tcPr>
          <w:p>
            <w:pPr>
              <w:spacing w:after="0"/>
              <w:rPr>
                <w:sz w:val="24"/>
                <w:szCs w:val="24"/>
                <w:color w:val="auto"/>
              </w:rPr>
            </w:pPr>
          </w:p>
        </w:tc>
        <w:tc>
          <w:tcPr>
            <w:tcW w:w="6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80" w:type="dxa"/>
            <w:vAlign w:val="bottom"/>
          </w:tcPr>
          <w:p>
            <w:pPr>
              <w:spacing w:after="0"/>
              <w:rPr>
                <w:sz w:val="24"/>
                <w:szCs w:val="24"/>
                <w:color w:val="auto"/>
              </w:rPr>
            </w:pPr>
          </w:p>
        </w:tc>
        <w:tc>
          <w:tcPr>
            <w:tcW w:w="6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Property and equipment consisted of the following:</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449"/>
              <w:spacing w:after="0"/>
              <w:rPr>
                <w:sz w:val="20"/>
                <w:szCs w:val="20"/>
                <w:color w:val="auto"/>
              </w:rPr>
            </w:pPr>
            <w:r>
              <w:rPr>
                <w:rFonts w:ascii="Times New Roman" w:cs="Times New Roman" w:eastAsia="Times New Roman" w:hAnsi="Times New Roman"/>
                <w:sz w:val="16"/>
                <w:szCs w:val="16"/>
                <w:b w:val="1"/>
                <w:bCs w:val="1"/>
                <w:color w:val="auto"/>
                <w:w w:val="96"/>
              </w:rPr>
              <w:t>As of January 31,</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8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40" w:type="dxa"/>
            <w:vAlign w:val="bottom"/>
            <w:gridSpan w:val="3"/>
          </w:tcPr>
          <w:p>
            <w:pPr>
              <w:jc w:val="center"/>
              <w:ind w:left="449"/>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940" w:type="dxa"/>
            <w:vAlign w:val="bottom"/>
            <w:gridSpan w:val="2"/>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Servers</w:t>
            </w:r>
          </w:p>
        </w:tc>
        <w:tc>
          <w:tcPr>
            <w:tcW w:w="360" w:type="dxa"/>
            <w:vAlign w:val="bottom"/>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340,868</w:t>
            </w:r>
          </w:p>
        </w:tc>
        <w:tc>
          <w:tcPr>
            <w:tcW w:w="640" w:type="dxa"/>
            <w:vAlign w:val="bottom"/>
            <w:gridSpan w:val="2"/>
            <w:shd w:val="clear" w:color="auto" w:fill="DEDEDE"/>
          </w:tcPr>
          <w:p>
            <w:pPr>
              <w:jc w:val="right"/>
              <w:ind w:right="4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249,776</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Computer and office equipment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44,571</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48,325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940" w:type="dxa"/>
            <w:vAlign w:val="bottom"/>
            <w:gridSpan w:val="2"/>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Software</w:t>
            </w:r>
          </w:p>
        </w:tc>
        <w:tc>
          <w:tcPr>
            <w:tcW w:w="360" w:type="dxa"/>
            <w:vAlign w:val="bottom"/>
            <w:shd w:val="clear" w:color="auto" w:fill="DEDEDE"/>
          </w:tcPr>
          <w:p>
            <w:pPr>
              <w:spacing w:after="0"/>
              <w:rPr>
                <w:sz w:val="24"/>
                <w:szCs w:val="24"/>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95,409</w:t>
            </w:r>
          </w:p>
        </w:tc>
        <w:tc>
          <w:tcPr>
            <w:tcW w:w="80" w:type="dxa"/>
            <w:vAlign w:val="bottom"/>
            <w:shd w:val="clear" w:color="auto" w:fill="DEDEDE"/>
          </w:tcPr>
          <w:p>
            <w:pPr>
              <w:spacing w:after="0"/>
              <w:rPr>
                <w:sz w:val="24"/>
                <w:szCs w:val="24"/>
                <w:color w:val="auto"/>
              </w:rPr>
            </w:pPr>
          </w:p>
        </w:tc>
        <w:tc>
          <w:tcPr>
            <w:tcW w:w="56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84,082</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Leasehold improvements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43,981</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6940" w:type="dxa"/>
            <w:vAlign w:val="bottom"/>
            <w:tcBorders>
              <w:bottom w:val="single" w:sz="8" w:color="DEDEDE"/>
            </w:tcBorders>
            <w:gridSpan w:val="2"/>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Furniture and fixtures</w:t>
            </w:r>
          </w:p>
        </w:tc>
        <w:tc>
          <w:tcPr>
            <w:tcW w:w="360" w:type="dxa"/>
            <w:vAlign w:val="bottom"/>
            <w:tcBorders>
              <w:bottom w:val="single" w:sz="8" w:color="auto"/>
            </w:tcBorders>
            <w:shd w:val="clear" w:color="auto" w:fill="DEDEDE"/>
          </w:tcPr>
          <w:p>
            <w:pPr>
              <w:spacing w:after="0"/>
              <w:rPr>
                <w:sz w:val="24"/>
                <w:szCs w:val="24"/>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5,192</w:t>
            </w:r>
          </w:p>
        </w:tc>
        <w:tc>
          <w:tcPr>
            <w:tcW w:w="80" w:type="dxa"/>
            <w:vAlign w:val="bottom"/>
            <w:tcBorders>
              <w:bottom w:val="single" w:sz="8" w:color="DEDEDE"/>
            </w:tcBorders>
            <w:shd w:val="clear" w:color="auto" w:fill="DEDEDE"/>
          </w:tcPr>
          <w:p>
            <w:pPr>
              <w:spacing w:after="0"/>
              <w:rPr>
                <w:sz w:val="24"/>
                <w:szCs w:val="24"/>
                <w:color w:val="auto"/>
              </w:rPr>
            </w:pPr>
          </w:p>
        </w:tc>
        <w:tc>
          <w:tcPr>
            <w:tcW w:w="56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4,372</w:t>
            </w:r>
          </w:p>
        </w:tc>
        <w:tc>
          <w:tcPr>
            <w:tcW w:w="20" w:type="dxa"/>
            <w:vAlign w:val="bottom"/>
            <w:tcBorders>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80" w:type="dxa"/>
            <w:vAlign w:val="bottom"/>
          </w:tcPr>
          <w:p>
            <w:pPr>
              <w:spacing w:after="0"/>
              <w:rPr>
                <w:sz w:val="20"/>
                <w:szCs w:val="20"/>
                <w:color w:val="auto"/>
              </w:rPr>
            </w:pPr>
          </w:p>
        </w:tc>
        <w:tc>
          <w:tcPr>
            <w:tcW w:w="66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Property and equipment, gross</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530,021</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412,503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6940" w:type="dxa"/>
            <w:vAlign w:val="bottom"/>
            <w:tcBorders>
              <w:bottom w:val="single" w:sz="8" w:color="DEDEDE"/>
            </w:tcBorders>
            <w:gridSpan w:val="2"/>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Less: accumulated depreciation and amortization</w:t>
            </w:r>
          </w:p>
        </w:tc>
        <w:tc>
          <w:tcPr>
            <w:tcW w:w="360" w:type="dxa"/>
            <w:vAlign w:val="bottom"/>
            <w:tcBorders>
              <w:bottom w:val="single" w:sz="8" w:color="auto"/>
            </w:tcBorders>
            <w:shd w:val="clear" w:color="auto" w:fill="DEDEDE"/>
          </w:tcPr>
          <w:p>
            <w:pPr>
              <w:spacing w:after="0"/>
              <w:rPr>
                <w:sz w:val="24"/>
                <w:szCs w:val="24"/>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(236,317)</w:t>
            </w:r>
          </w:p>
        </w:tc>
        <w:tc>
          <w:tcPr>
            <w:tcW w:w="80" w:type="dxa"/>
            <w:vAlign w:val="bottom"/>
            <w:tcBorders>
              <w:bottom w:val="single" w:sz="8" w:color="DEDEDE"/>
            </w:tcBorders>
            <w:shd w:val="clear" w:color="auto" w:fill="DEDEDE"/>
          </w:tcPr>
          <w:p>
            <w:pPr>
              <w:spacing w:after="0"/>
              <w:rPr>
                <w:sz w:val="24"/>
                <w:szCs w:val="24"/>
                <w:color w:val="auto"/>
              </w:rPr>
            </w:pPr>
          </w:p>
        </w:tc>
        <w:tc>
          <w:tcPr>
            <w:tcW w:w="56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(159,682)</w:t>
            </w:r>
          </w:p>
        </w:tc>
        <w:tc>
          <w:tcPr>
            <w:tcW w:w="20" w:type="dxa"/>
            <w:vAlign w:val="bottom"/>
            <w:tcBorders>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66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Property and equipment, net</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293,704</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252,821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-2628265</wp:posOffset>
            </wp:positionV>
            <wp:extent cx="1920875" cy="50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a:extLst>
                        <a:ext uri="{28A0092B-C50C-407E-A947-70E740481C1C}"/>
                      </a:extLst>
                    </a:blip>
                    <a:srcRect/>
                    <a:stretch>
                      <a:fillRect/>
                    </a:stretch>
                  </pic:blipFill>
                  <pic:spPr bwMode="auto">
                    <a:xfrm>
                      <a:off x="0" y="0"/>
                      <a:ext cx="1920875" cy="5016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-43180</wp:posOffset>
            </wp:positionV>
            <wp:extent cx="1920875" cy="50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1">
                      <a:extLst>
                        <a:ext uri="{28A0092B-C50C-407E-A947-70E740481C1C}"/>
                      </a:extLst>
                    </a:blip>
                    <a:srcRect/>
                    <a:stretch>
                      <a:fillRect/>
                    </a:stretch>
                  </pic:blipFill>
                  <pic:spPr bwMode="auto">
                    <a:xfrm>
                      <a:off x="0" y="0"/>
                      <a:ext cx="1920875" cy="50165"/>
                    </a:xfrm>
                    <a:prstGeom prst="rect">
                      <a:avLst/>
                    </a:prstGeom>
                    <a:noFill/>
                  </pic:spPr>
                </pic:pic>
              </a:graphicData>
            </a:graphic>
          </wp:anchor>
        </w:drawing>
      </w:r>
    </w:p>
    <w:p>
      <w:pPr>
        <w:spacing w:after="0" w:line="220"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Depreciation and amortization expense was $91.9 million, $77.0 million, and $47.5 million for the fiscal years ended January 31, 2024, 2023, and 2022, respectively.</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85</w:t>
      </w:r>
    </w:p>
    <w:p>
      <w:pPr>
        <w:sectPr>
          <w:pgSz w:w="11880" w:h="15480" w:orient="portrait"/>
          <w:cols w:equalWidth="0" w:num="1">
            <w:col w:w="9960"/>
          </w:cols>
          <w:pgMar w:left="960" w:top="815" w:right="960" w:bottom="0" w:gutter="0" w:footer="0" w:header="0"/>
          <w:type w:val="continuous"/>
        </w:sectPr>
      </w:pPr>
    </w:p>
    <w:bookmarkStart w:id="89" w:name="page90"/>
    <w:bookmarkEnd w:id="89"/>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Other Assets, Noncurrent</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Other assets, noncurrent consisted of the following: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center"/>
              <w:ind w:left="449"/>
              <w:spacing w:after="0"/>
              <w:rPr>
                <w:sz w:val="20"/>
                <w:szCs w:val="20"/>
                <w:color w:val="auto"/>
              </w:rPr>
            </w:pPr>
            <w:r>
              <w:rPr>
                <w:rFonts w:ascii="Times New Roman" w:cs="Times New Roman" w:eastAsia="Times New Roman" w:hAnsi="Times New Roman"/>
                <w:sz w:val="16"/>
                <w:szCs w:val="16"/>
                <w:b w:val="1"/>
                <w:bCs w:val="1"/>
                <w:color w:val="auto"/>
                <w:w w:val="96"/>
              </w:rPr>
              <w:t>As of January 31,</w:t>
            </w: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6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40" w:type="dxa"/>
            <w:vAlign w:val="bottom"/>
            <w:gridSpan w:val="4"/>
          </w:tcPr>
          <w:p>
            <w:pPr>
              <w:jc w:val="center"/>
              <w:ind w:left="449"/>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9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Accounts receivable, noncurrent</w:t>
            </w:r>
          </w:p>
        </w:tc>
        <w:tc>
          <w:tcPr>
            <w:tcW w:w="360" w:type="dxa"/>
            <w:vAlign w:val="bottom"/>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26,099</w:t>
            </w:r>
          </w:p>
        </w:tc>
        <w:tc>
          <w:tcPr>
            <w:tcW w:w="640" w:type="dxa"/>
            <w:vAlign w:val="bottom"/>
            <w:gridSpan w:val="3"/>
            <w:shd w:val="clear" w:color="auto" w:fill="DEDEDE"/>
          </w:tcPr>
          <w:p>
            <w:pPr>
              <w:jc w:val="right"/>
              <w:ind w:right="4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92,031</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Prepaid expense, noncurrent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23,351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9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Indefinite-lived intangible assets</w:t>
            </w:r>
          </w:p>
        </w:tc>
        <w:tc>
          <w:tcPr>
            <w:tcW w:w="360" w:type="dxa"/>
            <w:vAlign w:val="bottom"/>
            <w:shd w:val="clear" w:color="auto" w:fill="DEDEDE"/>
          </w:tcPr>
          <w:p>
            <w:pPr>
              <w:spacing w:after="0"/>
              <w:rPr>
                <w:sz w:val="24"/>
                <w:szCs w:val="24"/>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25,239</w:t>
            </w: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54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25,239</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Intangible assets subject to amortization, net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46,935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31,420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694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Other</w:t>
            </w:r>
          </w:p>
        </w:tc>
        <w:tc>
          <w:tcPr>
            <w:tcW w:w="360" w:type="dxa"/>
            <w:vAlign w:val="bottom"/>
            <w:tcBorders>
              <w:bottom w:val="single" w:sz="8" w:color="auto"/>
            </w:tcBorders>
            <w:shd w:val="clear" w:color="auto" w:fill="DEDEDE"/>
          </w:tcPr>
          <w:p>
            <w:pPr>
              <w:spacing w:after="0"/>
              <w:rPr>
                <w:sz w:val="24"/>
                <w:szCs w:val="24"/>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11,853</w:t>
            </w:r>
          </w:p>
        </w:tc>
        <w:tc>
          <w:tcPr>
            <w:tcW w:w="8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auto"/>
            </w:tcBorders>
            <w:shd w:val="clear" w:color="auto" w:fill="DEDEDE"/>
          </w:tcPr>
          <w:p>
            <w:pPr>
              <w:spacing w:after="0"/>
              <w:rPr>
                <w:sz w:val="24"/>
                <w:szCs w:val="24"/>
                <w:color w:val="auto"/>
              </w:rPr>
            </w:pPr>
          </w:p>
        </w:tc>
        <w:tc>
          <w:tcPr>
            <w:tcW w:w="54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19,489</w:t>
            </w:r>
          </w:p>
        </w:tc>
        <w:tc>
          <w:tcPr>
            <w:tcW w:w="20" w:type="dxa"/>
            <w:vAlign w:val="bottom"/>
            <w:tcBorders>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9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Other assets, noncurrent</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133,477</w:t>
            </w:r>
          </w:p>
        </w:tc>
        <w:tc>
          <w:tcPr>
            <w:tcW w:w="640" w:type="dxa"/>
            <w:vAlign w:val="bottom"/>
            <w:gridSpan w:val="3"/>
          </w:tcPr>
          <w:p>
            <w:pPr>
              <w:jc w:val="right"/>
              <w:ind w:right="4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177,874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Accrued Expenses and Other Current Liabilities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6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94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Accrued expenses and other current liabilities consisted of the following:</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9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left="449"/>
              <w:spacing w:after="0"/>
              <w:rPr>
                <w:sz w:val="20"/>
                <w:szCs w:val="20"/>
                <w:color w:val="auto"/>
              </w:rPr>
            </w:pPr>
            <w:r>
              <w:rPr>
                <w:rFonts w:ascii="Times New Roman" w:cs="Times New Roman" w:eastAsia="Times New Roman" w:hAnsi="Times New Roman"/>
                <w:sz w:val="16"/>
                <w:szCs w:val="16"/>
                <w:b w:val="1"/>
                <w:bCs w:val="1"/>
                <w:color w:val="auto"/>
                <w:w w:val="96"/>
              </w:rPr>
              <w:t>As of January 31,</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6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40" w:type="dxa"/>
            <w:vAlign w:val="bottom"/>
            <w:gridSpan w:val="4"/>
          </w:tcPr>
          <w:p>
            <w:pPr>
              <w:jc w:val="center"/>
              <w:ind w:left="449"/>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69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Accrued expenses</w:t>
            </w:r>
          </w:p>
        </w:tc>
        <w:tc>
          <w:tcPr>
            <w:tcW w:w="360" w:type="dxa"/>
            <w:vAlign w:val="bottom"/>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173,993</w:t>
            </w:r>
          </w:p>
        </w:tc>
        <w:tc>
          <w:tcPr>
            <w:tcW w:w="640" w:type="dxa"/>
            <w:vAlign w:val="bottom"/>
            <w:gridSpan w:val="3"/>
            <w:shd w:val="clear" w:color="auto" w:fill="DEDEDE"/>
          </w:tcPr>
          <w:p>
            <w:pPr>
              <w:jc w:val="right"/>
              <w:ind w:right="4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160,189</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Accrued compensation and benefits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185,128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139,105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9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Income tax liabilities</w:t>
            </w:r>
          </w:p>
        </w:tc>
        <w:tc>
          <w:tcPr>
            <w:tcW w:w="360" w:type="dxa"/>
            <w:vAlign w:val="bottom"/>
            <w:shd w:val="clear" w:color="auto" w:fill="DEDEDE"/>
          </w:tcPr>
          <w:p>
            <w:pPr>
              <w:spacing w:after="0"/>
              <w:rPr>
                <w:sz w:val="24"/>
                <w:szCs w:val="24"/>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21,880</w:t>
            </w: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54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46,441</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Sales and other non-income tax liabilities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35,460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33,859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9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Customer deposit liabilities</w:t>
            </w:r>
          </w:p>
        </w:tc>
        <w:tc>
          <w:tcPr>
            <w:tcW w:w="360" w:type="dxa"/>
            <w:vAlign w:val="bottom"/>
            <w:shd w:val="clear" w:color="auto" w:fill="DEDEDE"/>
          </w:tcPr>
          <w:p>
            <w:pPr>
              <w:spacing w:after="0"/>
              <w:rPr>
                <w:sz w:val="24"/>
                <w:szCs w:val="24"/>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40,142</w:t>
            </w: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54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33,640</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Operating lease liabilities, current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24,645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22,790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694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Other</w:t>
            </w:r>
          </w:p>
        </w:tc>
        <w:tc>
          <w:tcPr>
            <w:tcW w:w="360" w:type="dxa"/>
            <w:vAlign w:val="bottom"/>
            <w:tcBorders>
              <w:bottom w:val="single" w:sz="8" w:color="auto"/>
            </w:tcBorders>
            <w:shd w:val="clear" w:color="auto" w:fill="DEDEDE"/>
          </w:tcPr>
          <w:p>
            <w:pPr>
              <w:spacing w:after="0"/>
              <w:rPr>
                <w:sz w:val="24"/>
                <w:szCs w:val="24"/>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18,916</w:t>
            </w:r>
          </w:p>
        </w:tc>
        <w:tc>
          <w:tcPr>
            <w:tcW w:w="8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auto"/>
            </w:tcBorders>
            <w:shd w:val="clear" w:color="auto" w:fill="DEDEDE"/>
          </w:tcPr>
          <w:p>
            <w:pPr>
              <w:spacing w:after="0"/>
              <w:rPr>
                <w:sz w:val="24"/>
                <w:szCs w:val="24"/>
                <w:color w:val="auto"/>
              </w:rPr>
            </w:pPr>
          </w:p>
        </w:tc>
        <w:tc>
          <w:tcPr>
            <w:tcW w:w="54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21,692</w:t>
            </w:r>
          </w:p>
        </w:tc>
        <w:tc>
          <w:tcPr>
            <w:tcW w:w="20" w:type="dxa"/>
            <w:vAlign w:val="bottom"/>
            <w:tcBorders>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9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Accrued expenses and other current liabilities</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500,164</w:t>
            </w:r>
          </w:p>
        </w:tc>
        <w:tc>
          <w:tcPr>
            <w:tcW w:w="640" w:type="dxa"/>
            <w:vAlign w:val="bottom"/>
            <w:gridSpan w:val="3"/>
          </w:tcPr>
          <w:p>
            <w:pPr>
              <w:jc w:val="right"/>
              <w:ind w:right="4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457,716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Other Liabilities, Noncurrent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6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94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Other liabilities, noncurrent consisted of the following:</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9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left="449"/>
              <w:spacing w:after="0"/>
              <w:rPr>
                <w:sz w:val="20"/>
                <w:szCs w:val="20"/>
                <w:color w:val="auto"/>
              </w:rPr>
            </w:pPr>
            <w:r>
              <w:rPr>
                <w:rFonts w:ascii="Times New Roman" w:cs="Times New Roman" w:eastAsia="Times New Roman" w:hAnsi="Times New Roman"/>
                <w:sz w:val="16"/>
                <w:szCs w:val="16"/>
                <w:b w:val="1"/>
                <w:bCs w:val="1"/>
                <w:color w:val="auto"/>
                <w:w w:val="96"/>
              </w:rPr>
              <w:t>As of January 31,</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6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4"/>
          </w:tcPr>
          <w:p>
            <w:pPr>
              <w:jc w:val="center"/>
              <w:ind w:left="449"/>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9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Sales and other non-income tax liabilities</w:t>
            </w:r>
          </w:p>
        </w:tc>
        <w:tc>
          <w:tcPr>
            <w:tcW w:w="360" w:type="dxa"/>
            <w:vAlign w:val="bottom"/>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42,254</w:t>
            </w:r>
          </w:p>
        </w:tc>
        <w:tc>
          <w:tcPr>
            <w:tcW w:w="640" w:type="dxa"/>
            <w:vAlign w:val="bottom"/>
            <w:gridSpan w:val="3"/>
            <w:shd w:val="clear" w:color="auto" w:fill="DEDEDE"/>
          </w:tcPr>
          <w:p>
            <w:pPr>
              <w:jc w:val="right"/>
              <w:ind w:right="4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42,321</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Uncertain tax position liabilities</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33,864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23,140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94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Other</w:t>
            </w:r>
          </w:p>
        </w:tc>
        <w:tc>
          <w:tcPr>
            <w:tcW w:w="360" w:type="dxa"/>
            <w:vAlign w:val="bottom"/>
            <w:tcBorders>
              <w:bottom w:val="single" w:sz="8" w:color="auto"/>
            </w:tcBorders>
            <w:shd w:val="clear" w:color="auto" w:fill="DEDEDE"/>
          </w:tcPr>
          <w:p>
            <w:pPr>
              <w:spacing w:after="0"/>
              <w:rPr>
                <w:sz w:val="24"/>
                <w:szCs w:val="24"/>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5,260</w:t>
            </w:r>
          </w:p>
        </w:tc>
        <w:tc>
          <w:tcPr>
            <w:tcW w:w="8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54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1,734</w:t>
            </w:r>
          </w:p>
        </w:tc>
        <w:tc>
          <w:tcPr>
            <w:tcW w:w="20" w:type="dxa"/>
            <w:vAlign w:val="bottom"/>
            <w:tcBorders>
              <w:bottom w:val="single" w:sz="8" w:color="auto"/>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9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Other liabilities, noncurrent</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81,378</w:t>
            </w:r>
          </w:p>
        </w:tc>
        <w:tc>
          <w:tcPr>
            <w:tcW w:w="640" w:type="dxa"/>
            <w:vAlign w:val="bottom"/>
            <w:gridSpan w:val="3"/>
          </w:tcPr>
          <w:p>
            <w:pPr>
              <w:jc w:val="right"/>
              <w:ind w:right="4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67,195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-4612640</wp:posOffset>
            </wp:positionV>
            <wp:extent cx="1920875" cy="50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
                      <a:extLst>
                        <a:ext uri="{28A0092B-C50C-407E-A947-70E740481C1C}"/>
                      </a:extLst>
                    </a:blip>
                    <a:srcRect/>
                    <a:stretch>
                      <a:fillRect/>
                    </a:stretch>
                  </pic:blipFill>
                  <pic:spPr bwMode="auto">
                    <a:xfrm>
                      <a:off x="0" y="0"/>
                      <a:ext cx="1920875" cy="5016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-1944370</wp:posOffset>
            </wp:positionV>
            <wp:extent cx="1920875" cy="50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a:extLst>
                        <a:ext uri="{28A0092B-C50C-407E-A947-70E740481C1C}"/>
                      </a:extLst>
                    </a:blip>
                    <a:srcRect/>
                    <a:stretch>
                      <a:fillRect/>
                    </a:stretch>
                  </pic:blipFill>
                  <pic:spPr bwMode="auto">
                    <a:xfrm>
                      <a:off x="0" y="0"/>
                      <a:ext cx="1920875" cy="5016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-43180</wp:posOffset>
            </wp:positionV>
            <wp:extent cx="1920875" cy="501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a:extLst>
                        <a:ext uri="{28A0092B-C50C-407E-A947-70E740481C1C}"/>
                      </a:extLst>
                    </a:blip>
                    <a:srcRect/>
                    <a:stretch>
                      <a:fillRect/>
                    </a:stretch>
                  </pic:blipFill>
                  <pic:spPr bwMode="auto">
                    <a:xfrm>
                      <a:off x="0" y="0"/>
                      <a:ext cx="1920875" cy="5016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700" w:hanging="699"/>
        <w:spacing w:after="0"/>
        <w:tabs>
          <w:tab w:leader="none" w:pos="700" w:val="left"/>
        </w:tabs>
        <w:numPr>
          <w:ilvl w:val="0"/>
          <w:numId w:val="3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Operating Leases</w:t>
      </w:r>
    </w:p>
    <w:p>
      <w:pPr>
        <w:spacing w:after="0" w:line="138"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 xml:space="preserve">We have entered into various operating lease agreements for office space, with remaining contractual periods of up to five years. We also enter into equipment operating lease agreements related to our Hardware-as-a-Service (“HaaS”) offering. We elect to apply the lessor practical expedient per ASC 842 and account for HaaS with customers as a combined performance obligation with the right to access our unified communications and collaboration platform under ASC 606, </w:t>
      </w:r>
      <w:r>
        <w:rPr>
          <w:rFonts w:ascii="Times New Roman" w:cs="Times New Roman" w:eastAsia="Times New Roman" w:hAnsi="Times New Roman"/>
          <w:sz w:val="19"/>
          <w:szCs w:val="19"/>
          <w:b w:val="1"/>
          <w:bCs w:val="1"/>
          <w:i w:val="1"/>
          <w:iCs w:val="1"/>
          <w:color w:val="auto"/>
        </w:rPr>
        <w:t>Revenue from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Contracts with Customers</w:t>
      </w:r>
      <w:r>
        <w:rPr>
          <w:rFonts w:ascii="Times New Roman" w:cs="Times New Roman" w:eastAsia="Times New Roman" w:hAnsi="Times New Roman"/>
          <w:sz w:val="19"/>
          <w:szCs w:val="19"/>
          <w:color w:val="auto"/>
        </w:rPr>
        <w:t>. HaaS was immaterial to our consolidated financial statements. Many of our leases contain one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more options to extend. As leases approach maturity, we consider various factors such as market conditions and the terms of any renewal options that may exist to determine whether we are reasonably certain to exercise the options to extend the lease. Operating lease expense for the fiscal years ended January 31, 2024, 2023 and 2022 was $24.9 million, $32.7 million and $22.8 million, respectively, excluding short-term lease costs, variable lease costs, and sublease income, each of which was immaterial for the fiscal years ended January 31, 2024, 2023 and 2022.</w:t>
      </w:r>
    </w:p>
    <w:p>
      <w:pPr>
        <w:sectPr>
          <w:pgSz w:w="11880" w:h="15480" w:orient="portrait"/>
          <w:cols w:equalWidth="0" w:num="1">
            <w:col w:w="9960"/>
          </w:cols>
          <w:pgMar w:left="960" w:top="813" w:right="96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86</w:t>
      </w:r>
    </w:p>
    <w:p>
      <w:pPr>
        <w:sectPr>
          <w:pgSz w:w="11880" w:h="15480" w:orient="portrait"/>
          <w:cols w:equalWidth="0" w:num="1">
            <w:col w:w="9960"/>
          </w:cols>
          <w:pgMar w:left="960" w:top="813" w:right="960" w:bottom="0" w:gutter="0" w:footer="0" w:header="0"/>
          <w:type w:val="continuous"/>
        </w:sectPr>
      </w:pPr>
    </w:p>
    <w:bookmarkStart w:id="90" w:name="page91"/>
    <w:bookmarkEnd w:id="90"/>
    <w:p>
      <w:pPr>
        <w:ind w:left="520"/>
        <w:spacing w:after="0"/>
        <w:rPr>
          <w:sz w:val="20"/>
          <w:szCs w:val="20"/>
          <w:color w:val="auto"/>
        </w:rPr>
      </w:pPr>
      <w:r>
        <w:rPr>
          <w:rFonts w:ascii="Times New Roman" w:cs="Times New Roman" w:eastAsia="Times New Roman" w:hAnsi="Times New Roman"/>
          <w:sz w:val="19"/>
          <w:szCs w:val="19"/>
          <w:color w:val="auto"/>
        </w:rPr>
        <w:t>Supplemental balance sheet information related to operating leases was as follows: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As of January 31,</w:t>
            </w:r>
          </w:p>
        </w:tc>
        <w:tc>
          <w:tcPr>
            <w:tcW w:w="900" w:type="dxa"/>
            <w:vAlign w:val="bottom"/>
            <w:tcBorders>
              <w:bottom w:val="single" w:sz="8" w:color="auto"/>
            </w:tcBorders>
          </w:tcPr>
          <w:p>
            <w:pPr>
              <w:spacing w:after="0"/>
              <w:rPr>
                <w:sz w:val="18"/>
                <w:szCs w:val="18"/>
                <w:color w:val="auto"/>
              </w:rPr>
            </w:pPr>
          </w:p>
        </w:tc>
      </w:tr>
      <w:tr>
        <w:trPr>
          <w:trHeight w:val="213"/>
        </w:trPr>
        <w:tc>
          <w:tcPr>
            <w:tcW w:w="7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6"/>
                <w:szCs w:val="16"/>
                <w:b w:val="1"/>
                <w:bCs w:val="1"/>
                <w:color w:val="auto"/>
                <w:w w:val="93"/>
              </w:rPr>
              <w:t>2023</w:t>
            </w:r>
          </w:p>
        </w:tc>
      </w:tr>
      <w:tr>
        <w:trPr>
          <w:trHeight w:val="215"/>
        </w:trPr>
        <w:tc>
          <w:tcPr>
            <w:tcW w:w="7020" w:type="dxa"/>
            <w:vAlign w:val="bottom"/>
          </w:tcPr>
          <w:p>
            <w:pPr>
              <w:spacing w:after="0"/>
              <w:rPr>
                <w:sz w:val="18"/>
                <w:szCs w:val="18"/>
                <w:color w:val="auto"/>
              </w:rPr>
            </w:pPr>
          </w:p>
        </w:tc>
        <w:tc>
          <w:tcPr>
            <w:tcW w:w="3000" w:type="dxa"/>
            <w:vAlign w:val="bottom"/>
            <w:gridSpan w:val="5"/>
          </w:tcPr>
          <w:p>
            <w:pPr>
              <w:jc w:val="right"/>
              <w:ind w:right="6"/>
              <w:spacing w:after="0"/>
              <w:rPr>
                <w:sz w:val="20"/>
                <w:szCs w:val="20"/>
                <w:color w:val="auto"/>
              </w:rPr>
            </w:pPr>
            <w:r>
              <w:rPr>
                <w:rFonts w:ascii="Times New Roman" w:cs="Times New Roman" w:eastAsia="Times New Roman" w:hAnsi="Times New Roman"/>
                <w:sz w:val="16"/>
                <w:szCs w:val="16"/>
                <w:b w:val="1"/>
                <w:bCs w:val="1"/>
                <w:color w:val="auto"/>
                <w:w w:val="99"/>
              </w:rPr>
              <w:t>(in thousands, except life and percentages)</w:t>
            </w:r>
          </w:p>
        </w:tc>
      </w:tr>
      <w:tr>
        <w:trPr>
          <w:trHeight w:val="285"/>
        </w:trPr>
        <w:tc>
          <w:tcPr>
            <w:tcW w:w="702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Reported as:</w:t>
            </w:r>
          </w:p>
        </w:tc>
        <w:tc>
          <w:tcPr>
            <w:tcW w:w="360" w:type="dxa"/>
            <w:vAlign w:val="bottom"/>
            <w:shd w:val="clear" w:color="auto" w:fill="DEDEDE"/>
          </w:tcPr>
          <w:p>
            <w:pPr>
              <w:spacing w:after="0"/>
              <w:rPr>
                <w:sz w:val="24"/>
                <w:szCs w:val="24"/>
                <w:color w:val="auto"/>
              </w:rPr>
            </w:pPr>
          </w:p>
        </w:tc>
        <w:tc>
          <w:tcPr>
            <w:tcW w:w="11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8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r>
      <w:tr>
        <w:trPr>
          <w:trHeight w:val="270"/>
        </w:trPr>
        <w:tc>
          <w:tcPr>
            <w:tcW w:w="70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Assets:</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92"/>
        </w:trPr>
        <w:tc>
          <w:tcPr>
            <w:tcW w:w="702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9"/>
                <w:szCs w:val="19"/>
                <w:color w:val="auto"/>
              </w:rPr>
              <w:t>Operating lease right-of-use assets</w:t>
            </w:r>
          </w:p>
        </w:tc>
        <w:tc>
          <w:tcPr>
            <w:tcW w:w="360" w:type="dxa"/>
            <w:vAlign w:val="bottom"/>
            <w:shd w:val="clear" w:color="auto" w:fill="DEDEDE"/>
          </w:tcPr>
          <w:p>
            <w:pPr>
              <w:jc w:val="right"/>
              <w:ind w:right="128"/>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DEDEDE"/>
          </w:tcPr>
          <w:p>
            <w:pPr>
              <w:jc w:val="right"/>
              <w:ind w:right="148"/>
              <w:spacing w:after="0"/>
              <w:rPr>
                <w:sz w:val="20"/>
                <w:szCs w:val="20"/>
                <w:color w:val="auto"/>
              </w:rPr>
            </w:pPr>
            <w:r>
              <w:rPr>
                <w:rFonts w:ascii="Times New Roman" w:cs="Times New Roman" w:eastAsia="Times New Roman" w:hAnsi="Times New Roman"/>
                <w:sz w:val="19"/>
                <w:szCs w:val="19"/>
                <w:color w:val="auto"/>
              </w:rPr>
              <w:t>58,975</w:t>
            </w:r>
          </w:p>
        </w:tc>
        <w:tc>
          <w:tcPr>
            <w:tcW w:w="640" w:type="dxa"/>
            <w:vAlign w:val="bottom"/>
            <w:gridSpan w:val="2"/>
            <w:shd w:val="clear" w:color="auto" w:fill="DEDEDE"/>
          </w:tcPr>
          <w:p>
            <w:pPr>
              <w:jc w:val="right"/>
              <w:ind w:right="4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EDEDE"/>
          </w:tcPr>
          <w:p>
            <w:pPr>
              <w:jc w:val="right"/>
              <w:ind w:right="146"/>
              <w:spacing w:after="0"/>
              <w:rPr>
                <w:sz w:val="20"/>
                <w:szCs w:val="20"/>
                <w:color w:val="auto"/>
              </w:rPr>
            </w:pPr>
            <w:r>
              <w:rPr>
                <w:rFonts w:ascii="Times New Roman" w:cs="Times New Roman" w:eastAsia="Times New Roman" w:hAnsi="Times New Roman"/>
                <w:sz w:val="19"/>
                <w:szCs w:val="19"/>
                <w:color w:val="auto"/>
              </w:rPr>
              <w:t>80,906</w:t>
            </w:r>
          </w:p>
        </w:tc>
      </w:tr>
      <w:tr>
        <w:trPr>
          <w:trHeight w:val="241"/>
        </w:trPr>
        <w:tc>
          <w:tcPr>
            <w:tcW w:w="7020" w:type="dxa"/>
            <w:vAlign w:val="bottom"/>
            <w:tcBorders>
              <w:top w:val="single" w:sz="8" w:color="DEDEDE"/>
            </w:tcBorders>
          </w:tcPr>
          <w:p>
            <w:pPr>
              <w:ind w:left="60"/>
              <w:spacing w:after="0"/>
              <w:rPr>
                <w:sz w:val="20"/>
                <w:szCs w:val="20"/>
                <w:color w:val="auto"/>
              </w:rPr>
            </w:pPr>
            <w:r>
              <w:rPr>
                <w:rFonts w:ascii="Times New Roman" w:cs="Times New Roman" w:eastAsia="Times New Roman" w:hAnsi="Times New Roman"/>
                <w:sz w:val="19"/>
                <w:szCs w:val="19"/>
                <w:color w:val="auto"/>
              </w:rPr>
              <w:t>Liabilities: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0" w:type="dxa"/>
            <w:vAlign w:val="bottom"/>
            <w:tcBorders>
              <w:top w:val="single" w:sz="8" w:color="DEDEDE"/>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83"/>
        </w:trPr>
        <w:tc>
          <w:tcPr>
            <w:tcW w:w="702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9"/>
                <w:szCs w:val="19"/>
                <w:color w:val="auto"/>
              </w:rPr>
              <w:t>Accrued expenses and other current liabilities</w:t>
            </w:r>
          </w:p>
        </w:tc>
        <w:tc>
          <w:tcPr>
            <w:tcW w:w="360" w:type="dxa"/>
            <w:vAlign w:val="bottom"/>
            <w:shd w:val="clear" w:color="auto" w:fill="DEDEDE"/>
          </w:tcPr>
          <w:p>
            <w:pPr>
              <w:jc w:val="right"/>
              <w:ind w:right="128"/>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DEDEDE"/>
          </w:tcPr>
          <w:p>
            <w:pPr>
              <w:jc w:val="right"/>
              <w:ind w:right="148"/>
              <w:spacing w:after="0"/>
              <w:rPr>
                <w:sz w:val="20"/>
                <w:szCs w:val="20"/>
                <w:color w:val="auto"/>
              </w:rPr>
            </w:pPr>
            <w:r>
              <w:rPr>
                <w:rFonts w:ascii="Times New Roman" w:cs="Times New Roman" w:eastAsia="Times New Roman" w:hAnsi="Times New Roman"/>
                <w:sz w:val="19"/>
                <w:szCs w:val="19"/>
                <w:color w:val="auto"/>
              </w:rPr>
              <w:t>24,645</w:t>
            </w:r>
          </w:p>
        </w:tc>
        <w:tc>
          <w:tcPr>
            <w:tcW w:w="640" w:type="dxa"/>
            <w:vAlign w:val="bottom"/>
            <w:gridSpan w:val="2"/>
            <w:shd w:val="clear" w:color="auto" w:fill="DEDEDE"/>
          </w:tcPr>
          <w:p>
            <w:pPr>
              <w:jc w:val="right"/>
              <w:ind w:right="4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EDEDE"/>
          </w:tcPr>
          <w:p>
            <w:pPr>
              <w:jc w:val="right"/>
              <w:ind w:right="146"/>
              <w:spacing w:after="0"/>
              <w:rPr>
                <w:sz w:val="20"/>
                <w:szCs w:val="20"/>
                <w:color w:val="auto"/>
              </w:rPr>
            </w:pPr>
            <w:r>
              <w:rPr>
                <w:rFonts w:ascii="Times New Roman" w:cs="Times New Roman" w:eastAsia="Times New Roman" w:hAnsi="Times New Roman"/>
                <w:sz w:val="19"/>
                <w:szCs w:val="19"/>
                <w:color w:val="auto"/>
              </w:rPr>
              <w:t>22,790</w:t>
            </w:r>
          </w:p>
        </w:tc>
      </w:tr>
      <w:tr>
        <w:trPr>
          <w:trHeight w:val="266"/>
        </w:trPr>
        <w:tc>
          <w:tcPr>
            <w:tcW w:w="7020" w:type="dxa"/>
            <w:vAlign w:val="bottom"/>
            <w:tcBorders>
              <w:bottom w:val="single" w:sz="8" w:color="DEDEDE"/>
            </w:tcBorders>
          </w:tcPr>
          <w:p>
            <w:pPr>
              <w:ind w:left="280"/>
              <w:spacing w:after="0"/>
              <w:rPr>
                <w:sz w:val="20"/>
                <w:szCs w:val="20"/>
                <w:color w:val="auto"/>
              </w:rPr>
            </w:pPr>
            <w:r>
              <w:rPr>
                <w:rFonts w:ascii="Times New Roman" w:cs="Times New Roman" w:eastAsia="Times New Roman" w:hAnsi="Times New Roman"/>
                <w:sz w:val="19"/>
                <w:szCs w:val="19"/>
                <w:color w:val="auto"/>
              </w:rPr>
              <w:t>Operating lease liabilities, noncurrent</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9"/>
                <w:szCs w:val="19"/>
                <w:color w:val="auto"/>
              </w:rPr>
              <w:t>48,308</w:t>
            </w:r>
          </w:p>
        </w:tc>
        <w:tc>
          <w:tcPr>
            <w:tcW w:w="60" w:type="dxa"/>
            <w:vAlign w:val="bottom"/>
            <w:tcBorders>
              <w:bottom w:val="single" w:sz="8" w:color="DEDEDE"/>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9"/>
                <w:szCs w:val="19"/>
                <w:color w:val="auto"/>
              </w:rPr>
              <w:t>73,687</w:t>
            </w:r>
          </w:p>
        </w:tc>
      </w:tr>
      <w:tr>
        <w:trPr>
          <w:trHeight w:val="276"/>
        </w:trPr>
        <w:tc>
          <w:tcPr>
            <w:tcW w:w="7020" w:type="dxa"/>
            <w:vAlign w:val="bottom"/>
            <w:shd w:val="clear" w:color="auto" w:fill="DEDEDE"/>
          </w:tcPr>
          <w:p>
            <w:pPr>
              <w:ind w:left="540"/>
              <w:spacing w:after="0"/>
              <w:rPr>
                <w:sz w:val="20"/>
                <w:szCs w:val="20"/>
                <w:color w:val="auto"/>
              </w:rPr>
            </w:pPr>
            <w:r>
              <w:rPr>
                <w:rFonts w:ascii="Times New Roman" w:cs="Times New Roman" w:eastAsia="Times New Roman" w:hAnsi="Times New Roman"/>
                <w:sz w:val="19"/>
                <w:szCs w:val="19"/>
                <w:color w:val="auto"/>
              </w:rPr>
              <w:t>Total operating lease liabilities</w:t>
            </w:r>
          </w:p>
        </w:tc>
        <w:tc>
          <w:tcPr>
            <w:tcW w:w="360" w:type="dxa"/>
            <w:vAlign w:val="bottom"/>
            <w:shd w:val="clear" w:color="auto" w:fill="DEDEDE"/>
          </w:tcPr>
          <w:p>
            <w:pPr>
              <w:jc w:val="right"/>
              <w:ind w:right="128"/>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DEDEDE"/>
          </w:tcPr>
          <w:p>
            <w:pPr>
              <w:jc w:val="right"/>
              <w:ind w:right="148"/>
              <w:spacing w:after="0"/>
              <w:rPr>
                <w:sz w:val="20"/>
                <w:szCs w:val="20"/>
                <w:color w:val="auto"/>
              </w:rPr>
            </w:pPr>
            <w:r>
              <w:rPr>
                <w:rFonts w:ascii="Times New Roman" w:cs="Times New Roman" w:eastAsia="Times New Roman" w:hAnsi="Times New Roman"/>
                <w:sz w:val="19"/>
                <w:szCs w:val="19"/>
                <w:color w:val="auto"/>
              </w:rPr>
              <w:t>72,953</w:t>
            </w:r>
          </w:p>
        </w:tc>
        <w:tc>
          <w:tcPr>
            <w:tcW w:w="640" w:type="dxa"/>
            <w:vAlign w:val="bottom"/>
            <w:gridSpan w:val="2"/>
            <w:shd w:val="clear" w:color="auto" w:fill="DEDEDE"/>
          </w:tcPr>
          <w:p>
            <w:pPr>
              <w:jc w:val="right"/>
              <w:ind w:right="4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EDEDE"/>
          </w:tcPr>
          <w:p>
            <w:pPr>
              <w:jc w:val="right"/>
              <w:ind w:right="146"/>
              <w:spacing w:after="0"/>
              <w:rPr>
                <w:sz w:val="20"/>
                <w:szCs w:val="20"/>
                <w:color w:val="auto"/>
              </w:rPr>
            </w:pPr>
            <w:r>
              <w:rPr>
                <w:rFonts w:ascii="Times New Roman" w:cs="Times New Roman" w:eastAsia="Times New Roman" w:hAnsi="Times New Roman"/>
                <w:sz w:val="19"/>
                <w:szCs w:val="19"/>
                <w:color w:val="auto"/>
              </w:rPr>
              <w:t>96,477</w:t>
            </w:r>
          </w:p>
        </w:tc>
      </w:tr>
      <w:tr>
        <w:trPr>
          <w:trHeight w:val="248"/>
        </w:trPr>
        <w:tc>
          <w:tcPr>
            <w:tcW w:w="7020" w:type="dxa"/>
            <w:vAlign w:val="bottom"/>
            <w:tcBorders>
              <w:top w:val="single" w:sz="8" w:color="DEDEDE"/>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60" w:type="dxa"/>
            <w:vAlign w:val="bottom"/>
            <w:tcBorders>
              <w:top w:val="single" w:sz="8" w:color="DEDEDE"/>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r>
      <w:tr>
        <w:trPr>
          <w:trHeight w:val="277"/>
        </w:trPr>
        <w:tc>
          <w:tcPr>
            <w:tcW w:w="702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Weighted average remaining lease term</w:t>
            </w:r>
          </w:p>
        </w:tc>
        <w:tc>
          <w:tcPr>
            <w:tcW w:w="360" w:type="dxa"/>
            <w:vAlign w:val="bottom"/>
            <w:shd w:val="clear" w:color="auto" w:fill="DEDEDE"/>
          </w:tcPr>
          <w:p>
            <w:pPr>
              <w:spacing w:after="0"/>
              <w:rPr>
                <w:sz w:val="24"/>
                <w:szCs w:val="24"/>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3.7 years</w:t>
            </w:r>
          </w:p>
        </w:tc>
        <w:tc>
          <w:tcPr>
            <w:tcW w:w="60" w:type="dxa"/>
            <w:vAlign w:val="bottom"/>
            <w:shd w:val="clear" w:color="auto" w:fill="DEDEDE"/>
          </w:tcPr>
          <w:p>
            <w:pPr>
              <w:spacing w:after="0"/>
              <w:rPr>
                <w:sz w:val="24"/>
                <w:szCs w:val="24"/>
                <w:color w:val="auto"/>
              </w:rPr>
            </w:pPr>
          </w:p>
        </w:tc>
        <w:tc>
          <w:tcPr>
            <w:tcW w:w="58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4.3 years</w:t>
            </w:r>
          </w:p>
        </w:tc>
      </w:tr>
      <w:tr>
        <w:trPr>
          <w:trHeight w:val="264"/>
        </w:trPr>
        <w:tc>
          <w:tcPr>
            <w:tcW w:w="70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Weighted average discount rate</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4.1 %</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-1245870</wp:posOffset>
            </wp:positionV>
            <wp:extent cx="1929765" cy="501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a:extLst>
                        <a:ext uri="{28A0092B-C50C-407E-A947-70E740481C1C}"/>
                      </a:extLst>
                    </a:blip>
                    <a:srcRect/>
                    <a:stretch>
                      <a:fillRect/>
                    </a:stretch>
                  </pic:blipFill>
                  <pic:spPr bwMode="auto">
                    <a:xfrm>
                      <a:off x="0" y="0"/>
                      <a:ext cx="1929765" cy="50165"/>
                    </a:xfrm>
                    <a:prstGeom prst="rect">
                      <a:avLst/>
                    </a:prstGeom>
                    <a:noFill/>
                  </pic:spPr>
                </pic:pic>
              </a:graphicData>
            </a:graphic>
          </wp:anchor>
        </w:drawing>
        <w:drawing>
          <wp:anchor simplePos="0" relativeHeight="251657728" behindDoc="1" locked="0" layoutInCell="0" allowOverlap="1">
            <wp:simplePos x="0" y="0"/>
            <wp:positionH relativeFrom="column">
              <wp:posOffset>4443730</wp:posOffset>
            </wp:positionH>
            <wp:positionV relativeFrom="paragraph">
              <wp:posOffset>-542925</wp:posOffset>
            </wp:positionV>
            <wp:extent cx="1929765" cy="501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6">
                      <a:extLst>
                        <a:ext uri="{28A0092B-C50C-407E-A947-70E740481C1C}"/>
                      </a:extLst>
                    </a:blip>
                    <a:srcRect/>
                    <a:stretch>
                      <a:fillRect/>
                    </a:stretch>
                  </pic:blipFill>
                  <pic:spPr bwMode="auto">
                    <a:xfrm>
                      <a:off x="0" y="0"/>
                      <a:ext cx="1929765" cy="50165"/>
                    </a:xfrm>
                    <a:prstGeom prst="rect">
                      <a:avLst/>
                    </a:prstGeom>
                    <a:noFill/>
                  </pic:spPr>
                </pic:pic>
              </a:graphicData>
            </a:graphic>
          </wp:anchor>
        </w:drawing>
      </w:r>
    </w:p>
    <w:p>
      <w:pPr>
        <w:spacing w:after="0" w:line="2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Supplemental cash flow and other information related to operating leases was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 Ended January 31,</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5"/>
        </w:trPr>
        <w:tc>
          <w:tcPr>
            <w:tcW w:w="5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Cash payments included in the measurement of our operating</w:t>
            </w:r>
          </w:p>
        </w:tc>
        <w:tc>
          <w:tcPr>
            <w:tcW w:w="940" w:type="dxa"/>
            <w:vAlign w:val="bottom"/>
            <w:vMerge w:val="restart"/>
            <w:shd w:val="clear" w:color="auto" w:fill="DEDEDE"/>
          </w:tcPr>
          <w:p>
            <w:pPr>
              <w:jc w:val="right"/>
              <w:ind w:right="689"/>
              <w:spacing w:after="0"/>
              <w:rPr>
                <w:sz w:val="20"/>
                <w:szCs w:val="20"/>
                <w:color w:val="auto"/>
              </w:rPr>
            </w:pPr>
            <w:r>
              <w:rPr>
                <w:rFonts w:ascii="Times New Roman" w:cs="Times New Roman" w:eastAsia="Times New Roman" w:hAnsi="Times New Roman"/>
                <w:sz w:val="19"/>
                <w:szCs w:val="19"/>
                <w:color w:val="auto"/>
              </w:rPr>
              <w:t>$</w:t>
            </w:r>
          </w:p>
        </w:tc>
        <w:tc>
          <w:tcPr>
            <w:tcW w:w="5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w w:val="99"/>
              </w:rPr>
              <w:t>26,471</w:t>
            </w:r>
          </w:p>
        </w:tc>
        <w:tc>
          <w:tcPr>
            <w:tcW w:w="300" w:type="dxa"/>
            <w:vAlign w:val="bottom"/>
            <w:gridSpan w:val="3"/>
            <w:vMerge w:val="restart"/>
            <w:shd w:val="clear" w:color="auto" w:fill="DEDEDE"/>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30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27,120</w:t>
            </w:r>
          </w:p>
        </w:tc>
        <w:tc>
          <w:tcPr>
            <w:tcW w:w="60" w:type="dxa"/>
            <w:vAlign w:val="bottom"/>
            <w:shd w:val="clear" w:color="auto" w:fill="DEDEDE"/>
          </w:tcPr>
          <w:p>
            <w:pPr>
              <w:spacing w:after="0"/>
              <w:rPr>
                <w:sz w:val="19"/>
                <w:szCs w:val="19"/>
                <w:color w:val="auto"/>
              </w:rPr>
            </w:pPr>
          </w:p>
        </w:tc>
        <w:tc>
          <w:tcPr>
            <w:tcW w:w="380" w:type="dxa"/>
            <w:vAlign w:val="bottom"/>
            <w:vMerge w:val="restart"/>
            <w:shd w:val="clear" w:color="auto" w:fill="DEDEDE"/>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22,679</w:t>
            </w:r>
          </w:p>
        </w:tc>
        <w:tc>
          <w:tcPr>
            <w:tcW w:w="0" w:type="dxa"/>
            <w:vAlign w:val="bottom"/>
          </w:tcPr>
          <w:p>
            <w:pPr>
              <w:spacing w:after="0"/>
              <w:rPr>
                <w:sz w:val="1"/>
                <w:szCs w:val="1"/>
                <w:color w:val="auto"/>
              </w:rPr>
            </w:pPr>
          </w:p>
        </w:tc>
      </w:tr>
      <w:tr>
        <w:trPr>
          <w:trHeight w:val="265"/>
        </w:trPr>
        <w:tc>
          <w:tcPr>
            <w:tcW w:w="52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lease liabilities</w:t>
            </w:r>
          </w:p>
        </w:tc>
        <w:tc>
          <w:tcPr>
            <w:tcW w:w="940" w:type="dxa"/>
            <w:vAlign w:val="bottom"/>
            <w:vMerge w:val="continue"/>
            <w:shd w:val="clear" w:color="auto" w:fill="DEDEDE"/>
          </w:tcPr>
          <w:p>
            <w:pPr>
              <w:spacing w:after="0"/>
              <w:rPr>
                <w:sz w:val="23"/>
                <w:szCs w:val="23"/>
                <w:color w:val="auto"/>
              </w:rPr>
            </w:pPr>
          </w:p>
        </w:tc>
        <w:tc>
          <w:tcPr>
            <w:tcW w:w="580" w:type="dxa"/>
            <w:vAlign w:val="bottom"/>
            <w:vMerge w:val="continue"/>
            <w:shd w:val="clear" w:color="auto" w:fill="DEDEDE"/>
          </w:tcPr>
          <w:p>
            <w:pPr>
              <w:spacing w:after="0"/>
              <w:rPr>
                <w:sz w:val="23"/>
                <w:szCs w:val="23"/>
                <w:color w:val="auto"/>
              </w:rPr>
            </w:pPr>
          </w:p>
        </w:tc>
        <w:tc>
          <w:tcPr>
            <w:tcW w:w="300" w:type="dxa"/>
            <w:vAlign w:val="bottom"/>
            <w:gridSpan w:val="3"/>
            <w:vMerge w:val="continue"/>
            <w:shd w:val="clear" w:color="auto" w:fill="DEDEDE"/>
          </w:tcPr>
          <w:p>
            <w:pPr>
              <w:spacing w:after="0"/>
              <w:rPr>
                <w:sz w:val="23"/>
                <w:szCs w:val="23"/>
                <w:color w:val="auto"/>
              </w:rPr>
            </w:pPr>
          </w:p>
        </w:tc>
        <w:tc>
          <w:tcPr>
            <w:tcW w:w="1300" w:type="dxa"/>
            <w:vAlign w:val="bottom"/>
            <w:vMerge w:val="continue"/>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380" w:type="dxa"/>
            <w:vAlign w:val="bottom"/>
            <w:vMerge w:val="continue"/>
            <w:shd w:val="clear" w:color="auto" w:fill="DEDEDE"/>
          </w:tcPr>
          <w:p>
            <w:pPr>
              <w:spacing w:after="0"/>
              <w:rPr>
                <w:sz w:val="23"/>
                <w:szCs w:val="23"/>
                <w:color w:val="auto"/>
              </w:rPr>
            </w:pPr>
          </w:p>
        </w:tc>
        <w:tc>
          <w:tcPr>
            <w:tcW w:w="1160" w:type="dxa"/>
            <w:vAlign w:val="bottom"/>
            <w:vMerge w:val="continue"/>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240" w:type="dxa"/>
            <w:vAlign w:val="bottom"/>
          </w:tcPr>
          <w:p>
            <w:pPr>
              <w:ind w:left="60"/>
              <w:spacing w:after="0" w:line="215" w:lineRule="exact"/>
              <w:rPr>
                <w:sz w:val="20"/>
                <w:szCs w:val="20"/>
                <w:color w:val="auto"/>
              </w:rPr>
            </w:pPr>
            <w:r>
              <w:rPr>
                <w:rFonts w:ascii="Times New Roman" w:cs="Times New Roman" w:eastAsia="Times New Roman" w:hAnsi="Times New Roman"/>
                <w:sz w:val="19"/>
                <w:szCs w:val="19"/>
                <w:color w:val="auto"/>
              </w:rPr>
              <w:t>Operating lease right-of-use assets recognized in exchange for</w:t>
            </w:r>
          </w:p>
        </w:tc>
        <w:tc>
          <w:tcPr>
            <w:tcW w:w="940" w:type="dxa"/>
            <w:vAlign w:val="bottom"/>
            <w:vMerge w:val="restart"/>
          </w:tcPr>
          <w:p>
            <w:pPr>
              <w:jc w:val="right"/>
              <w:ind w:right="689"/>
              <w:spacing w:after="0"/>
              <w:rPr>
                <w:sz w:val="20"/>
                <w:szCs w:val="20"/>
                <w:color w:val="auto"/>
              </w:rPr>
            </w:pPr>
            <w:r>
              <w:rPr>
                <w:rFonts w:ascii="Times New Roman" w:cs="Times New Roman" w:eastAsia="Times New Roman" w:hAnsi="Times New Roman"/>
                <w:sz w:val="19"/>
                <w:szCs w:val="19"/>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13,857</w:t>
            </w:r>
          </w:p>
        </w:tc>
        <w:tc>
          <w:tcPr>
            <w:tcW w:w="60" w:type="dxa"/>
            <w:vAlign w:val="bottom"/>
          </w:tcPr>
          <w:p>
            <w:pPr>
              <w:spacing w:after="0"/>
              <w:rPr>
                <w:sz w:val="18"/>
                <w:szCs w:val="18"/>
                <w:color w:val="auto"/>
              </w:rPr>
            </w:pPr>
          </w:p>
        </w:tc>
        <w:tc>
          <w:tcPr>
            <w:tcW w:w="380" w:type="dxa"/>
            <w:vAlign w:val="bottom"/>
            <w:vMerge w:val="restart"/>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16,784</w:t>
            </w:r>
          </w:p>
        </w:tc>
        <w:tc>
          <w:tcPr>
            <w:tcW w:w="0" w:type="dxa"/>
            <w:vAlign w:val="bottom"/>
          </w:tcPr>
          <w:p>
            <w:pPr>
              <w:spacing w:after="0"/>
              <w:rPr>
                <w:sz w:val="1"/>
                <w:szCs w:val="1"/>
                <w:color w:val="auto"/>
              </w:rPr>
            </w:pPr>
          </w:p>
        </w:tc>
      </w:tr>
      <w:tr>
        <w:trPr>
          <w:trHeight w:val="253"/>
        </w:trPr>
        <w:tc>
          <w:tcPr>
            <w:tcW w:w="52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new operating lease obligations</w:t>
            </w:r>
          </w:p>
        </w:tc>
        <w:tc>
          <w:tcPr>
            <w:tcW w:w="940" w:type="dxa"/>
            <w:vAlign w:val="bottom"/>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300" w:type="dxa"/>
            <w:vAlign w:val="bottom"/>
            <w:gridSpan w:val="3"/>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jc w:val="both"/>
        <w:ind w:right="60" w:firstLine="524"/>
        <w:spacing w:after="0" w:line="294" w:lineRule="auto"/>
        <w:rPr>
          <w:sz w:val="20"/>
          <w:szCs w:val="20"/>
          <w:color w:val="auto"/>
        </w:rPr>
      </w:pPr>
      <w:r>
        <w:rPr>
          <w:rFonts w:ascii="Times New Roman" w:cs="Times New Roman" w:eastAsia="Times New Roman" w:hAnsi="Times New Roman"/>
          <w:sz w:val="19"/>
          <w:szCs w:val="19"/>
          <w:color w:val="auto"/>
        </w:rPr>
        <w:t>As of January 31, 2024, the future minimum lease payments included in the measurement of our operating lease liabilities are as follows: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As of January 31,</w:t>
            </w:r>
          </w:p>
        </w:tc>
      </w:tr>
      <w:tr>
        <w:trPr>
          <w:trHeight w:val="208"/>
        </w:trPr>
        <w:tc>
          <w:tcPr>
            <w:tcW w:w="8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w w:val="93"/>
              </w:rPr>
              <w:t>2024</w:t>
            </w:r>
          </w:p>
        </w:tc>
      </w:tr>
      <w:tr>
        <w:trPr>
          <w:trHeight w:val="215"/>
        </w:trPr>
        <w:tc>
          <w:tcPr>
            <w:tcW w:w="8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r>
      <w:tr>
        <w:trPr>
          <w:trHeight w:val="285"/>
        </w:trPr>
        <w:tc>
          <w:tcPr>
            <w:tcW w:w="850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Year Ending January 31,</w:t>
            </w:r>
          </w:p>
        </w:tc>
        <w:tc>
          <w:tcPr>
            <w:tcW w:w="20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r>
      <w:tr>
        <w:trPr>
          <w:trHeight w:val="271"/>
        </w:trPr>
        <w:tc>
          <w:tcPr>
            <w:tcW w:w="8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2025</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26,922</w:t>
            </w:r>
          </w:p>
        </w:tc>
      </w:tr>
      <w:tr>
        <w:trPr>
          <w:trHeight w:val="282"/>
        </w:trPr>
        <w:tc>
          <w:tcPr>
            <w:tcW w:w="850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2026</w:t>
            </w:r>
          </w:p>
        </w:tc>
        <w:tc>
          <w:tcPr>
            <w:tcW w:w="200" w:type="dxa"/>
            <w:vAlign w:val="bottom"/>
            <w:shd w:val="clear" w:color="auto" w:fill="DEDEDE"/>
          </w:tcPr>
          <w:p>
            <w:pPr>
              <w:spacing w:after="0"/>
              <w:rPr>
                <w:sz w:val="24"/>
                <w:szCs w:val="24"/>
                <w:color w:val="auto"/>
              </w:rPr>
            </w:pPr>
          </w:p>
        </w:tc>
        <w:tc>
          <w:tcPr>
            <w:tcW w:w="12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22,063</w:t>
            </w:r>
          </w:p>
        </w:tc>
      </w:tr>
      <w:tr>
        <w:trPr>
          <w:trHeight w:val="271"/>
        </w:trPr>
        <w:tc>
          <w:tcPr>
            <w:tcW w:w="8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2027</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13,342</w:t>
            </w:r>
          </w:p>
        </w:tc>
      </w:tr>
      <w:tr>
        <w:trPr>
          <w:trHeight w:val="282"/>
        </w:trPr>
        <w:tc>
          <w:tcPr>
            <w:tcW w:w="850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2028</w:t>
            </w:r>
          </w:p>
        </w:tc>
        <w:tc>
          <w:tcPr>
            <w:tcW w:w="200" w:type="dxa"/>
            <w:vAlign w:val="bottom"/>
            <w:shd w:val="clear" w:color="auto" w:fill="DEDEDE"/>
          </w:tcPr>
          <w:p>
            <w:pPr>
              <w:spacing w:after="0"/>
              <w:rPr>
                <w:sz w:val="24"/>
                <w:szCs w:val="24"/>
                <w:color w:val="auto"/>
              </w:rPr>
            </w:pPr>
          </w:p>
        </w:tc>
        <w:tc>
          <w:tcPr>
            <w:tcW w:w="12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8,137</w:t>
            </w:r>
          </w:p>
        </w:tc>
      </w:tr>
      <w:tr>
        <w:trPr>
          <w:trHeight w:val="271"/>
        </w:trPr>
        <w:tc>
          <w:tcPr>
            <w:tcW w:w="8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2029</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7,330</w:t>
            </w:r>
          </w:p>
        </w:tc>
      </w:tr>
      <w:tr>
        <w:trPr>
          <w:trHeight w:val="291"/>
        </w:trPr>
        <w:tc>
          <w:tcPr>
            <w:tcW w:w="850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Thereafter</w:t>
            </w:r>
          </w:p>
        </w:tc>
        <w:tc>
          <w:tcPr>
            <w:tcW w:w="200" w:type="dxa"/>
            <w:vAlign w:val="bottom"/>
            <w:tcBorders>
              <w:bottom w:val="single" w:sz="8" w:color="auto"/>
            </w:tcBorders>
            <w:shd w:val="clear" w:color="auto" w:fill="DEDEDE"/>
          </w:tcPr>
          <w:p>
            <w:pPr>
              <w:spacing w:after="0"/>
              <w:rPr>
                <w:sz w:val="24"/>
                <w:szCs w:val="24"/>
                <w:color w:val="auto"/>
              </w:rPr>
            </w:pPr>
          </w:p>
        </w:tc>
        <w:tc>
          <w:tcPr>
            <w:tcW w:w="12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617</w:t>
            </w:r>
          </w:p>
        </w:tc>
      </w:tr>
      <w:tr>
        <w:trPr>
          <w:trHeight w:val="241"/>
        </w:trPr>
        <w:tc>
          <w:tcPr>
            <w:tcW w:w="85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Total operating lease payments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78,411</w:t>
            </w:r>
          </w:p>
        </w:tc>
      </w:tr>
      <w:tr>
        <w:trPr>
          <w:trHeight w:val="292"/>
        </w:trPr>
        <w:tc>
          <w:tcPr>
            <w:tcW w:w="8500" w:type="dxa"/>
            <w:vAlign w:val="bottom"/>
            <w:tcBorders>
              <w:bottom w:val="single" w:sz="8" w:color="DEDEDE"/>
            </w:tcBorders>
            <w:shd w:val="clear" w:color="auto" w:fill="DEDEDE"/>
          </w:tcPr>
          <w:p>
            <w:pPr>
              <w:ind w:left="280"/>
              <w:spacing w:after="0"/>
              <w:rPr>
                <w:sz w:val="20"/>
                <w:szCs w:val="20"/>
                <w:color w:val="auto"/>
              </w:rPr>
            </w:pPr>
            <w:r>
              <w:rPr>
                <w:rFonts w:ascii="Times New Roman" w:cs="Times New Roman" w:eastAsia="Times New Roman" w:hAnsi="Times New Roman"/>
                <w:sz w:val="19"/>
                <w:szCs w:val="19"/>
                <w:color w:val="auto"/>
              </w:rPr>
              <w:t>Less: imputed interest</w:t>
            </w:r>
          </w:p>
        </w:tc>
        <w:tc>
          <w:tcPr>
            <w:tcW w:w="200" w:type="dxa"/>
            <w:vAlign w:val="bottom"/>
            <w:tcBorders>
              <w:bottom w:val="single" w:sz="8" w:color="auto"/>
            </w:tcBorders>
            <w:shd w:val="clear" w:color="auto" w:fill="DEDEDE"/>
          </w:tcPr>
          <w:p>
            <w:pPr>
              <w:spacing w:after="0"/>
              <w:rPr>
                <w:sz w:val="24"/>
                <w:szCs w:val="24"/>
                <w:color w:val="auto"/>
              </w:rPr>
            </w:pPr>
          </w:p>
        </w:tc>
        <w:tc>
          <w:tcPr>
            <w:tcW w:w="12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(5,458)</w:t>
            </w:r>
          </w:p>
        </w:tc>
      </w:tr>
      <w:tr>
        <w:trPr>
          <w:trHeight w:val="219"/>
        </w:trPr>
        <w:tc>
          <w:tcPr>
            <w:tcW w:w="85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Total operating lease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72,953</w:t>
            </w:r>
          </w:p>
        </w:tc>
      </w:tr>
      <w:tr>
        <w:trPr>
          <w:trHeight w:val="20"/>
        </w:trPr>
        <w:tc>
          <w:tcPr>
            <w:tcW w:w="8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5386705</wp:posOffset>
            </wp:positionH>
            <wp:positionV relativeFrom="paragraph">
              <wp:posOffset>-43180</wp:posOffset>
            </wp:positionV>
            <wp:extent cx="949960" cy="501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7">
                      <a:extLst>
                        <a:ext uri="{28A0092B-C50C-407E-A947-70E740481C1C}"/>
                      </a:extLst>
                    </a:blip>
                    <a:srcRect/>
                    <a:stretch>
                      <a:fillRect/>
                    </a:stretch>
                  </pic:blipFill>
                  <pic:spPr bwMode="auto">
                    <a:xfrm>
                      <a:off x="0" y="0"/>
                      <a:ext cx="949960" cy="50165"/>
                    </a:xfrm>
                    <a:prstGeom prst="rect">
                      <a:avLst/>
                    </a:prstGeom>
                    <a:noFill/>
                  </pic:spPr>
                </pic:pic>
              </a:graphicData>
            </a:graphic>
          </wp:anchor>
        </w:drawing>
      </w:r>
    </w:p>
    <w:p>
      <w:pPr>
        <w:spacing w:after="0" w:line="213" w:lineRule="exact"/>
        <w:rPr>
          <w:sz w:val="20"/>
          <w:szCs w:val="20"/>
          <w:color w:val="auto"/>
        </w:rPr>
      </w:pPr>
    </w:p>
    <w:p>
      <w:pPr>
        <w:ind w:left="700" w:hanging="699"/>
        <w:spacing w:after="0"/>
        <w:tabs>
          <w:tab w:leader="none" w:pos="700" w:val="left"/>
        </w:tabs>
        <w:numPr>
          <w:ilvl w:val="0"/>
          <w:numId w:val="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Goodwill and Intangible Assets</w:t>
      </w:r>
    </w:p>
    <w:p>
      <w:pPr>
        <w:spacing w:after="0" w:line="2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Goodwill</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The following table summarizes the changes in the carrying amount of goodwill during the years:</w:t>
      </w:r>
    </w:p>
    <w:p>
      <w:pPr>
        <w:sectPr>
          <w:pgSz w:w="11880" w:h="15480" w:orient="portrait"/>
          <w:cols w:equalWidth="0" w:num="1">
            <w:col w:w="10020"/>
          </w:cols>
          <w:pgMar w:left="960" w:top="82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87</w:t>
      </w:r>
    </w:p>
    <w:p>
      <w:pPr>
        <w:sectPr>
          <w:pgSz w:w="11880" w:h="15480" w:orient="portrait"/>
          <w:cols w:equalWidth="0" w:num="1">
            <w:col w:w="10020"/>
          </w:cols>
          <w:pgMar w:left="960" w:top="821" w:right="900" w:bottom="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As of January 31,</w:t>
            </w:r>
          </w:p>
        </w:tc>
        <w:tc>
          <w:tcPr>
            <w:tcW w:w="1220" w:type="dxa"/>
            <w:vAlign w:val="bottom"/>
            <w:tcBorders>
              <w:bottom w:val="single" w:sz="8" w:color="auto"/>
            </w:tcBorders>
          </w:tcPr>
          <w:p>
            <w:pPr>
              <w:spacing w:after="0"/>
              <w:rPr>
                <w:sz w:val="18"/>
                <w:szCs w:val="18"/>
                <w:color w:val="auto"/>
              </w:rPr>
            </w:pPr>
          </w:p>
        </w:tc>
      </w:tr>
      <w:tr>
        <w:trPr>
          <w:trHeight w:val="228"/>
        </w:trPr>
        <w:tc>
          <w:tcPr>
            <w:tcW w:w="60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6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00" w:type="dxa"/>
            <w:vAlign w:val="bottom"/>
            <w:gridSpan w:val="3"/>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20" w:type="dxa"/>
            <w:vAlign w:val="bottom"/>
          </w:tcPr>
          <w:p>
            <w:pPr>
              <w:spacing w:after="0"/>
              <w:rPr>
                <w:sz w:val="19"/>
                <w:szCs w:val="19"/>
                <w:color w:val="auto"/>
              </w:rPr>
            </w:pPr>
          </w:p>
        </w:tc>
      </w:tr>
      <w:tr>
        <w:trPr>
          <w:trHeight w:val="299"/>
        </w:trPr>
        <w:tc>
          <w:tcPr>
            <w:tcW w:w="60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Balance, beginning of the year</w:t>
            </w:r>
          </w:p>
        </w:tc>
        <w:tc>
          <w:tcPr>
            <w:tcW w:w="1140" w:type="dxa"/>
            <w:vAlign w:val="bottom"/>
            <w:shd w:val="clear" w:color="auto" w:fill="DEDEDE"/>
          </w:tcPr>
          <w:p>
            <w:pPr>
              <w:jc w:val="right"/>
              <w:ind w:right="909"/>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122,641</w:t>
            </w:r>
          </w:p>
        </w:tc>
        <w:tc>
          <w:tcPr>
            <w:tcW w:w="740" w:type="dxa"/>
            <w:vAlign w:val="bottom"/>
            <w:gridSpan w:val="2"/>
            <w:shd w:val="clear" w:color="auto" w:fill="DEDEDE"/>
          </w:tcPr>
          <w:p>
            <w:pPr>
              <w:jc w:val="right"/>
              <w:ind w:right="44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27,607</w:t>
            </w:r>
          </w:p>
        </w:tc>
      </w:tr>
      <w:tr>
        <w:trPr>
          <w:trHeight w:val="281"/>
        </w:trPr>
        <w:tc>
          <w:tcPr>
            <w:tcW w:w="608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9"/>
                <w:szCs w:val="19"/>
                <w:color w:val="auto"/>
              </w:rPr>
              <w:t>Increase in goodwill related to business combinations</w:t>
            </w:r>
          </w:p>
        </w:tc>
        <w:tc>
          <w:tcPr>
            <w:tcW w:w="1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184,654</w:t>
            </w:r>
          </w:p>
        </w:tc>
        <w:tc>
          <w:tcPr>
            <w:tcW w:w="60" w:type="dxa"/>
            <w:vAlign w:val="bottom"/>
            <w:tcBorders>
              <w:bottom w:val="single" w:sz="8" w:color="DEDEDE"/>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95,034</w:t>
            </w:r>
          </w:p>
        </w:tc>
      </w:tr>
      <w:tr>
        <w:trPr>
          <w:trHeight w:val="291"/>
        </w:trPr>
        <w:tc>
          <w:tcPr>
            <w:tcW w:w="608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Balance, ending of the year</w:t>
            </w:r>
          </w:p>
        </w:tc>
        <w:tc>
          <w:tcPr>
            <w:tcW w:w="1140" w:type="dxa"/>
            <w:vAlign w:val="bottom"/>
            <w:tcBorders>
              <w:bottom w:val="single" w:sz="8" w:color="auto"/>
            </w:tcBorders>
            <w:shd w:val="clear" w:color="auto" w:fill="DEDEDE"/>
          </w:tcPr>
          <w:p>
            <w:pPr>
              <w:jc w:val="right"/>
              <w:ind w:right="909"/>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307,295</w:t>
            </w:r>
          </w:p>
        </w:tc>
        <w:tc>
          <w:tcPr>
            <w:tcW w:w="60" w:type="dxa"/>
            <w:vAlign w:val="bottom"/>
            <w:tcBorders>
              <w:bottom w:val="single" w:sz="8" w:color="DEDEDE"/>
            </w:tcBorders>
            <w:shd w:val="clear" w:color="auto" w:fill="DEDEDE"/>
          </w:tcPr>
          <w:p>
            <w:pPr>
              <w:spacing w:after="0"/>
              <w:rPr>
                <w:sz w:val="24"/>
                <w:szCs w:val="24"/>
                <w:color w:val="auto"/>
              </w:rPr>
            </w:pPr>
          </w:p>
        </w:tc>
        <w:tc>
          <w:tcPr>
            <w:tcW w:w="680" w:type="dxa"/>
            <w:vAlign w:val="bottom"/>
            <w:tcBorders>
              <w:bottom w:val="single" w:sz="8" w:color="auto"/>
            </w:tcBorders>
            <w:shd w:val="clear" w:color="auto" w:fill="DEDEDE"/>
          </w:tcPr>
          <w:p>
            <w:pPr>
              <w:jc w:val="right"/>
              <w:ind w:right="44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122,641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-43180</wp:posOffset>
            </wp:positionV>
            <wp:extent cx="2484755" cy="501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8">
                      <a:extLst>
                        <a:ext uri="{28A0092B-C50C-407E-A947-70E740481C1C}"/>
                      </a:extLst>
                    </a:blip>
                    <a:srcRect/>
                    <a:stretch>
                      <a:fillRect/>
                    </a:stretch>
                  </pic:blipFill>
                  <pic:spPr bwMode="auto">
                    <a:xfrm>
                      <a:off x="0" y="0"/>
                      <a:ext cx="2484755" cy="50165"/>
                    </a:xfrm>
                    <a:prstGeom prst="rect">
                      <a:avLst/>
                    </a:prstGeom>
                    <a:noFill/>
                  </pic:spPr>
                </pic:pic>
              </a:graphicData>
            </a:graphic>
          </wp:anchor>
        </w:drawing>
      </w:r>
    </w:p>
    <w:p>
      <w:pPr>
        <w:spacing w:after="0" w:line="103"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During the fiscal year ended January 31, 2024, we acquired Workvivo, and recorded goodwill of $184.7 million. During the fiscal year ended January 31, 2023, we acquired Solvvy, Inc., and recorded goodwill of $95.0 million. See Note 5 for additional information related to these acquisitions.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Intangibles</w:t>
      </w:r>
    </w:p>
    <w:p>
      <w:pPr>
        <w:spacing w:after="0" w:line="139"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The following table summarizes intangible assets with a finite useful life included within other asset, noncurrent on the consolidated balance sheet: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As of January 31,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187"/>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right="18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116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60" w:type="dxa"/>
            <w:vAlign w:val="bottom"/>
          </w:tcPr>
          <w:p>
            <w:pPr>
              <w:spacing w:after="0"/>
              <w:rPr>
                <w:sz w:val="15"/>
                <w:szCs w:val="15"/>
                <w:color w:val="auto"/>
              </w:rPr>
            </w:pPr>
          </w:p>
        </w:tc>
        <w:tc>
          <w:tcPr>
            <w:tcW w:w="114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w w:val="99"/>
              </w:rPr>
              <w:t>Net Value</w:t>
            </w:r>
          </w:p>
        </w:tc>
        <w:tc>
          <w:tcPr>
            <w:tcW w:w="2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60" w:type="dxa"/>
            <w:vAlign w:val="bottom"/>
          </w:tcPr>
          <w:p>
            <w:pPr>
              <w:spacing w:after="0"/>
              <w:rPr>
                <w:sz w:val="15"/>
                <w:szCs w:val="15"/>
                <w:color w:val="auto"/>
              </w:rPr>
            </w:pPr>
          </w:p>
        </w:tc>
        <w:tc>
          <w:tcPr>
            <w:tcW w:w="116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Net Value</w:t>
            </w:r>
          </w:p>
        </w:tc>
        <w:tc>
          <w:tcPr>
            <w:tcW w:w="0" w:type="dxa"/>
            <w:vAlign w:val="bottom"/>
          </w:tcPr>
          <w:p>
            <w:pPr>
              <w:spacing w:after="0"/>
              <w:rPr>
                <w:sz w:val="1"/>
                <w:szCs w:val="1"/>
                <w:color w:val="auto"/>
              </w:rPr>
            </w:pPr>
          </w:p>
        </w:tc>
      </w:tr>
      <w:tr>
        <w:trPr>
          <w:trHeight w:val="207"/>
        </w:trPr>
        <w:tc>
          <w:tcPr>
            <w:tcW w:w="2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Amortization</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5"/>
          </w:tcPr>
          <w:p>
            <w:pPr>
              <w:jc w:val="right"/>
              <w:ind w:right="587"/>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7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Customer relationships</w:t>
            </w:r>
          </w:p>
        </w:tc>
        <w:tc>
          <w:tcPr>
            <w:tcW w:w="2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31,732</w:t>
            </w:r>
          </w:p>
        </w:tc>
        <w:tc>
          <w:tcPr>
            <w:tcW w:w="340" w:type="dxa"/>
            <w:vAlign w:val="bottom"/>
            <w:gridSpan w:val="2"/>
            <w:shd w:val="clear" w:color="auto" w:fill="DEDEDE"/>
          </w:tcPr>
          <w:p>
            <w:pPr>
              <w:jc w:val="right"/>
              <w:ind w:right="62"/>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(7,684)</w:t>
            </w:r>
          </w:p>
        </w:tc>
        <w:tc>
          <w:tcPr>
            <w:tcW w:w="26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24,048</w:t>
            </w:r>
          </w:p>
        </w:tc>
        <w:tc>
          <w:tcPr>
            <w:tcW w:w="20" w:type="dxa"/>
            <w:vAlign w:val="bottom"/>
            <w:shd w:val="clear" w:color="auto" w:fill="DEDEDE"/>
          </w:tcPr>
          <w:p>
            <w:pPr>
              <w:spacing w:after="0"/>
              <w:rPr>
                <w:sz w:val="24"/>
                <w:szCs w:val="24"/>
                <w:color w:val="auto"/>
              </w:rPr>
            </w:pPr>
          </w:p>
        </w:tc>
        <w:tc>
          <w:tcPr>
            <w:tcW w:w="260" w:type="dxa"/>
            <w:vAlign w:val="bottom"/>
            <w:gridSpan w:val="2"/>
            <w:shd w:val="clear" w:color="auto" w:fill="DEDEDE"/>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14,700</w:t>
            </w:r>
          </w:p>
        </w:tc>
        <w:tc>
          <w:tcPr>
            <w:tcW w:w="340" w:type="dxa"/>
            <w:vAlign w:val="bottom"/>
            <w:gridSpan w:val="2"/>
            <w:shd w:val="clear" w:color="auto" w:fill="DEDEDE"/>
          </w:tcPr>
          <w:p>
            <w:pPr>
              <w:jc w:val="right"/>
              <w:ind w:right="62"/>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(2,078)</w:t>
            </w:r>
          </w:p>
        </w:tc>
        <w:tc>
          <w:tcPr>
            <w:tcW w:w="24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12,622</w:t>
            </w:r>
          </w:p>
        </w:tc>
        <w:tc>
          <w:tcPr>
            <w:tcW w:w="0" w:type="dxa"/>
            <w:vAlign w:val="bottom"/>
          </w:tcPr>
          <w:p>
            <w:pPr>
              <w:spacing w:after="0"/>
              <w:rPr>
                <w:sz w:val="1"/>
                <w:szCs w:val="1"/>
                <w:color w:val="auto"/>
              </w:rPr>
            </w:pPr>
          </w:p>
        </w:tc>
      </w:tr>
      <w:tr>
        <w:trPr>
          <w:trHeight w:val="285"/>
        </w:trPr>
        <w:tc>
          <w:tcPr>
            <w:tcW w:w="27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Technology</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26,959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(8,676)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18,283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16,190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(3,752)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12,438</w:t>
            </w:r>
          </w:p>
        </w:tc>
        <w:tc>
          <w:tcPr>
            <w:tcW w:w="0" w:type="dxa"/>
            <w:vAlign w:val="bottom"/>
          </w:tcPr>
          <w:p>
            <w:pPr>
              <w:spacing w:after="0"/>
              <w:rPr>
                <w:sz w:val="1"/>
                <w:szCs w:val="1"/>
                <w:color w:val="auto"/>
              </w:rPr>
            </w:pPr>
          </w:p>
        </w:tc>
      </w:tr>
      <w:tr>
        <w:trPr>
          <w:trHeight w:val="306"/>
        </w:trPr>
        <w:tc>
          <w:tcPr>
            <w:tcW w:w="276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Assembled workforce</w:t>
            </w:r>
          </w:p>
        </w:tc>
        <w:tc>
          <w:tcPr>
            <w:tcW w:w="240" w:type="dxa"/>
            <w:vAlign w:val="bottom"/>
            <w:tcBorders>
              <w:bottom w:val="single" w:sz="8" w:color="auto"/>
            </w:tcBorders>
            <w:shd w:val="clear" w:color="auto" w:fill="DEDEDE"/>
          </w:tcPr>
          <w:p>
            <w:pPr>
              <w:spacing w:after="0"/>
              <w:rPr>
                <w:sz w:val="24"/>
                <w:szCs w:val="24"/>
                <w:color w:val="auto"/>
              </w:rPr>
            </w:pP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7,034</w:t>
            </w:r>
          </w:p>
        </w:tc>
        <w:tc>
          <w:tcPr>
            <w:tcW w:w="6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auto"/>
            </w:tcBorders>
            <w:shd w:val="clear" w:color="auto" w:fill="DEDEDE"/>
          </w:tcPr>
          <w:p>
            <w:pPr>
              <w:spacing w:after="0"/>
              <w:rPr>
                <w:sz w:val="24"/>
                <w:szCs w:val="24"/>
                <w:color w:val="auto"/>
              </w:rPr>
            </w:pPr>
          </w:p>
        </w:tc>
        <w:tc>
          <w:tcPr>
            <w:tcW w:w="8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(2,430)</w:t>
            </w:r>
          </w:p>
        </w:tc>
        <w:tc>
          <w:tcPr>
            <w:tcW w:w="6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spacing w:after="0"/>
              <w:rPr>
                <w:sz w:val="24"/>
                <w:szCs w:val="24"/>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4,604</w:t>
            </w:r>
          </w:p>
        </w:tc>
        <w:tc>
          <w:tcPr>
            <w:tcW w:w="2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auto"/>
            </w:tcBorders>
            <w:shd w:val="clear" w:color="auto" w:fill="DEDEDE"/>
          </w:tcPr>
          <w:p>
            <w:pPr>
              <w:spacing w:after="0"/>
              <w:rPr>
                <w:sz w:val="24"/>
                <w:szCs w:val="24"/>
                <w:color w:val="auto"/>
              </w:rPr>
            </w:pP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7,034</w:t>
            </w:r>
          </w:p>
        </w:tc>
        <w:tc>
          <w:tcPr>
            <w:tcW w:w="6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(674)</w:t>
            </w:r>
          </w:p>
        </w:tc>
        <w:tc>
          <w:tcPr>
            <w:tcW w:w="4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spacing w:after="0"/>
              <w:rPr>
                <w:sz w:val="24"/>
                <w:szCs w:val="24"/>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6,360</w:t>
            </w:r>
          </w:p>
        </w:tc>
        <w:tc>
          <w:tcPr>
            <w:tcW w:w="0" w:type="dxa"/>
            <w:vAlign w:val="bottom"/>
          </w:tcPr>
          <w:p>
            <w:pPr>
              <w:spacing w:after="0"/>
              <w:rPr>
                <w:sz w:val="1"/>
                <w:szCs w:val="1"/>
                <w:color w:val="auto"/>
              </w:rPr>
            </w:pPr>
          </w:p>
        </w:tc>
      </w:tr>
      <w:tr>
        <w:trPr>
          <w:trHeight w:val="233"/>
        </w:trPr>
        <w:tc>
          <w:tcPr>
            <w:tcW w:w="27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Total</w:t>
            </w:r>
          </w:p>
        </w:tc>
        <w:tc>
          <w:tcPr>
            <w:tcW w:w="2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65,725</w:t>
            </w:r>
          </w:p>
        </w:tc>
        <w:tc>
          <w:tcPr>
            <w:tcW w:w="340" w:type="dxa"/>
            <w:vAlign w:val="bottom"/>
            <w:gridSpan w:val="2"/>
          </w:tcPr>
          <w:p>
            <w:pPr>
              <w:jc w:val="right"/>
              <w:ind w:right="62"/>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(18,790)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46,935</w:t>
            </w:r>
          </w:p>
        </w:tc>
        <w:tc>
          <w:tcPr>
            <w:tcW w:w="20" w:type="dxa"/>
            <w:vAlign w:val="bottom"/>
          </w:tcPr>
          <w:p>
            <w:pPr>
              <w:spacing w:after="0"/>
              <w:rPr>
                <w:sz w:val="20"/>
                <w:szCs w:val="20"/>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37,924</w:t>
            </w:r>
          </w:p>
        </w:tc>
        <w:tc>
          <w:tcPr>
            <w:tcW w:w="340" w:type="dxa"/>
            <w:vAlign w:val="bottom"/>
            <w:gridSpan w:val="2"/>
          </w:tcPr>
          <w:p>
            <w:pPr>
              <w:jc w:val="right"/>
              <w:ind w:right="62"/>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(6,504)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31,420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1744345</wp:posOffset>
            </wp:positionH>
            <wp:positionV relativeFrom="paragraph">
              <wp:posOffset>-43180</wp:posOffset>
            </wp:positionV>
            <wp:extent cx="4592320" cy="501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9">
                      <a:extLst>
                        <a:ext uri="{28A0092B-C50C-407E-A947-70E740481C1C}"/>
                      </a:extLst>
                    </a:blip>
                    <a:srcRect/>
                    <a:stretch>
                      <a:fillRect/>
                    </a:stretch>
                  </pic:blipFill>
                  <pic:spPr bwMode="auto">
                    <a:xfrm>
                      <a:off x="0" y="0"/>
                      <a:ext cx="4592320" cy="50165"/>
                    </a:xfrm>
                    <a:prstGeom prst="rect">
                      <a:avLst/>
                    </a:prstGeom>
                    <a:noFill/>
                  </pic:spPr>
                </pic:pic>
              </a:graphicData>
            </a:graphic>
          </wp:anchor>
        </w:drawing>
      </w:r>
    </w:p>
    <w:p>
      <w:pPr>
        <w:spacing w:after="0" w:line="103"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Intangible asset amortization expense was $12.5 million and $5.3 million for the years ended January 31, 2024 and 2023, respectively, and less than $1.0 million for the year ended January 31, 2022.</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Estimated amortization expense for each of the five succeeding fiscal years and thereafter is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As of January 31,</w:t>
            </w:r>
          </w:p>
        </w:tc>
      </w:tr>
      <w:tr>
        <w:trPr>
          <w:trHeight w:val="208"/>
        </w:trPr>
        <w:tc>
          <w:tcPr>
            <w:tcW w:w="850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2024</w:t>
            </w:r>
          </w:p>
        </w:tc>
      </w:tr>
      <w:tr>
        <w:trPr>
          <w:trHeight w:val="215"/>
        </w:trPr>
        <w:tc>
          <w:tcPr>
            <w:tcW w:w="85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r>
      <w:tr>
        <w:trPr>
          <w:trHeight w:val="285"/>
        </w:trPr>
        <w:tc>
          <w:tcPr>
            <w:tcW w:w="850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Year Ending January 31,</w:t>
            </w:r>
          </w:p>
        </w:tc>
        <w:tc>
          <w:tcPr>
            <w:tcW w:w="1460" w:type="dxa"/>
            <w:vAlign w:val="bottom"/>
            <w:shd w:val="clear" w:color="auto" w:fill="DEDEDE"/>
          </w:tcPr>
          <w:p>
            <w:pPr>
              <w:spacing w:after="0"/>
              <w:rPr>
                <w:sz w:val="24"/>
                <w:szCs w:val="24"/>
                <w:color w:val="auto"/>
              </w:rPr>
            </w:pPr>
          </w:p>
        </w:tc>
      </w:tr>
      <w:tr>
        <w:trPr>
          <w:trHeight w:val="271"/>
        </w:trPr>
        <w:tc>
          <w:tcPr>
            <w:tcW w:w="8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13,525</w:t>
            </w:r>
          </w:p>
        </w:tc>
      </w:tr>
      <w:tr>
        <w:trPr>
          <w:trHeight w:val="282"/>
        </w:trPr>
        <w:tc>
          <w:tcPr>
            <w:tcW w:w="850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2026</w:t>
            </w:r>
          </w:p>
        </w:tc>
        <w:tc>
          <w:tcPr>
            <w:tcW w:w="14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13,000</w:t>
            </w:r>
          </w:p>
        </w:tc>
      </w:tr>
      <w:tr>
        <w:trPr>
          <w:trHeight w:val="271"/>
        </w:trPr>
        <w:tc>
          <w:tcPr>
            <w:tcW w:w="8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2027</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12,088</w:t>
            </w:r>
          </w:p>
        </w:tc>
      </w:tr>
      <w:tr>
        <w:trPr>
          <w:trHeight w:val="282"/>
        </w:trPr>
        <w:tc>
          <w:tcPr>
            <w:tcW w:w="850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2028</w:t>
            </w:r>
          </w:p>
        </w:tc>
        <w:tc>
          <w:tcPr>
            <w:tcW w:w="14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7,105</w:t>
            </w:r>
          </w:p>
        </w:tc>
      </w:tr>
      <w:tr>
        <w:trPr>
          <w:trHeight w:val="271"/>
        </w:trPr>
        <w:tc>
          <w:tcPr>
            <w:tcW w:w="8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2029</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1,217</w:t>
            </w:r>
          </w:p>
        </w:tc>
      </w:tr>
      <w:tr>
        <w:trPr>
          <w:trHeight w:val="292"/>
        </w:trPr>
        <w:tc>
          <w:tcPr>
            <w:tcW w:w="850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Thereafter</w:t>
            </w:r>
          </w:p>
        </w:tc>
        <w:tc>
          <w:tcPr>
            <w:tcW w:w="14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18"/>
        </w:trPr>
        <w:tc>
          <w:tcPr>
            <w:tcW w:w="85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Total amortization expense</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46,935</w:t>
            </w:r>
          </w:p>
        </w:tc>
      </w:tr>
      <w:tr>
        <w:trPr>
          <w:trHeight w:val="20"/>
        </w:trPr>
        <w:tc>
          <w:tcPr>
            <w:tcW w:w="85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5386705</wp:posOffset>
            </wp:positionH>
            <wp:positionV relativeFrom="paragraph">
              <wp:posOffset>-43180</wp:posOffset>
            </wp:positionV>
            <wp:extent cx="949960" cy="501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0">
                      <a:extLst>
                        <a:ext uri="{28A0092B-C50C-407E-A947-70E740481C1C}"/>
                      </a:extLst>
                    </a:blip>
                    <a:srcRect/>
                    <a:stretch>
                      <a:fillRect/>
                    </a:stretch>
                  </pic:blipFill>
                  <pic:spPr bwMode="auto">
                    <a:xfrm>
                      <a:off x="0" y="0"/>
                      <a:ext cx="949960" cy="50165"/>
                    </a:xfrm>
                    <a:prstGeom prst="rect">
                      <a:avLst/>
                    </a:prstGeom>
                    <a:noFill/>
                  </pic:spPr>
                </pic:pic>
              </a:graphicData>
            </a:graphic>
          </wp:anchor>
        </w:drawing>
      </w:r>
    </w:p>
    <w:p>
      <w:pPr>
        <w:spacing w:after="0" w:line="103"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The following table summarizes intangible assets with an indefinite useful life included within other asset, noncurrent on the consolidated balance sheet: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As of January 31,</w:t>
            </w:r>
          </w:p>
        </w:tc>
        <w:tc>
          <w:tcPr>
            <w:tcW w:w="1220" w:type="dxa"/>
            <w:vAlign w:val="bottom"/>
            <w:tcBorders>
              <w:bottom w:val="single" w:sz="8" w:color="auto"/>
            </w:tcBorders>
          </w:tcPr>
          <w:p>
            <w:pPr>
              <w:spacing w:after="0"/>
              <w:rPr>
                <w:sz w:val="18"/>
                <w:szCs w:val="18"/>
                <w:color w:val="auto"/>
              </w:rPr>
            </w:pPr>
          </w:p>
        </w:tc>
      </w:tr>
      <w:tr>
        <w:trPr>
          <w:trHeight w:val="228"/>
        </w:trPr>
        <w:tc>
          <w:tcPr>
            <w:tcW w:w="6080" w:type="dxa"/>
            <w:vAlign w:val="bottom"/>
          </w:tcPr>
          <w:p>
            <w:pPr>
              <w:spacing w:after="0"/>
              <w:rPr>
                <w:sz w:val="19"/>
                <w:szCs w:val="19"/>
                <w:color w:val="auto"/>
              </w:rPr>
            </w:pPr>
          </w:p>
        </w:tc>
        <w:tc>
          <w:tcPr>
            <w:tcW w:w="12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6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gridSpan w:val="3"/>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20" w:type="dxa"/>
            <w:vAlign w:val="bottom"/>
          </w:tcPr>
          <w:p>
            <w:pPr>
              <w:spacing w:after="0"/>
              <w:rPr>
                <w:sz w:val="19"/>
                <w:szCs w:val="19"/>
                <w:color w:val="auto"/>
              </w:rPr>
            </w:pPr>
          </w:p>
        </w:tc>
      </w:tr>
      <w:tr>
        <w:trPr>
          <w:trHeight w:val="299"/>
        </w:trPr>
        <w:tc>
          <w:tcPr>
            <w:tcW w:w="60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Domain and IP Addresses</w:t>
            </w:r>
          </w:p>
        </w:tc>
        <w:tc>
          <w:tcPr>
            <w:tcW w:w="1200" w:type="dxa"/>
            <w:vAlign w:val="bottom"/>
            <w:shd w:val="clear" w:color="auto" w:fill="DEDEDE"/>
          </w:tcPr>
          <w:p>
            <w:pPr>
              <w:jc w:val="right"/>
              <w:ind w:right="969"/>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20,232</w:t>
            </w:r>
          </w:p>
        </w:tc>
        <w:tc>
          <w:tcPr>
            <w:tcW w:w="740" w:type="dxa"/>
            <w:vAlign w:val="bottom"/>
            <w:gridSpan w:val="2"/>
            <w:shd w:val="clear" w:color="auto" w:fill="DEDEDE"/>
          </w:tcPr>
          <w:p>
            <w:pPr>
              <w:jc w:val="right"/>
              <w:ind w:right="44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20,232</w:t>
            </w:r>
          </w:p>
        </w:tc>
      </w:tr>
      <w:tr>
        <w:trPr>
          <w:trHeight w:val="281"/>
        </w:trPr>
        <w:tc>
          <w:tcPr>
            <w:tcW w:w="608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9"/>
                <w:szCs w:val="19"/>
                <w:color w:val="auto"/>
              </w:rPr>
              <w:t>Patents and Tradenames</w:t>
            </w:r>
          </w:p>
        </w:tc>
        <w:tc>
          <w:tcPr>
            <w:tcW w:w="1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5,007</w:t>
            </w:r>
          </w:p>
        </w:tc>
        <w:tc>
          <w:tcPr>
            <w:tcW w:w="60" w:type="dxa"/>
            <w:vAlign w:val="bottom"/>
            <w:tcBorders>
              <w:bottom w:val="single" w:sz="8" w:color="DEDEDE"/>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5,007</w:t>
            </w:r>
          </w:p>
        </w:tc>
      </w:tr>
      <w:tr>
        <w:trPr>
          <w:trHeight w:val="291"/>
        </w:trPr>
        <w:tc>
          <w:tcPr>
            <w:tcW w:w="608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Total</w:t>
            </w:r>
          </w:p>
        </w:tc>
        <w:tc>
          <w:tcPr>
            <w:tcW w:w="1200" w:type="dxa"/>
            <w:vAlign w:val="bottom"/>
            <w:tcBorders>
              <w:bottom w:val="single" w:sz="8" w:color="auto"/>
            </w:tcBorders>
            <w:shd w:val="clear" w:color="auto" w:fill="DEDEDE"/>
          </w:tcPr>
          <w:p>
            <w:pPr>
              <w:jc w:val="right"/>
              <w:ind w:right="969"/>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25,239</w:t>
            </w:r>
          </w:p>
        </w:tc>
        <w:tc>
          <w:tcPr>
            <w:tcW w:w="60" w:type="dxa"/>
            <w:vAlign w:val="bottom"/>
            <w:tcBorders>
              <w:bottom w:val="single" w:sz="8" w:color="DEDEDE"/>
            </w:tcBorders>
            <w:shd w:val="clear" w:color="auto" w:fill="DEDEDE"/>
          </w:tcPr>
          <w:p>
            <w:pPr>
              <w:spacing w:after="0"/>
              <w:rPr>
                <w:sz w:val="24"/>
                <w:szCs w:val="24"/>
                <w:color w:val="auto"/>
              </w:rPr>
            </w:pPr>
          </w:p>
        </w:tc>
        <w:tc>
          <w:tcPr>
            <w:tcW w:w="680" w:type="dxa"/>
            <w:vAlign w:val="bottom"/>
            <w:tcBorders>
              <w:bottom w:val="single" w:sz="8" w:color="auto"/>
            </w:tcBorders>
            <w:shd w:val="clear" w:color="auto" w:fill="DEDEDE"/>
          </w:tcPr>
          <w:p>
            <w:pPr>
              <w:jc w:val="right"/>
              <w:ind w:right="44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25,239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-43180</wp:posOffset>
            </wp:positionV>
            <wp:extent cx="2484755" cy="50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1">
                      <a:extLst>
                        <a:ext uri="{28A0092B-C50C-407E-A947-70E740481C1C}"/>
                      </a:extLst>
                    </a:blip>
                    <a:srcRect/>
                    <a:stretch>
                      <a:fillRect/>
                    </a:stretch>
                  </pic:blipFill>
                  <pic:spPr bwMode="auto">
                    <a:xfrm>
                      <a:off x="0" y="0"/>
                      <a:ext cx="2484755" cy="50165"/>
                    </a:xfrm>
                    <a:prstGeom prst="rect">
                      <a:avLst/>
                    </a:prstGeom>
                    <a:noFill/>
                  </pic:spPr>
                </pic:pic>
              </a:graphicData>
            </a:graphic>
          </wp:anchor>
        </w:drawing>
      </w:r>
    </w:p>
    <w:p>
      <w:pPr>
        <w:spacing w:after="0" w:line="1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For the years ended January 31, 2024, 2023 and 2022, there were no intangible assets impairment losses.</w:t>
      </w:r>
    </w:p>
    <w:p>
      <w:pPr>
        <w:sectPr>
          <w:pgSz w:w="11880" w:h="15480" w:orient="portrait"/>
          <w:cols w:equalWidth="0" w:num="1">
            <w:col w:w="9960"/>
          </w:cols>
          <w:pgMar w:left="960" w:top="90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88</w:t>
      </w:r>
    </w:p>
    <w:p>
      <w:pPr>
        <w:sectPr>
          <w:pgSz w:w="11880" w:h="15480" w:orient="portrait"/>
          <w:cols w:equalWidth="0" w:num="1">
            <w:col w:w="9960"/>
          </w:cols>
          <w:pgMar w:left="960" w:top="908" w:right="960" w:bottom="0" w:gutter="0" w:footer="0" w:header="0"/>
          <w:type w:val="continuous"/>
        </w:sectPr>
      </w:pPr>
    </w:p>
    <w:bookmarkStart w:id="92" w:name="page93"/>
    <w:bookmarkEnd w:id="92"/>
    <w:p>
      <w:pPr>
        <w:ind w:left="700" w:hanging="699"/>
        <w:spacing w:after="0"/>
        <w:tabs>
          <w:tab w:leader="none" w:pos="700" w:val="left"/>
        </w:tabs>
        <w:numPr>
          <w:ilvl w:val="0"/>
          <w:numId w:val="3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Commitments and Contingencies</w:t>
      </w:r>
    </w:p>
    <w:p>
      <w:pPr>
        <w:spacing w:after="0" w:line="2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Non-cancelable Purchase Obligations</w:t>
      </w:r>
    </w:p>
    <w:p>
      <w:pPr>
        <w:spacing w:after="0" w:line="139" w:lineRule="exact"/>
        <w:rPr>
          <w:sz w:val="20"/>
          <w:szCs w:val="20"/>
          <w:color w:val="auto"/>
        </w:rPr>
      </w:pPr>
    </w:p>
    <w:p>
      <w:pPr>
        <w:jc w:val="both"/>
        <w:ind w:firstLine="524"/>
        <w:spacing w:after="0" w:line="272" w:lineRule="auto"/>
        <w:rPr>
          <w:sz w:val="20"/>
          <w:szCs w:val="20"/>
          <w:color w:val="auto"/>
        </w:rPr>
      </w:pPr>
      <w:r>
        <w:rPr>
          <w:rFonts w:ascii="Times New Roman" w:cs="Times New Roman" w:eastAsia="Times New Roman" w:hAnsi="Times New Roman"/>
          <w:sz w:val="19"/>
          <w:szCs w:val="19"/>
          <w:color w:val="auto"/>
        </w:rPr>
        <w:t>In the normal course of business, we enter into non-cancelable purchase commitments with various parties to purchase primarily software-based services. As of January 31, 2024, we had outstanding non-cancelable purchase obligations with a term of less than 12 months of $247.4 million and non-cancelable purchase obligations with a term 12 months or longer of $368.4 million.</w:t>
      </w:r>
    </w:p>
    <w:p>
      <w:pPr>
        <w:spacing w:after="0" w:line="200" w:lineRule="exact"/>
        <w:rPr>
          <w:sz w:val="20"/>
          <w:szCs w:val="20"/>
          <w:color w:val="auto"/>
        </w:rPr>
      </w:pP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Indemnifications and Contingency</w:t>
      </w:r>
    </w:p>
    <w:p>
      <w:pPr>
        <w:spacing w:after="0" w:line="139"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Our agreements with certain larger customers include certain provisions for indemnifying customers against liabilities if our services infringe a third party’s intellectual property rights. It is not possible to determine the maximum potential amount under these indemnification obligations due to the limited history of prior indemnification claims and the unique facts and circumstances that may be involved in each particular agreement. To date, we have not incurred any material costs as a result of such provisions and have not accrued any liabilities related to such obligations in our consolidated financial statements.</w:t>
      </w:r>
    </w:p>
    <w:p>
      <w:pPr>
        <w:spacing w:after="0" w:line="75"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9"/>
          <w:szCs w:val="19"/>
          <w:color w:val="auto"/>
        </w:rPr>
        <w:t>In addition, we have indemnification agreements with our directors and our executive officers that require us, among other things, to indemnify our directors and executive officers for costs associated with any fees, expenses, judgments, fines, and settlement amounts incurred by any of those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insurance coverage that may enable us to recover a portion of any future indemnification amounts paid. To date, there have been no claims under any of our directors’ and executive officers’ indemnification provisions.</w:t>
      </w: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Sales and Other Tax Liabilities</w:t>
      </w:r>
    </w:p>
    <w:p>
      <w:pPr>
        <w:spacing w:after="0" w:line="139"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We conduct operations in many tax jurisdictions. In many jurisdictions, non-income-based taxes, such as sales and use tax and other indirect taxes, are assessed on our operations. Although we are diligent in collecting and remitting such taxes, there is uncertainty as to what constitutes sufficient presence for a jurisdiction to levy taxes, fees, and surcharges for sales made over the Internet. As of January 31, 2024 and 2023, we recorded sales and other tax liabilities of $77.7 million and $76.2 million, respectively, of which $35.5 million and $33.9 million are included in accrued expenses and other current liabilities, respectively, and $42.3 million and $42.3 million are included in other liabilities, noncurrent, respectively, in our consolidated balance sheets, based on our best estimate of the probable liability for the loss contingency incurred as of those dates. Our estimate of a probable outcome under the loss contingency is based on analysis of our sales and marketing activities, revenue subject to sales tax, and applicable regulations in applicable jurisdictions in each period. No significant adjustments to the sales and other tax liabilities have been recognized in the accompanying consolidated financial statements for changes to the assumptions underlying the estimate; however, changes in our assumptions may occur in the future as we obtain new information, which can result in adjustments to the recorded liability.</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Other Contingencies</w:t>
      </w:r>
    </w:p>
    <w:p>
      <w:pPr>
        <w:spacing w:after="0" w:line="139"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reputational harm.</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89</w:t>
      </w:r>
    </w:p>
    <w:p>
      <w:pPr>
        <w:sectPr>
          <w:pgSz w:w="11880" w:h="15480" w:orient="portrait"/>
          <w:cols w:equalWidth="0" w:num="1">
            <w:col w:w="9960"/>
          </w:cols>
          <w:pgMar w:left="960" w:top="815" w:right="960" w:bottom="0" w:gutter="0" w:footer="0" w:header="0"/>
          <w:type w:val="continuous"/>
        </w:sectPr>
      </w:pPr>
    </w:p>
    <w:bookmarkStart w:id="93" w:name="page94"/>
    <w:bookmarkEnd w:id="93"/>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Legal Proceedings</w:t>
      </w:r>
    </w:p>
    <w:p>
      <w:pPr>
        <w:spacing w:after="0" w:line="139"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On October 27, 2021, a third substantially identical lawsuit was filed in the same court against the same defendants, seeking unspecified monetary damages and governance reforms. On November 17, 2021, all three derivative lawsuits were consolidated. The consolidated case was stayed pending resolution of the motion to dismiss the securities class action. On April 11, 2023, the court entered a stipulated order that requires defendants to answer, move, or otherwise respond to the operative complaint by June 12, 2023. On June 12, 2023, defendants filed a motion to dismiss the consolidated case. On August 11, 2023, the plaintiff in the consolidated case filed an amended complaint. On October 18, 2023, defendants filed their motion to dismiss the amended complaint. On December 22, 2023, plaintiff filed her opposition to the motion to dismiss, and on January 26, 2024, defendants filed their reply in support of the motion to dismiss.</w:t>
      </w:r>
    </w:p>
    <w:p>
      <w:pPr>
        <w:spacing w:after="0" w:line="90"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We are vigorously defending ourselves against these lawsuits.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w:t>
      </w:r>
    </w:p>
    <w:p>
      <w:pPr>
        <w:spacing w:after="0" w:line="64" w:lineRule="exact"/>
        <w:rPr>
          <w:sz w:val="20"/>
          <w:szCs w:val="20"/>
          <w:color w:val="auto"/>
        </w:rPr>
      </w:pPr>
    </w:p>
    <w:p>
      <w:pPr>
        <w:jc w:val="both"/>
        <w:ind w:firstLine="524"/>
        <w:spacing w:after="0" w:line="257" w:lineRule="auto"/>
        <w:rPr>
          <w:sz w:val="20"/>
          <w:szCs w:val="20"/>
          <w:color w:val="auto"/>
        </w:rPr>
      </w:pPr>
      <w:r>
        <w:rPr>
          <w:rFonts w:ascii="Times New Roman" w:cs="Times New Roman" w:eastAsia="Times New Roman" w:hAnsi="Times New Roman"/>
          <w:sz w:val="19"/>
          <w:szCs w:val="19"/>
          <w:color w:val="auto"/>
        </w:rPr>
        <w:t>Beginning on March 30, 2020, multiple putative class actions were filed against us in various U.S. federal district courts and state courts relating to our alleged privacy and security practices, including alleged data sharing with third parties (the “U.S. Privacy Class Actions”). The plaintiffs claim violations of a variety of state consumer protection and privacy laws, and also assert state constitutional and common law claims, such as negligence and unjust enrichment. The U.S. Privacy Class Actions seek to certify both nationwide and state-specific classes of individuals using our services in certain time periods. The plaintiffs seek various forms of injunctive and monetary relief, including restitution, statutory and actual damages, punitive damages, and attorneys’ fees. The federal cases have been transferred to and consolidated in the NDCA with our consent; lead plaintiffs’ counsel have been appointed; and plaintiffs filed their first amended consolidated class action complaint on October 28, 2020. On March 11, 2021, the court granted in part, and denied in part, our motion to dismiss, and gave plaintiffs leave to amend. On July 30, 2021, we entered into a settlement agreement with plaintiffs to settle the action on a classwide basis, and plaintiffs filed a motion for preliminary approval of the settlement with the court on July 31, 2021. On October 21, 2021, the Court preliminarily approved the settlement. Under the terms of the settlement, we have paid $85.0 million into an escrow account that will be used to pay claims filed by settlement class members, attorneys’ fees and expenses, administrative costs, and service payments to plaintiffs. On April 21, 2022, the Court granted final approval of the settlement. On May 19, 2022, two objectors to the settlement appealed the Court's final approval order. On May 20, 2022, a third objector appealed the Court’s final approval order. On October 17, 2022, we, plaintiffs, and all three objector-appellants agreed to settle the appeals, and on October 27, 2022, we and plaintiffs initiated proceedings in the district court to obtain Court approval of the settlements, which the district court approved on December 16, 2022. On January 13, 2023, a new objector appealed the court’s December 16, 2022 approval of the settlements of the prior appeals, and on March 31, 2023, the Ninth Circuit dismissed the new appeal. With the appeals resolved, the class action settlement is final and the settlement administrator is in the process of making payments to claimants.</w:t>
      </w:r>
    </w:p>
    <w:p>
      <w:pPr>
        <w:spacing w:after="0" w:line="329"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On April 7, 2020 and April 8, 2020, securities class action complaints were filed against us and two of our officers in the United States District Court for the NDCA. The plaintiffs are purported stockholders of ours.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filed on August 9, 2021. On February 16, 2022, the court granted in part, and denied in part, our motion to dismiss. On March 14, 2022, we moved for reconsideration of the court’s ruling on the motion to dismiss. On March 22, 2022, the court ordered plaintiff to respond to our motion, which plaintiff did on March 29, 2022. On April 22, 2022, we answered the complaint. On March 8, 2023, the court denied our motion for reconsideration. On April 6, 2023, the court entered a scheduling order. On July 17, 2023, the parties entered into a stipulation and agreement of settlement (the “Stipulation”) to resolve this matter. Under the terms of the stipulation, in exchange for the release and dismissal with prejudice of all claims against all defendants in the matter, we have agreed to pay and/or cause our insurance carriers to pay a total of $150.0 million. The Stipulation and settlement remain subject to preliminary and final approval by the court. On July 25, 2023, the court entered an order staying further proceedings in the matter pending the filing of a motion for preliminary approval of the settlement. On October 17, 2023, lead plaintiff filed a motion for preliminary approval of the settlement. A hearing on the motion for preliminary approval of the settlement is not currently scheduled. As a result of the settlement, we made net</w:t>
      </w:r>
    </w:p>
    <w:p>
      <w:pPr>
        <w:sectPr>
          <w:pgSz w:w="11880" w:h="15480" w:orient="portrait"/>
          <w:cols w:equalWidth="0" w:num="1">
            <w:col w:w="9960"/>
          </w:cols>
          <w:pgMar w:left="960" w:top="813" w:right="960" w:bottom="0"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90</w:t>
      </w:r>
    </w:p>
    <w:p>
      <w:pPr>
        <w:sectPr>
          <w:pgSz w:w="11880" w:h="15480" w:orient="portrait"/>
          <w:cols w:equalWidth="0" w:num="1">
            <w:col w:w="9960"/>
          </w:cols>
          <w:pgMar w:left="960" w:top="813" w:right="960" w:bottom="0" w:gutter="0" w:footer="0" w:header="0"/>
          <w:type w:val="continuous"/>
        </w:sectPr>
      </w:pPr>
    </w:p>
    <w:bookmarkStart w:id="94" w:name="page95"/>
    <w:bookmarkEnd w:id="94"/>
    <w:p>
      <w:pPr>
        <w:jc w:val="both"/>
        <w:spacing w:after="0" w:line="272" w:lineRule="auto"/>
        <w:rPr>
          <w:sz w:val="20"/>
          <w:szCs w:val="20"/>
          <w:color w:val="auto"/>
        </w:rPr>
      </w:pPr>
      <w:r>
        <w:rPr>
          <w:rFonts w:ascii="Times New Roman" w:cs="Times New Roman" w:eastAsia="Times New Roman" w:hAnsi="Times New Roman"/>
          <w:sz w:val="19"/>
          <w:szCs w:val="19"/>
          <w:color w:val="auto"/>
        </w:rPr>
        <w:t>payments of $60.0 million ($150.0 million for the settlement net of $90.0 million covered by insurance) during the year ended January 31, 2024, of which $7.5 million had been accrued during the year ended January 31, 2023 and $52.5 million was recorded as a general and administrative expense in our consolidated statement of operations for the year ended January 31, 2024.</w:t>
      </w:r>
    </w:p>
    <w:p>
      <w:pPr>
        <w:spacing w:after="0" w:line="305"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87" w:lineRule="exact"/>
        <w:rPr>
          <w:sz w:val="20"/>
          <w:szCs w:val="20"/>
          <w:color w:val="auto"/>
        </w:rPr>
      </w:pPr>
    </w:p>
    <w:p>
      <w:pPr>
        <w:ind w:left="700" w:hanging="699"/>
        <w:spacing w:after="0"/>
        <w:tabs>
          <w:tab w:leader="none" w:pos="700" w:val="left"/>
        </w:tabs>
        <w:numPr>
          <w:ilvl w:val="0"/>
          <w:numId w:val="3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Stockholders’ Equity and Equity Incentive Plans</w:t>
      </w:r>
    </w:p>
    <w:p>
      <w:pPr>
        <w:spacing w:after="0" w:line="2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Dual-Class Common Stock Structure</w:t>
      </w:r>
    </w:p>
    <w:p>
      <w:pPr>
        <w:spacing w:after="0" w:line="139" w:lineRule="exact"/>
        <w:rPr>
          <w:sz w:val="20"/>
          <w:szCs w:val="20"/>
          <w:color w:val="auto"/>
        </w:rPr>
      </w:pPr>
    </w:p>
    <w:p>
      <w:pPr>
        <w:jc w:val="both"/>
        <w:ind w:firstLine="524"/>
        <w:spacing w:after="0" w:line="255" w:lineRule="auto"/>
        <w:rPr>
          <w:sz w:val="20"/>
          <w:szCs w:val="20"/>
          <w:color w:val="auto"/>
        </w:rPr>
      </w:pPr>
      <w:r>
        <w:rPr>
          <w:rFonts w:ascii="Times New Roman" w:cs="Times New Roman" w:eastAsia="Times New Roman" w:hAnsi="Times New Roman"/>
          <w:sz w:val="19"/>
          <w:szCs w:val="19"/>
          <w:color w:val="auto"/>
        </w:rPr>
        <w:t>In November 2018, we implemented a dual class common stock structure pursuant to which all the then-outstanding shares of our common stock were reclassified as Class B common stock and a new class of Class A common stock was authorized. The Class A common stock is entitled to one vote per share and the Class B common stock is entitled to 10 votes per share. The Class A and Class B common stock have the same dividend and liquidation rights. Each share of Class B common stock will automatically convert into one share of Class A common stock upon (a) any transfer of such share, except for certain permitted transfers described in our amended and restated certificate of incorporation and (b) the death of the holder of such share. In addition, each share of Class B common stock will be automatically converted into one share of Class A common stock upon the earliest of (a) the date that is six months following the death or incapacity of Eric S. Yuan (our CEO),</w:t>
      </w:r>
    </w:p>
    <w:p>
      <w:pPr>
        <w:spacing w:after="0" w:line="6" w:lineRule="exact"/>
        <w:rPr>
          <w:sz w:val="20"/>
          <w:szCs w:val="20"/>
          <w:color w:val="auto"/>
        </w:rPr>
      </w:pPr>
    </w:p>
    <w:p>
      <w:pPr>
        <w:jc w:val="both"/>
        <w:ind w:firstLine="1"/>
        <w:spacing w:after="0" w:line="262" w:lineRule="auto"/>
        <w:tabs>
          <w:tab w:leader="none" w:pos="297"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that is six months following the date that Mr. Yuan is no longer providing services to us or his employment is terminated for cause, (c) the date specified by the holders of a majority of the then-outstanding shares of convertible preferred stock, voting together on an as-converted basis, and the holders of a majority of the then-outstanding shares of Class B common stock, voting as a separate class, and (d) the 15-year anniversary of the closing of our IPO. In connection with the implementation of the dual-class common stock structure, each then-outstanding share of our convertible preferred stock became convertible into one share of Class B common stock, and all outstanding options to purchase shares of common stock became options to purchase an equivalent number of shares of Class B common stock.</w:t>
      </w:r>
    </w:p>
    <w:p>
      <w:pPr>
        <w:spacing w:after="0" w:line="78" w:lineRule="exact"/>
        <w:rPr>
          <w:sz w:val="20"/>
          <w:szCs w:val="20"/>
          <w:color w:val="auto"/>
        </w:rPr>
      </w:pPr>
    </w:p>
    <w:p>
      <w:pPr>
        <w:jc w:val="both"/>
        <w:ind w:firstLine="524"/>
        <w:spacing w:after="0" w:line="267" w:lineRule="auto"/>
        <w:rPr>
          <w:sz w:val="20"/>
          <w:szCs w:val="20"/>
          <w:color w:val="auto"/>
        </w:rPr>
      </w:pPr>
      <w:r>
        <w:rPr>
          <w:rFonts w:ascii="Times New Roman" w:cs="Times New Roman" w:eastAsia="Times New Roman" w:hAnsi="Times New Roman"/>
          <w:sz w:val="19"/>
          <w:szCs w:val="19"/>
          <w:color w:val="auto"/>
        </w:rPr>
        <w:t>Upon the effectiveness of the amended and restated certificate of incorporation in November 2018, the number of shares of common stock that are authorized to be issued consisted of 320,000,000 shares of Class A common stock, $0.001 par value per share and 300,000,000 shares of Class B common stock, $0.001 par value per share. Class A and Class B common stock are collectively referred to as “common stock” throughout the notes to the consolidated financial statements, unless otherwise noted.</w:t>
      </w:r>
    </w:p>
    <w:p>
      <w:pPr>
        <w:spacing w:after="0" w:line="200" w:lineRule="exact"/>
        <w:rPr>
          <w:sz w:val="20"/>
          <w:szCs w:val="20"/>
          <w:color w:val="auto"/>
        </w:rPr>
      </w:pP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Common Stock</w:t>
      </w:r>
    </w:p>
    <w:p>
      <w:pPr>
        <w:spacing w:after="0" w:line="139"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Upon the completion of the IPO in April 2019, our amended and restated certificate of incorporation became effective, which also authorized the issuance of 2,000,000,000 shares of Class A common stock, $0.001 par value per share and 300,000,000 shares of Class B common stock, $0.001 par value per share.</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We have the following shares of Class A common stock reserved for future issuance: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80" w:type="dxa"/>
            <w:vAlign w:val="bottom"/>
          </w:tcPr>
          <w:p>
            <w:pPr>
              <w:spacing w:after="0"/>
              <w:rPr>
                <w:sz w:val="18"/>
                <w:szCs w:val="18"/>
                <w:color w:val="auto"/>
              </w:rPr>
            </w:pPr>
          </w:p>
        </w:tc>
        <w:tc>
          <w:tcPr>
            <w:tcW w:w="232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6"/>
                <w:szCs w:val="16"/>
                <w:b w:val="1"/>
                <w:bCs w:val="1"/>
                <w:color w:val="auto"/>
                <w:w w:val="99"/>
              </w:rPr>
              <w:t>As of January 31,</w:t>
            </w:r>
          </w:p>
        </w:tc>
        <w:tc>
          <w:tcPr>
            <w:tcW w:w="1040" w:type="dxa"/>
            <w:vAlign w:val="bottom"/>
            <w:tcBorders>
              <w:bottom w:val="single" w:sz="8" w:color="auto"/>
            </w:tcBorders>
          </w:tcPr>
          <w:p>
            <w:pPr>
              <w:spacing w:after="0"/>
              <w:rPr>
                <w:sz w:val="18"/>
                <w:szCs w:val="18"/>
                <w:color w:val="auto"/>
              </w:rPr>
            </w:pPr>
          </w:p>
        </w:tc>
      </w:tr>
      <w:tr>
        <w:trPr>
          <w:trHeight w:val="271"/>
        </w:trPr>
        <w:tc>
          <w:tcPr>
            <w:tcW w:w="6580" w:type="dxa"/>
            <w:vAlign w:val="bottom"/>
            <w:tcBorders>
              <w:bottom w:val="single" w:sz="8" w:color="DEDEDE"/>
            </w:tcBorders>
          </w:tcPr>
          <w:p>
            <w:pPr>
              <w:spacing w:after="0"/>
              <w:rPr>
                <w:sz w:val="23"/>
                <w:szCs w:val="23"/>
                <w:color w:val="auto"/>
              </w:rPr>
            </w:pPr>
          </w:p>
        </w:tc>
        <w:tc>
          <w:tcPr>
            <w:tcW w:w="16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DEDEDE"/>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81"/>
        </w:trPr>
        <w:tc>
          <w:tcPr>
            <w:tcW w:w="65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Stock options outstanding</w:t>
            </w:r>
          </w:p>
        </w:tc>
        <w:tc>
          <w:tcPr>
            <w:tcW w:w="16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3,314,228</w:t>
            </w:r>
          </w:p>
        </w:tc>
        <w:tc>
          <w:tcPr>
            <w:tcW w:w="60" w:type="dxa"/>
            <w:vAlign w:val="bottom"/>
            <w:shd w:val="clear" w:color="auto" w:fill="DEDEDE"/>
          </w:tcPr>
          <w:p>
            <w:pPr>
              <w:spacing w:after="0"/>
              <w:rPr>
                <w:sz w:val="24"/>
                <w:szCs w:val="24"/>
                <w:color w:val="auto"/>
              </w:rPr>
            </w:pPr>
          </w:p>
        </w:tc>
        <w:tc>
          <w:tcPr>
            <w:tcW w:w="620" w:type="dxa"/>
            <w:vAlign w:val="bottom"/>
            <w:shd w:val="clear" w:color="auto" w:fill="DEDEDE"/>
          </w:tcPr>
          <w:p>
            <w:pPr>
              <w:spacing w:after="0"/>
              <w:rPr>
                <w:sz w:val="24"/>
                <w:szCs w:val="24"/>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4,800,616</w:t>
            </w:r>
          </w:p>
        </w:tc>
      </w:tr>
      <w:tr>
        <w:trPr>
          <w:trHeight w:val="285"/>
        </w:trPr>
        <w:tc>
          <w:tcPr>
            <w:tcW w:w="65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RSUs outstanding</w:t>
            </w:r>
          </w:p>
        </w:tc>
        <w:tc>
          <w:tcPr>
            <w:tcW w:w="1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26,040,557</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21,868,533</w:t>
            </w:r>
          </w:p>
        </w:tc>
      </w:tr>
      <w:tr>
        <w:trPr>
          <w:trHeight w:val="298"/>
        </w:trPr>
        <w:tc>
          <w:tcPr>
            <w:tcW w:w="65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ESPP purchase rights outstanding</w:t>
            </w:r>
          </w:p>
        </w:tc>
        <w:tc>
          <w:tcPr>
            <w:tcW w:w="16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2,086,604</w:t>
            </w:r>
          </w:p>
        </w:tc>
        <w:tc>
          <w:tcPr>
            <w:tcW w:w="60" w:type="dxa"/>
            <w:vAlign w:val="bottom"/>
            <w:shd w:val="clear" w:color="auto" w:fill="DEDEDE"/>
          </w:tcPr>
          <w:p>
            <w:pPr>
              <w:spacing w:after="0"/>
              <w:rPr>
                <w:sz w:val="24"/>
                <w:szCs w:val="24"/>
                <w:color w:val="auto"/>
              </w:rPr>
            </w:pPr>
          </w:p>
        </w:tc>
        <w:tc>
          <w:tcPr>
            <w:tcW w:w="620" w:type="dxa"/>
            <w:vAlign w:val="bottom"/>
            <w:shd w:val="clear" w:color="auto" w:fill="DEDEDE"/>
          </w:tcPr>
          <w:p>
            <w:pPr>
              <w:spacing w:after="0"/>
              <w:rPr>
                <w:sz w:val="24"/>
                <w:szCs w:val="24"/>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2,851,856</w:t>
            </w:r>
          </w:p>
        </w:tc>
      </w:tr>
      <w:tr>
        <w:trPr>
          <w:trHeight w:val="285"/>
        </w:trPr>
        <w:tc>
          <w:tcPr>
            <w:tcW w:w="65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Remaining shares available for future issuance under the 2011 and 2019 plan</w:t>
            </w:r>
          </w:p>
        </w:tc>
        <w:tc>
          <w:tcPr>
            <w:tcW w:w="1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50,559,254</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51,367,359</w:t>
            </w:r>
          </w:p>
        </w:tc>
      </w:tr>
      <w:tr>
        <w:trPr>
          <w:trHeight w:val="306"/>
        </w:trPr>
        <w:tc>
          <w:tcPr>
            <w:tcW w:w="658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Remaining shares available for future issuance under the ESPP</w:t>
            </w:r>
          </w:p>
        </w:tc>
        <w:tc>
          <w:tcPr>
            <w:tcW w:w="16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14,712,385</w:t>
            </w:r>
          </w:p>
        </w:tc>
        <w:tc>
          <w:tcPr>
            <w:tcW w:w="60" w:type="dxa"/>
            <w:vAlign w:val="bottom"/>
            <w:tcBorders>
              <w:bottom w:val="single" w:sz="8" w:color="DEDEDE"/>
            </w:tcBorders>
            <w:shd w:val="clear" w:color="auto" w:fill="DEDEDE"/>
          </w:tcPr>
          <w:p>
            <w:pPr>
              <w:spacing w:after="0"/>
              <w:rPr>
                <w:sz w:val="24"/>
                <w:szCs w:val="24"/>
                <w:color w:val="auto"/>
              </w:rPr>
            </w:pPr>
          </w:p>
        </w:tc>
        <w:tc>
          <w:tcPr>
            <w:tcW w:w="620" w:type="dxa"/>
            <w:vAlign w:val="bottom"/>
            <w:tcBorders>
              <w:bottom w:val="single" w:sz="8" w:color="auto"/>
            </w:tcBorders>
            <w:shd w:val="clear" w:color="auto" w:fill="DEDEDE"/>
          </w:tcPr>
          <w:p>
            <w:pPr>
              <w:spacing w:after="0"/>
              <w:rPr>
                <w:sz w:val="24"/>
                <w:szCs w:val="24"/>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11,930,797</w:t>
            </w:r>
          </w:p>
        </w:tc>
      </w:tr>
      <w:tr>
        <w:trPr>
          <w:trHeight w:val="233"/>
        </w:trPr>
        <w:tc>
          <w:tcPr>
            <w:tcW w:w="65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Total shares of Class A common stock reserved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96,713,028</w:t>
            </w:r>
          </w:p>
        </w:tc>
        <w:tc>
          <w:tcPr>
            <w:tcW w:w="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92,819,161</w:t>
            </w:r>
          </w:p>
        </w:tc>
      </w:tr>
      <w:tr>
        <w:trPr>
          <w:trHeight w:val="20"/>
        </w:trPr>
        <w:tc>
          <w:tcPr>
            <w:tcW w:w="65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-43180</wp:posOffset>
            </wp:positionV>
            <wp:extent cx="2152015" cy="501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2">
                      <a:extLst>
                        <a:ext uri="{28A0092B-C50C-407E-A947-70E740481C1C}"/>
                      </a:extLst>
                    </a:blip>
                    <a:srcRect/>
                    <a:stretch>
                      <a:fillRect/>
                    </a:stretch>
                  </pic:blipFill>
                  <pic:spPr bwMode="auto">
                    <a:xfrm>
                      <a:off x="0" y="0"/>
                      <a:ext cx="2152015" cy="50165"/>
                    </a:xfrm>
                    <a:prstGeom prst="rect">
                      <a:avLst/>
                    </a:prstGeom>
                    <a:noFill/>
                  </pic:spPr>
                </pic:pic>
              </a:graphicData>
            </a:graphic>
          </wp:anchor>
        </w:drawing>
      </w:r>
    </w:p>
    <w:p>
      <w:pPr>
        <w:spacing w:after="0" w:line="2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Stock Repurchase Plan</w:t>
      </w:r>
    </w:p>
    <w:p>
      <w:pPr>
        <w:spacing w:after="0" w:line="139"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In February 2022, our Board of Directors authorized a stock repurchase program of up to $1.0 billion of our Class A common stock, which was completed in December 2022. During the year ended January 31, 2023, we purchased and subsequently retired 11,170,907 shares of our Class A common stock for an aggregate amount of $1.0 billion.</w:t>
      </w:r>
    </w:p>
    <w:p>
      <w:pPr>
        <w:sectPr>
          <w:pgSz w:w="11880" w:h="15480" w:orient="portrait"/>
          <w:cols w:equalWidth="0" w:num="1">
            <w:col w:w="9960"/>
          </w:cols>
          <w:pgMar w:left="960" w:top="821" w:right="960" w:bottom="0"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91</w:t>
      </w:r>
    </w:p>
    <w:p>
      <w:pPr>
        <w:sectPr>
          <w:pgSz w:w="11880" w:h="15480" w:orient="portrait"/>
          <w:cols w:equalWidth="0" w:num="1">
            <w:col w:w="9960"/>
          </w:cols>
          <w:pgMar w:left="960" w:top="821" w:right="960" w:bottom="0" w:gutter="0" w:footer="0" w:header="0"/>
          <w:type w:val="continuous"/>
        </w:sectPr>
      </w:pPr>
    </w:p>
    <w:bookmarkStart w:id="95" w:name="page96"/>
    <w:bookmarkEnd w:id="95"/>
    <w:p>
      <w:pPr>
        <w:jc w:val="both"/>
        <w:ind w:firstLine="524"/>
        <w:spacing w:after="0" w:line="286" w:lineRule="auto"/>
        <w:rPr>
          <w:sz w:val="20"/>
          <w:szCs w:val="20"/>
          <w:color w:val="auto"/>
        </w:rPr>
      </w:pPr>
      <w:r>
        <w:rPr>
          <w:rFonts w:ascii="Times New Roman" w:cs="Times New Roman" w:eastAsia="Times New Roman" w:hAnsi="Times New Roman"/>
          <w:sz w:val="19"/>
          <w:szCs w:val="19"/>
          <w:color w:val="auto"/>
        </w:rPr>
        <w:t>In February 2024, our Board of Directors authorized a new stock repurchase program of up to $1.5 billion of our Class A common stock. See Note 14, "Subsequent Events" for additional information related to the authorized stock repurchase program.</w:t>
      </w:r>
    </w:p>
    <w:p>
      <w:pPr>
        <w:spacing w:after="0" w:line="200" w:lineRule="exact"/>
        <w:rPr>
          <w:sz w:val="20"/>
          <w:szCs w:val="20"/>
          <w:color w:val="auto"/>
        </w:rPr>
      </w:pP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Equity Incentive Plans</w:t>
      </w:r>
    </w:p>
    <w:p>
      <w:pPr>
        <w:spacing w:after="0" w:line="139"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In 2011, we adopted the 2011 Global Share Plan (“2011 Plan”), under which officers, employees, and consultants were granted various forms of equity incentive compensation at the discretion of the board of directors, including stock options and restricted stock awards. In connection with the IPO, the shares of Class B common stock remaining available for issuance under the 2011 Plan became available for issuance for a corresponding number of shares of our Class A common stock under the 2019 Equity Incentive Plan (“2019 Plan”), which is a successor to and continuation of our 2011 Plan.</w:t>
      </w:r>
    </w:p>
    <w:p>
      <w:pPr>
        <w:spacing w:after="0" w:line="75"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In April 2019, we adopted the 2019 Plan, which became effective in connection with our IPO. Our 2019 Plan provides for the grant of stock options, stock appreciation rights, RSU awards, performance awards, and other forms of awards. The awards generally vest over four years. The plan administrator determines the term of stock options granted under the 2019 Plan, up to a maximum of 10 years. The maximum number of shares of our Class A common stock that may be issued under our 2019 Plan will not exceed 58,300,889 shares of our Class A common stock, which is the sum of (1) 34,000,000 new shares, plus (2) an additional number of shares not to exceed 24,300,889, consisting of (A) shares that remain available for the issuance of awards under our 2011 Plan as of immediately prior to the time our 2019 Plan becomes effective and (B) shares of Class B common stock subject to outstanding stock options or other stock awards granted under our 2011 Plan that, on or after the 2019 Plan became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our Class A common stock reserved for issuance under our 2019 Plan automatically increases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 (ii) a lesser number of shares determined by our board of directors prior to the applicable February 1.</w:t>
      </w:r>
    </w:p>
    <w:p>
      <w:pPr>
        <w:spacing w:after="0" w:line="200" w:lineRule="exact"/>
        <w:rPr>
          <w:sz w:val="20"/>
          <w:szCs w:val="20"/>
          <w:color w:val="auto"/>
        </w:rPr>
      </w:pPr>
    </w:p>
    <w:p>
      <w:pPr>
        <w:spacing w:after="0" w:line="2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Stock Options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A summary of stock option activity under our equity incentive plan and related information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722"/>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5"/>
              </w:rPr>
              <w:t>Weighted-</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Weighted-</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34"/>
              <w:spacing w:after="0" w:line="15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2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4"/>
              </w:rPr>
              <w:t>Stock</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34"/>
              <w:spacing w:after="0" w:line="155" w:lineRule="exact"/>
              <w:rPr>
                <w:sz w:val="20"/>
                <w:szCs w:val="20"/>
                <w:color w:val="auto"/>
              </w:rPr>
            </w:pPr>
            <w:r>
              <w:rPr>
                <w:rFonts w:ascii="Times New Roman" w:cs="Times New Roman" w:eastAsia="Times New Roman" w:hAnsi="Times New Roman"/>
                <w:sz w:val="16"/>
                <w:szCs w:val="16"/>
                <w:b w:val="1"/>
                <w:bCs w:val="1"/>
                <w:color w:val="auto"/>
                <w:w w:val="96"/>
              </w:rPr>
              <w:t>Exercise</w:t>
            </w:r>
          </w:p>
        </w:tc>
        <w:tc>
          <w:tcPr>
            <w:tcW w:w="80" w:type="dxa"/>
            <w:vAlign w:val="bottom"/>
          </w:tcPr>
          <w:p>
            <w:pPr>
              <w:spacing w:after="0"/>
              <w:rPr>
                <w:sz w:val="13"/>
                <w:szCs w:val="13"/>
                <w:color w:val="auto"/>
              </w:rPr>
            </w:pPr>
          </w:p>
        </w:tc>
        <w:tc>
          <w:tcPr>
            <w:tcW w:w="12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13"/>
              <w:spacing w:after="0" w:line="155"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Options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73"/>
        </w:trPr>
        <w:tc>
          <w:tcPr>
            <w:tcW w:w="4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140" w:type="dxa"/>
            <w:vAlign w:val="bottom"/>
            <w:gridSpan w:val="9"/>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(in thousands, except share, life and per share data)</w:t>
            </w:r>
          </w:p>
        </w:tc>
        <w:tc>
          <w:tcPr>
            <w:tcW w:w="0" w:type="dxa"/>
            <w:vAlign w:val="bottom"/>
          </w:tcPr>
          <w:p>
            <w:pPr>
              <w:spacing w:after="0"/>
              <w:rPr>
                <w:sz w:val="1"/>
                <w:szCs w:val="1"/>
                <w:color w:val="auto"/>
              </w:rPr>
            </w:pPr>
          </w:p>
        </w:tc>
      </w:tr>
      <w:tr>
        <w:trPr>
          <w:trHeight w:val="285"/>
        </w:trPr>
        <w:tc>
          <w:tcPr>
            <w:tcW w:w="47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Outstanding as of January 31, 2023</w:t>
            </w:r>
          </w:p>
        </w:tc>
        <w:tc>
          <w:tcPr>
            <w:tcW w:w="12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4,800,616</w:t>
            </w:r>
          </w:p>
        </w:tc>
        <w:tc>
          <w:tcPr>
            <w:tcW w:w="30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8.22</w:t>
            </w:r>
          </w:p>
        </w:tc>
        <w:tc>
          <w:tcPr>
            <w:tcW w:w="13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4.9</w:t>
            </w:r>
          </w:p>
        </w:tc>
        <w:tc>
          <w:tcPr>
            <w:tcW w:w="28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322,929</w:t>
            </w:r>
          </w:p>
        </w:tc>
        <w:tc>
          <w:tcPr>
            <w:tcW w:w="0" w:type="dxa"/>
            <w:vAlign w:val="bottom"/>
          </w:tcPr>
          <w:p>
            <w:pPr>
              <w:spacing w:after="0"/>
              <w:rPr>
                <w:sz w:val="1"/>
                <w:szCs w:val="1"/>
                <w:color w:val="auto"/>
              </w:rPr>
            </w:pPr>
          </w:p>
        </w:tc>
      </w:tr>
      <w:tr>
        <w:trPr>
          <w:trHeight w:val="270"/>
        </w:trPr>
        <w:tc>
          <w:tcPr>
            <w:tcW w:w="47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Exercised</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(1,464,158)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6.96</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90,039</w:t>
            </w:r>
          </w:p>
        </w:tc>
        <w:tc>
          <w:tcPr>
            <w:tcW w:w="0" w:type="dxa"/>
            <w:vAlign w:val="bottom"/>
          </w:tcPr>
          <w:p>
            <w:pPr>
              <w:spacing w:after="0"/>
              <w:rPr>
                <w:sz w:val="1"/>
                <w:szCs w:val="1"/>
                <w:color w:val="auto"/>
              </w:rPr>
            </w:pPr>
          </w:p>
        </w:tc>
      </w:tr>
      <w:tr>
        <w:trPr>
          <w:trHeight w:val="292"/>
        </w:trPr>
        <w:tc>
          <w:tcPr>
            <w:tcW w:w="4740" w:type="dxa"/>
            <w:vAlign w:val="bottom"/>
            <w:tcBorders>
              <w:bottom w:val="single" w:sz="8" w:color="DEDEDE"/>
            </w:tcBorders>
            <w:shd w:val="clear" w:color="auto" w:fill="DEDEDE"/>
          </w:tcPr>
          <w:p>
            <w:pPr>
              <w:ind w:left="280"/>
              <w:spacing w:after="0"/>
              <w:rPr>
                <w:sz w:val="20"/>
                <w:szCs w:val="20"/>
                <w:color w:val="auto"/>
              </w:rPr>
            </w:pPr>
            <w:r>
              <w:rPr>
                <w:rFonts w:ascii="Times New Roman" w:cs="Times New Roman" w:eastAsia="Times New Roman" w:hAnsi="Times New Roman"/>
                <w:sz w:val="19"/>
                <w:szCs w:val="19"/>
                <w:color w:val="auto"/>
              </w:rPr>
              <w:t>Canceled/forfeited/expired</w:t>
            </w:r>
          </w:p>
        </w:tc>
        <w:tc>
          <w:tcPr>
            <w:tcW w:w="60" w:type="dxa"/>
            <w:vAlign w:val="bottom"/>
            <w:tcBorders>
              <w:bottom w:val="single" w:sz="8" w:color="DEDEDE"/>
            </w:tcBorders>
            <w:shd w:val="clear" w:color="auto" w:fill="DEDEDE"/>
          </w:tcPr>
          <w:p>
            <w:pPr>
              <w:spacing w:after="0"/>
              <w:rPr>
                <w:sz w:val="24"/>
                <w:szCs w:val="24"/>
                <w:color w:val="auto"/>
              </w:rPr>
            </w:pPr>
          </w:p>
        </w:tc>
        <w:tc>
          <w:tcPr>
            <w:tcW w:w="12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(22,230)</w:t>
            </w:r>
          </w:p>
        </w:tc>
        <w:tc>
          <w:tcPr>
            <w:tcW w:w="300" w:type="dxa"/>
            <w:vAlign w:val="bottom"/>
            <w:tcBorders>
              <w:bottom w:val="single" w:sz="8" w:color="DEDEDE"/>
            </w:tcBorders>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92.95</w:t>
            </w:r>
          </w:p>
        </w:tc>
        <w:tc>
          <w:tcPr>
            <w:tcW w:w="80" w:type="dxa"/>
            <w:vAlign w:val="bottom"/>
            <w:tcBorders>
              <w:bottom w:val="single" w:sz="8" w:color="DEDEDE"/>
            </w:tcBorders>
            <w:shd w:val="clear" w:color="auto" w:fill="DEDEDE"/>
          </w:tcPr>
          <w:p>
            <w:pPr>
              <w:spacing w:after="0"/>
              <w:rPr>
                <w:sz w:val="24"/>
                <w:szCs w:val="24"/>
                <w:color w:val="auto"/>
              </w:rPr>
            </w:pPr>
          </w:p>
        </w:tc>
        <w:tc>
          <w:tcPr>
            <w:tcW w:w="122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DEDEDE"/>
            </w:tcBorders>
            <w:shd w:val="clear" w:color="auto" w:fill="DEDEDE"/>
          </w:tcPr>
          <w:p>
            <w:pPr>
              <w:spacing w:after="0"/>
              <w:rPr>
                <w:sz w:val="24"/>
                <w:szCs w:val="24"/>
                <w:color w:val="auto"/>
              </w:rPr>
            </w:pPr>
          </w:p>
        </w:tc>
        <w:tc>
          <w:tcPr>
            <w:tcW w:w="1020" w:type="dxa"/>
            <w:vAlign w:val="bottom"/>
            <w:tcBorders>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Outstanding and Exercisable as of January 31, 2024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3,314,228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189,921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3038475</wp:posOffset>
            </wp:positionH>
            <wp:positionV relativeFrom="paragraph">
              <wp:posOffset>-43180</wp:posOffset>
            </wp:positionV>
            <wp:extent cx="802005" cy="501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3">
                      <a:extLst>
                        <a:ext uri="{28A0092B-C50C-407E-A947-70E740481C1C}"/>
                      </a:extLst>
                    </a:blip>
                    <a:srcRect/>
                    <a:stretch>
                      <a:fillRect/>
                    </a:stretch>
                  </pic:blipFill>
                  <pic:spPr bwMode="auto">
                    <a:xfrm>
                      <a:off x="0" y="0"/>
                      <a:ext cx="802005" cy="50165"/>
                    </a:xfrm>
                    <a:prstGeom prst="rect">
                      <a:avLst/>
                    </a:prstGeom>
                    <a:noFill/>
                  </pic:spPr>
                </pic:pic>
              </a:graphicData>
            </a:graphic>
          </wp:anchor>
        </w:drawing>
      </w:r>
    </w:p>
    <w:p>
      <w:pPr>
        <w:spacing w:after="0" w:line="103" w:lineRule="exact"/>
        <w:rPr>
          <w:sz w:val="20"/>
          <w:szCs w:val="20"/>
          <w:color w:val="auto"/>
        </w:rPr>
      </w:pPr>
    </w:p>
    <w:p>
      <w:pPr>
        <w:ind w:right="240" w:firstLine="524"/>
        <w:spacing w:after="0" w:line="265" w:lineRule="auto"/>
        <w:rPr>
          <w:sz w:val="20"/>
          <w:szCs w:val="20"/>
          <w:color w:val="auto"/>
        </w:rPr>
      </w:pPr>
      <w:r>
        <w:rPr>
          <w:rFonts w:ascii="Times New Roman" w:cs="Times New Roman" w:eastAsia="Times New Roman" w:hAnsi="Times New Roman"/>
          <w:sz w:val="19"/>
          <w:szCs w:val="19"/>
          <w:color w:val="auto"/>
        </w:rPr>
        <w:t>There were no options granted for the fiscal years ended January 31, 2024, 2023 and 2022. The intrinsic value of the options exercised, which represents the difference between the fair market value of our common stock on the date of exercise and the exercise price of each option, was $90.0 million, $121.5 million, and $843.0 million during the fiscal years ended January 31, 2024, 2023, and 2022, respectively. As of January 31, 2024, all options have vested and there is no unrecognized stock-based compensation expense remaining.</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92</w:t>
      </w:r>
    </w:p>
    <w:p>
      <w:pPr>
        <w:sectPr>
          <w:pgSz w:w="11880" w:h="15480" w:orient="portrait"/>
          <w:cols w:equalWidth="0" w:num="1">
            <w:col w:w="9960"/>
          </w:cols>
          <w:pgMar w:left="960" w:top="821" w:right="960" w:bottom="0" w:gutter="0" w:footer="0" w:header="0"/>
          <w:type w:val="continuous"/>
        </w:sectPr>
      </w:pPr>
    </w:p>
    <w:bookmarkStart w:id="96" w:name="page97"/>
    <w:bookmarkEnd w:id="96"/>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Restricted Stock Units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A summary of RSU activity under our equity incentive plan and related information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80" w:type="dxa"/>
            <w:vAlign w:val="bottom"/>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RSUs</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980" w:type="dxa"/>
            <w:vAlign w:val="bottom"/>
          </w:tcPr>
          <w:p>
            <w:pPr>
              <w:spacing w:after="0"/>
              <w:rPr>
                <w:sz w:val="16"/>
                <w:szCs w:val="16"/>
                <w:color w:val="auto"/>
              </w:rPr>
            </w:pPr>
          </w:p>
        </w:tc>
        <w:tc>
          <w:tcPr>
            <w:tcW w:w="1460" w:type="dxa"/>
            <w:vAlign w:val="bottom"/>
            <w:vMerge w:val="restart"/>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Unvested</w:t>
            </w:r>
          </w:p>
        </w:tc>
        <w:tc>
          <w:tcPr>
            <w:tcW w:w="60" w:type="dxa"/>
            <w:vAlign w:val="bottom"/>
          </w:tcPr>
          <w:p>
            <w:pPr>
              <w:spacing w:after="0"/>
              <w:rPr>
                <w:sz w:val="16"/>
                <w:szCs w:val="16"/>
                <w:color w:val="auto"/>
              </w:rPr>
            </w:pPr>
          </w:p>
        </w:tc>
        <w:tc>
          <w:tcPr>
            <w:tcW w:w="146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0" w:type="dxa"/>
            <w:vAlign w:val="bottom"/>
          </w:tcPr>
          <w:p>
            <w:pPr>
              <w:spacing w:after="0"/>
              <w:rPr>
                <w:sz w:val="1"/>
                <w:szCs w:val="1"/>
                <w:color w:val="auto"/>
              </w:rPr>
            </w:pPr>
          </w:p>
        </w:tc>
      </w:tr>
      <w:tr>
        <w:trPr>
          <w:trHeight w:val="155"/>
        </w:trPr>
        <w:tc>
          <w:tcPr>
            <w:tcW w:w="69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6"/>
                <w:szCs w:val="16"/>
                <w:b w:val="1"/>
                <w:bCs w:val="1"/>
                <w:color w:val="auto"/>
                <w:w w:val="97"/>
              </w:rPr>
              <w:t>Grant Date Fair</w:t>
            </w:r>
          </w:p>
        </w:tc>
        <w:tc>
          <w:tcPr>
            <w:tcW w:w="0" w:type="dxa"/>
            <w:vAlign w:val="bottom"/>
          </w:tcPr>
          <w:p>
            <w:pPr>
              <w:spacing w:after="0"/>
              <w:rPr>
                <w:sz w:val="1"/>
                <w:szCs w:val="1"/>
                <w:color w:val="auto"/>
              </w:rPr>
            </w:pPr>
          </w:p>
        </w:tc>
      </w:tr>
      <w:tr>
        <w:trPr>
          <w:trHeight w:val="208"/>
        </w:trPr>
        <w:tc>
          <w:tcPr>
            <w:tcW w:w="6980" w:type="dxa"/>
            <w:vAlign w:val="bottom"/>
            <w:tcBorders>
              <w:bottom w:val="single" w:sz="8" w:color="DEDEDE"/>
            </w:tcBorders>
          </w:tcPr>
          <w:p>
            <w:pPr>
              <w:spacing w:after="0"/>
              <w:rPr>
                <w:sz w:val="18"/>
                <w:szCs w:val="18"/>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RSUs</w:t>
            </w:r>
          </w:p>
        </w:tc>
        <w:tc>
          <w:tcPr>
            <w:tcW w:w="60" w:type="dxa"/>
            <w:vAlign w:val="bottom"/>
            <w:tcBorders>
              <w:bottom w:val="single" w:sz="8" w:color="DEDED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w w:val="96"/>
              </w:rPr>
              <w:t>Value Per Share</w:t>
            </w:r>
          </w:p>
        </w:tc>
        <w:tc>
          <w:tcPr>
            <w:tcW w:w="0" w:type="dxa"/>
            <w:vAlign w:val="bottom"/>
          </w:tcPr>
          <w:p>
            <w:pPr>
              <w:spacing w:after="0"/>
              <w:rPr>
                <w:sz w:val="1"/>
                <w:szCs w:val="1"/>
                <w:color w:val="auto"/>
              </w:rPr>
            </w:pPr>
          </w:p>
        </w:tc>
      </w:tr>
      <w:tr>
        <w:trPr>
          <w:trHeight w:val="267"/>
        </w:trPr>
        <w:tc>
          <w:tcPr>
            <w:tcW w:w="69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Unvested as of January 31, 2023</w:t>
            </w:r>
          </w:p>
        </w:tc>
        <w:tc>
          <w:tcPr>
            <w:tcW w:w="14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21,868,533</w:t>
            </w:r>
          </w:p>
        </w:tc>
        <w:tc>
          <w:tcPr>
            <w:tcW w:w="2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109.31</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19,864,395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69.27</w:t>
            </w:r>
          </w:p>
        </w:tc>
        <w:tc>
          <w:tcPr>
            <w:tcW w:w="0" w:type="dxa"/>
            <w:vAlign w:val="bottom"/>
          </w:tcPr>
          <w:p>
            <w:pPr>
              <w:spacing w:after="0"/>
              <w:rPr>
                <w:sz w:val="1"/>
                <w:szCs w:val="1"/>
                <w:color w:val="auto"/>
              </w:rPr>
            </w:pPr>
          </w:p>
        </w:tc>
      </w:tr>
      <w:tr>
        <w:trPr>
          <w:trHeight w:val="283"/>
        </w:trPr>
        <w:tc>
          <w:tcPr>
            <w:tcW w:w="698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9"/>
                <w:szCs w:val="19"/>
                <w:color w:val="auto"/>
              </w:rPr>
              <w:t>Vested</w:t>
            </w:r>
          </w:p>
        </w:tc>
        <w:tc>
          <w:tcPr>
            <w:tcW w:w="14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(11,349,453)</w:t>
            </w:r>
          </w:p>
        </w:tc>
        <w:tc>
          <w:tcPr>
            <w:tcW w:w="2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102.87</w:t>
            </w:r>
          </w:p>
        </w:tc>
        <w:tc>
          <w:tcPr>
            <w:tcW w:w="0" w:type="dxa"/>
            <w:vAlign w:val="bottom"/>
          </w:tcPr>
          <w:p>
            <w:pPr>
              <w:spacing w:after="0"/>
              <w:rPr>
                <w:sz w:val="1"/>
                <w:szCs w:val="1"/>
                <w:color w:val="auto"/>
              </w:rPr>
            </w:pPr>
          </w:p>
        </w:tc>
      </w:tr>
      <w:tr>
        <w:trPr>
          <w:trHeight w:val="266"/>
        </w:trPr>
        <w:tc>
          <w:tcPr>
            <w:tcW w:w="6980" w:type="dxa"/>
            <w:vAlign w:val="bottom"/>
            <w:tcBorders>
              <w:bottom w:val="single" w:sz="8" w:color="DEDEDE"/>
            </w:tcBorders>
          </w:tcPr>
          <w:p>
            <w:pPr>
              <w:ind w:left="280"/>
              <w:spacing w:after="0"/>
              <w:rPr>
                <w:sz w:val="20"/>
                <w:szCs w:val="20"/>
                <w:color w:val="auto"/>
              </w:rPr>
            </w:pPr>
            <w:r>
              <w:rPr>
                <w:rFonts w:ascii="Times New Roman" w:cs="Times New Roman" w:eastAsia="Times New Roman" w:hAnsi="Times New Roman"/>
                <w:sz w:val="19"/>
                <w:szCs w:val="19"/>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(4,342,918)</w:t>
            </w:r>
          </w:p>
        </w:tc>
        <w:tc>
          <w:tcPr>
            <w:tcW w:w="240" w:type="dxa"/>
            <w:vAlign w:val="bottom"/>
            <w:tcBorders>
              <w:bottom w:val="single" w:sz="8" w:color="DEDEDE"/>
            </w:tcBorders>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DEDEDE"/>
            </w:tcBorders>
          </w:tcPr>
          <w:p>
            <w:pPr>
              <w:jc w:val="right"/>
              <w:spacing w:after="0"/>
              <w:rPr>
                <w:sz w:val="20"/>
                <w:szCs w:val="20"/>
                <w:color w:val="auto"/>
              </w:rPr>
            </w:pPr>
            <w:r>
              <w:rPr>
                <w:rFonts w:ascii="Times New Roman" w:cs="Times New Roman" w:eastAsia="Times New Roman" w:hAnsi="Times New Roman"/>
                <w:sz w:val="19"/>
                <w:szCs w:val="19"/>
                <w:color w:val="auto"/>
              </w:rPr>
              <w:t>99.98</w:t>
            </w:r>
          </w:p>
        </w:tc>
        <w:tc>
          <w:tcPr>
            <w:tcW w:w="0" w:type="dxa"/>
            <w:vAlign w:val="bottom"/>
          </w:tcPr>
          <w:p>
            <w:pPr>
              <w:spacing w:after="0"/>
              <w:rPr>
                <w:sz w:val="1"/>
                <w:szCs w:val="1"/>
                <w:color w:val="auto"/>
              </w:rPr>
            </w:pPr>
          </w:p>
        </w:tc>
      </w:tr>
      <w:tr>
        <w:trPr>
          <w:trHeight w:val="276"/>
        </w:trPr>
        <w:tc>
          <w:tcPr>
            <w:tcW w:w="698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Unvested as of January 31, 2024</w:t>
            </w:r>
          </w:p>
        </w:tc>
        <w:tc>
          <w:tcPr>
            <w:tcW w:w="14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26,040,557</w:t>
            </w:r>
          </w:p>
        </w:tc>
        <w:tc>
          <w:tcPr>
            <w:tcW w:w="240" w:type="dxa"/>
            <w:vAlign w:val="bottom"/>
            <w:tcBorders>
              <w:bottom w:val="single" w:sz="8" w:color="DEDEDE"/>
            </w:tcBorders>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83.14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4425315</wp:posOffset>
            </wp:positionH>
            <wp:positionV relativeFrom="paragraph">
              <wp:posOffset>-43180</wp:posOffset>
            </wp:positionV>
            <wp:extent cx="949960" cy="501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4">
                      <a:extLst>
                        <a:ext uri="{28A0092B-C50C-407E-A947-70E740481C1C}"/>
                      </a:extLst>
                    </a:blip>
                    <a:srcRect/>
                    <a:stretch>
                      <a:fillRect/>
                    </a:stretch>
                  </pic:blipFill>
                  <pic:spPr bwMode="auto">
                    <a:xfrm>
                      <a:off x="0" y="0"/>
                      <a:ext cx="949960" cy="50165"/>
                    </a:xfrm>
                    <a:prstGeom prst="rect">
                      <a:avLst/>
                    </a:prstGeom>
                    <a:noFill/>
                  </pic:spPr>
                </pic:pic>
              </a:graphicData>
            </a:graphic>
          </wp:anchor>
        </w:drawing>
      </w:r>
    </w:p>
    <w:p>
      <w:pPr>
        <w:spacing w:after="0" w:line="220"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In October 2021, we added a feature that modified certain existing RSU awards to provide for a supplemental award based on certain future stock price criteria. The feature was subsequently modified in March and October 2022 to provide potential additional supplemental awards. The features and resulting modifications resulted in incremental stock-based compensation expense that is being recognized from the respective modification dates through the remaining requisite service period for each of the original awards. In November 2022, we cancelled one of the features related to a sub-population of the modified awards. As a result, the amount of the unrecognized compensation cost as calculated using a Monte Carlo valuation approach related to the cancelled awards of $207.7 million was recognized during the fiscal year ended January 31, 2023.</w:t>
      </w:r>
    </w:p>
    <w:p>
      <w:pPr>
        <w:spacing w:after="0" w:line="78"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As of January 31, 2024, unrecognized stock-based compensation expense related to outstanding unvested RSUs was $1,782.2 million, including the impact of the modification, which is expected to be recognized over a weighted-average period of 2.5 years.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2019 Employee Stock Purchase Plan</w:t>
      </w:r>
    </w:p>
    <w:p>
      <w:pPr>
        <w:spacing w:after="0" w:line="139" w:lineRule="exact"/>
        <w:rPr>
          <w:sz w:val="20"/>
          <w:szCs w:val="20"/>
          <w:color w:val="auto"/>
        </w:rPr>
      </w:pPr>
    </w:p>
    <w:p>
      <w:pPr>
        <w:jc w:val="both"/>
        <w:ind w:firstLine="524"/>
        <w:spacing w:after="0" w:line="262" w:lineRule="auto"/>
        <w:rPr>
          <w:sz w:val="20"/>
          <w:szCs w:val="20"/>
          <w:color w:val="auto"/>
        </w:rPr>
      </w:pPr>
      <w:r>
        <w:rPr>
          <w:rFonts w:ascii="Times New Roman" w:cs="Times New Roman" w:eastAsia="Times New Roman" w:hAnsi="Times New Roman"/>
          <w:sz w:val="19"/>
          <w:szCs w:val="19"/>
          <w:color w:val="auto"/>
        </w:rPr>
        <w:t>In April 2019, we adopted the 2019 ESPP, which became effective in connection with the IPO. A total of 9,000,000 shares of our Class A common stock were initially reserved for issuance under the ESPP. The number of shares of our Class A common stock reserved for issuance automatically increases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w:t>
      </w:r>
    </w:p>
    <w:p>
      <w:pPr>
        <w:spacing w:after="0" w:line="78"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9"/>
          <w:szCs w:val="19"/>
          <w:color w:val="auto"/>
        </w:rPr>
        <w:t>Under our current ESPP, Class A common stock will be purchased for the accounts of employees participating in the ESPP at a price per share equal to the lesser of (1) 85% of the fair market value of a share of our Class A common stock on the first date of an offering or (2) 85% of the fair market value of a share of our Class A common stock on the date of purchase. No employee may purchase shares under the ESPP at a rate in excess of $25,000 worth of our Class A common stock based on the fair market value per share of our Class A common stock at the beginning of an offering for each calendar year such purchase right is outstanding or 3,000 shares. The 2019 ESPP provides for, at maximum, 27 months offering periods with four offering dates, generally in June and December of each year. The first offering period began on April 18, 2019. During the fiscal years ended January 31, 2024, 2023, and 2022, 921,892, 678,279, and 838,395 shares, respectively, of our Class A common stock were purchased under the ESPP.</w:t>
      </w:r>
    </w:p>
    <w:p>
      <w:pPr>
        <w:spacing w:after="0" w:line="77"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As of January 31, 2024, unrecognized stock-based compensation expense related to the ESPP was $38.6 million, which is expected to be recognized over a weighted-average period of 1.1 years.</w:t>
      </w:r>
    </w:p>
    <w:p>
      <w:pPr>
        <w:sectPr>
          <w:pgSz w:w="11880" w:h="15480" w:orient="portrait"/>
          <w:cols w:equalWidth="0" w:num="1">
            <w:col w:w="9960"/>
          </w:cols>
          <w:pgMar w:left="960" w:top="81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93</w:t>
      </w:r>
    </w:p>
    <w:p>
      <w:pPr>
        <w:sectPr>
          <w:pgSz w:w="11880" w:h="15480" w:orient="portrait"/>
          <w:cols w:equalWidth="0" w:num="1">
            <w:col w:w="9960"/>
          </w:cols>
          <w:pgMar w:left="960" w:top="813" w:right="960" w:bottom="0" w:gutter="0" w:footer="0" w:header="0"/>
          <w:type w:val="continuous"/>
        </w:sectPr>
      </w:pPr>
    </w:p>
    <w:bookmarkStart w:id="97" w:name="page98"/>
    <w:bookmarkEnd w:id="97"/>
    <w:p>
      <w:pPr>
        <w:ind w:firstLine="524"/>
        <w:spacing w:after="0" w:line="283" w:lineRule="auto"/>
        <w:rPr>
          <w:sz w:val="20"/>
          <w:szCs w:val="20"/>
          <w:color w:val="auto"/>
        </w:rPr>
      </w:pPr>
      <w:r>
        <w:rPr>
          <w:rFonts w:ascii="Times New Roman" w:cs="Times New Roman" w:eastAsia="Times New Roman" w:hAnsi="Times New Roman"/>
          <w:sz w:val="19"/>
          <w:szCs w:val="19"/>
          <w:color w:val="auto"/>
        </w:rPr>
        <w:t>We estimated the fair value of ESPP purchase rights using a Black-Scholes option-pricing model with the following assumptions: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 Ended January 31,</w:t>
            </w:r>
          </w:p>
        </w:tc>
        <w:tc>
          <w:tcPr>
            <w:tcW w:w="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27"/>
        </w:trPr>
        <w:tc>
          <w:tcPr>
            <w:tcW w:w="4040" w:type="dxa"/>
            <w:vAlign w:val="bottom"/>
            <w:tcBorders>
              <w:bottom w:val="single" w:sz="8" w:color="DEDEDE"/>
            </w:tcBorders>
          </w:tcPr>
          <w:p>
            <w:pPr>
              <w:spacing w:after="0"/>
              <w:rPr>
                <w:sz w:val="19"/>
                <w:szCs w:val="19"/>
                <w:color w:val="auto"/>
              </w:rPr>
            </w:pPr>
          </w:p>
        </w:tc>
        <w:tc>
          <w:tcPr>
            <w:tcW w:w="1920" w:type="dxa"/>
            <w:vAlign w:val="bottom"/>
            <w:tcBorders>
              <w:bottom w:val="single" w:sz="8" w:color="auto"/>
            </w:tcBorders>
            <w:gridSpan w:val="2"/>
          </w:tcPr>
          <w:p>
            <w:pPr>
              <w:jc w:val="right"/>
              <w:ind w:right="7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DEDEDE"/>
            </w:tcBorders>
          </w:tcPr>
          <w:p>
            <w:pPr>
              <w:spacing w:after="0"/>
              <w:rPr>
                <w:sz w:val="19"/>
                <w:szCs w:val="19"/>
                <w:color w:val="auto"/>
              </w:rPr>
            </w:pPr>
          </w:p>
        </w:tc>
        <w:tc>
          <w:tcPr>
            <w:tcW w:w="1940" w:type="dxa"/>
            <w:vAlign w:val="bottom"/>
            <w:tcBorders>
              <w:bottom w:val="single" w:sz="8" w:color="auto"/>
            </w:tcBorders>
            <w:gridSpan w:val="2"/>
          </w:tcPr>
          <w:p>
            <w:pPr>
              <w:jc w:val="right"/>
              <w:ind w:right="7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DEDEDE"/>
            </w:tcBorders>
          </w:tcPr>
          <w:p>
            <w:pPr>
              <w:spacing w:after="0"/>
              <w:rPr>
                <w:sz w:val="19"/>
                <w:szCs w:val="19"/>
                <w:color w:val="auto"/>
              </w:rPr>
            </w:pPr>
          </w:p>
        </w:tc>
        <w:tc>
          <w:tcPr>
            <w:tcW w:w="1940" w:type="dxa"/>
            <w:vAlign w:val="bottom"/>
            <w:tcBorders>
              <w:bottom w:val="single" w:sz="8" w:color="auto"/>
            </w:tcBorders>
            <w:gridSpan w:val="2"/>
          </w:tcPr>
          <w:p>
            <w:pPr>
              <w:jc w:val="right"/>
              <w:ind w:right="72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7"/>
        </w:trPr>
        <w:tc>
          <w:tcPr>
            <w:tcW w:w="40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Expected term (years)</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0.5</w:t>
            </w:r>
          </w:p>
        </w:tc>
        <w:tc>
          <w:tcPr>
            <w:tcW w:w="1040" w:type="dxa"/>
            <w:vAlign w:val="bottom"/>
            <w:shd w:val="clear" w:color="auto" w:fill="DEDEDE"/>
          </w:tcPr>
          <w:p>
            <w:pPr>
              <w:ind w:left="40"/>
              <w:spacing w:after="0"/>
              <w:rPr>
                <w:sz w:val="20"/>
                <w:szCs w:val="20"/>
                <w:color w:val="auto"/>
              </w:rPr>
            </w:pPr>
            <w:r>
              <w:rPr>
                <w:rFonts w:ascii="Times New Roman" w:cs="Times New Roman" w:eastAsia="Times New Roman" w:hAnsi="Times New Roman"/>
                <w:sz w:val="19"/>
                <w:szCs w:val="19"/>
                <w:color w:val="auto"/>
              </w:rPr>
              <w:t>- 2.0</w:t>
            </w:r>
          </w:p>
        </w:tc>
        <w:tc>
          <w:tcPr>
            <w:tcW w:w="9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0.5</w:t>
            </w:r>
          </w:p>
        </w:tc>
        <w:tc>
          <w:tcPr>
            <w:tcW w:w="1040" w:type="dxa"/>
            <w:vAlign w:val="bottom"/>
            <w:shd w:val="clear" w:color="auto" w:fill="DEDEDE"/>
          </w:tcPr>
          <w:p>
            <w:pPr>
              <w:ind w:left="40"/>
              <w:spacing w:after="0"/>
              <w:rPr>
                <w:sz w:val="20"/>
                <w:szCs w:val="20"/>
                <w:color w:val="auto"/>
              </w:rPr>
            </w:pPr>
            <w:r>
              <w:rPr>
                <w:rFonts w:ascii="Times New Roman" w:cs="Times New Roman" w:eastAsia="Times New Roman" w:hAnsi="Times New Roman"/>
                <w:sz w:val="19"/>
                <w:szCs w:val="19"/>
                <w:color w:val="auto"/>
              </w:rPr>
              <w:t>- 2.0</w:t>
            </w:r>
          </w:p>
        </w:tc>
        <w:tc>
          <w:tcPr>
            <w:tcW w:w="9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0.5</w:t>
            </w:r>
          </w:p>
        </w:tc>
        <w:tc>
          <w:tcPr>
            <w:tcW w:w="1040" w:type="dxa"/>
            <w:vAlign w:val="bottom"/>
            <w:shd w:val="clear" w:color="auto" w:fill="DEDEDE"/>
          </w:tcPr>
          <w:p>
            <w:pPr>
              <w:ind w:left="40"/>
              <w:spacing w:after="0"/>
              <w:rPr>
                <w:sz w:val="20"/>
                <w:szCs w:val="20"/>
                <w:color w:val="auto"/>
              </w:rPr>
            </w:pPr>
            <w:r>
              <w:rPr>
                <w:rFonts w:ascii="Times New Roman" w:cs="Times New Roman" w:eastAsia="Times New Roman" w:hAnsi="Times New Roman"/>
                <w:sz w:val="19"/>
                <w:szCs w:val="19"/>
                <w:color w:val="auto"/>
              </w:rPr>
              <w:t>- 2.1</w:t>
            </w:r>
          </w:p>
        </w:tc>
      </w:tr>
      <w:tr>
        <w:trPr>
          <w:trHeight w:val="270"/>
        </w:trPr>
        <w:tc>
          <w:tcPr>
            <w:tcW w:w="40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Expected volatility</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w:t>
            </w:r>
          </w:p>
        </w:tc>
        <w:tc>
          <w:tcPr>
            <w:tcW w:w="10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- 57.6%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57.6%</w:t>
            </w:r>
          </w:p>
        </w:tc>
        <w:tc>
          <w:tcPr>
            <w:tcW w:w="10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- 64.6%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40.3%</w:t>
            </w:r>
          </w:p>
        </w:tc>
        <w:tc>
          <w:tcPr>
            <w:tcW w:w="10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- 75.0%</w:t>
            </w:r>
          </w:p>
        </w:tc>
      </w:tr>
      <w:tr>
        <w:trPr>
          <w:trHeight w:val="283"/>
        </w:trPr>
        <w:tc>
          <w:tcPr>
            <w:tcW w:w="40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Risk-free interest rate</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4.6%</w:t>
            </w:r>
          </w:p>
        </w:tc>
        <w:tc>
          <w:tcPr>
            <w:tcW w:w="1040" w:type="dxa"/>
            <w:vAlign w:val="bottom"/>
            <w:shd w:val="clear" w:color="auto" w:fill="DEDEDE"/>
          </w:tcPr>
          <w:p>
            <w:pPr>
              <w:ind w:left="40"/>
              <w:spacing w:after="0"/>
              <w:rPr>
                <w:sz w:val="20"/>
                <w:szCs w:val="20"/>
                <w:color w:val="auto"/>
              </w:rPr>
            </w:pPr>
            <w:r>
              <w:rPr>
                <w:rFonts w:ascii="Times New Roman" w:cs="Times New Roman" w:eastAsia="Times New Roman" w:hAnsi="Times New Roman"/>
                <w:sz w:val="19"/>
                <w:szCs w:val="19"/>
                <w:color w:val="auto"/>
              </w:rPr>
              <w:t>- 5.4%</w:t>
            </w:r>
          </w:p>
        </w:tc>
        <w:tc>
          <w:tcPr>
            <w:tcW w:w="2000" w:type="dxa"/>
            <w:vAlign w:val="bottom"/>
            <w:gridSpan w:val="3"/>
            <w:shd w:val="clear" w:color="auto" w:fill="DEDEDE"/>
          </w:tcPr>
          <w:p>
            <w:pPr>
              <w:jc w:val="right"/>
              <w:ind w:right="423"/>
              <w:spacing w:after="0"/>
              <w:rPr>
                <w:sz w:val="20"/>
                <w:szCs w:val="20"/>
                <w:color w:val="auto"/>
              </w:rPr>
            </w:pPr>
            <w:r>
              <w:rPr>
                <w:rFonts w:ascii="Times New Roman" w:cs="Times New Roman" w:eastAsia="Times New Roman" w:hAnsi="Times New Roman"/>
                <w:sz w:val="17"/>
                <w:szCs w:val="17"/>
                <w:color w:val="auto"/>
              </w:rPr>
              <w:t>2.2% - 4.8%</w:t>
            </w:r>
          </w:p>
        </w:tc>
        <w:tc>
          <w:tcPr>
            <w:tcW w:w="2000" w:type="dxa"/>
            <w:vAlign w:val="bottom"/>
            <w:gridSpan w:val="3"/>
            <w:shd w:val="clear" w:color="auto" w:fill="DEDEDE"/>
          </w:tcPr>
          <w:p>
            <w:pPr>
              <w:jc w:val="right"/>
              <w:ind w:right="443"/>
              <w:spacing w:after="0"/>
              <w:rPr>
                <w:sz w:val="20"/>
                <w:szCs w:val="20"/>
                <w:color w:val="auto"/>
              </w:rPr>
            </w:pPr>
            <w:r>
              <w:rPr>
                <w:rFonts w:ascii="Times New Roman" w:cs="Times New Roman" w:eastAsia="Times New Roman" w:hAnsi="Times New Roman"/>
                <w:sz w:val="17"/>
                <w:szCs w:val="17"/>
                <w:color w:val="auto"/>
              </w:rPr>
              <w:t>0.0% - 2.5%</w:t>
            </w:r>
          </w:p>
        </w:tc>
      </w:tr>
      <w:tr>
        <w:trPr>
          <w:trHeight w:val="264"/>
        </w:trPr>
        <w:tc>
          <w:tcPr>
            <w:tcW w:w="40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Expected dividend yield</w:t>
            </w:r>
          </w:p>
        </w:tc>
        <w:tc>
          <w:tcPr>
            <w:tcW w:w="880" w:type="dxa"/>
            <w:vAlign w:val="bottom"/>
          </w:tcPr>
          <w:p>
            <w:pPr>
              <w:spacing w:after="0"/>
              <w:rPr>
                <w:sz w:val="22"/>
                <w:szCs w:val="22"/>
                <w:color w:val="auto"/>
              </w:rPr>
            </w:pPr>
          </w:p>
        </w:tc>
        <w:tc>
          <w:tcPr>
            <w:tcW w:w="1040" w:type="dxa"/>
            <w:vAlign w:val="bottom"/>
          </w:tcPr>
          <w:p>
            <w:pPr>
              <w:jc w:val="center"/>
              <w:ind w:right="743"/>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40" w:type="dxa"/>
            <w:vAlign w:val="bottom"/>
          </w:tcPr>
          <w:p>
            <w:pPr>
              <w:jc w:val="center"/>
              <w:ind w:right="743"/>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r>
    </w:tbl>
    <w:p>
      <w:pPr>
        <w:spacing w:after="0" w:line="165"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The stock-based compensation expense by line item in the accompanying consolidated statements of operations is summarized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 Ended January 31,</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57"/>
        </w:trPr>
        <w:tc>
          <w:tcPr>
            <w:tcW w:w="54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17"/>
        </w:trPr>
        <w:tc>
          <w:tcPr>
            <w:tcW w:w="5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5"/>
        </w:trPr>
        <w:tc>
          <w:tcPr>
            <w:tcW w:w="54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Cost of revenue</w:t>
            </w:r>
          </w:p>
        </w:tc>
        <w:tc>
          <w:tcPr>
            <w:tcW w:w="360" w:type="dxa"/>
            <w:vAlign w:val="bottom"/>
            <w:shd w:val="clear" w:color="auto" w:fill="DEDEDE"/>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143,798</w:t>
            </w:r>
          </w:p>
        </w:tc>
        <w:tc>
          <w:tcPr>
            <w:tcW w:w="32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174,546</w:t>
            </w: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69,612</w:t>
            </w:r>
          </w:p>
        </w:tc>
      </w:tr>
      <w:tr>
        <w:trPr>
          <w:trHeight w:val="270"/>
        </w:trPr>
        <w:tc>
          <w:tcPr>
            <w:tcW w:w="5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Research and development</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336,309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361,720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113,000</w:t>
            </w:r>
          </w:p>
        </w:tc>
      </w:tr>
      <w:tr>
        <w:trPr>
          <w:trHeight w:val="283"/>
        </w:trPr>
        <w:tc>
          <w:tcPr>
            <w:tcW w:w="54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Sales and marketing</w:t>
            </w:r>
          </w:p>
        </w:tc>
        <w:tc>
          <w:tcPr>
            <w:tcW w:w="360" w:type="dxa"/>
            <w:vAlign w:val="bottom"/>
            <w:shd w:val="clear" w:color="auto" w:fill="DEDEDE"/>
          </w:tcPr>
          <w:p>
            <w:pPr>
              <w:spacing w:after="0"/>
              <w:rPr>
                <w:sz w:val="24"/>
                <w:szCs w:val="24"/>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381,298</w:t>
            </w: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1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532,371</w:t>
            </w: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229,297</w:t>
            </w:r>
          </w:p>
        </w:tc>
      </w:tr>
      <w:tr>
        <w:trPr>
          <w:trHeight w:val="266"/>
        </w:trPr>
        <w:tc>
          <w:tcPr>
            <w:tcW w:w="548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195,756</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DEDEDE"/>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217,115</w:t>
            </w:r>
          </w:p>
        </w:tc>
        <w:tc>
          <w:tcPr>
            <w:tcW w:w="60" w:type="dxa"/>
            <w:vAlign w:val="bottom"/>
            <w:tcBorders>
              <w:bottom w:val="single" w:sz="8" w:color="DEDEDE"/>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65,378</w:t>
            </w:r>
          </w:p>
        </w:tc>
      </w:tr>
      <w:tr>
        <w:trPr>
          <w:trHeight w:val="267"/>
        </w:trPr>
        <w:tc>
          <w:tcPr>
            <w:tcW w:w="5480" w:type="dxa"/>
            <w:vAlign w:val="bottom"/>
            <w:shd w:val="clear" w:color="auto" w:fill="DEDEDE"/>
          </w:tcPr>
          <w:p>
            <w:pPr>
              <w:ind w:left="280"/>
              <w:spacing w:after="0"/>
              <w:rPr>
                <w:sz w:val="20"/>
                <w:szCs w:val="20"/>
                <w:color w:val="auto"/>
              </w:rPr>
            </w:pPr>
            <w:r>
              <w:rPr>
                <w:rFonts w:ascii="Times New Roman" w:cs="Times New Roman" w:eastAsia="Times New Roman" w:hAnsi="Times New Roman"/>
                <w:sz w:val="19"/>
                <w:szCs w:val="19"/>
                <w:color w:val="auto"/>
              </w:rPr>
              <w:t>Total stock-based compensation expense</w:t>
            </w:r>
          </w:p>
        </w:tc>
        <w:tc>
          <w:tcPr>
            <w:tcW w:w="360" w:type="dxa"/>
            <w:vAlign w:val="bottom"/>
            <w:shd w:val="clear" w:color="auto" w:fill="DEDEDE"/>
          </w:tcPr>
          <w:p>
            <w:pPr>
              <w:spacing w:after="0"/>
              <w:rPr>
                <w:sz w:val="23"/>
                <w:szCs w:val="23"/>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1,057,161</w:t>
            </w:r>
          </w:p>
        </w:tc>
        <w:tc>
          <w:tcPr>
            <w:tcW w:w="60" w:type="dxa"/>
            <w:vAlign w:val="bottom"/>
            <w:shd w:val="clear" w:color="auto" w:fill="DEDEDE"/>
          </w:tcPr>
          <w:p>
            <w:pPr>
              <w:spacing w:after="0"/>
              <w:rPr>
                <w:sz w:val="23"/>
                <w:szCs w:val="23"/>
                <w:color w:val="auto"/>
              </w:rPr>
            </w:pPr>
          </w:p>
        </w:tc>
        <w:tc>
          <w:tcPr>
            <w:tcW w:w="40" w:type="dxa"/>
            <w:vAlign w:val="bottom"/>
            <w:shd w:val="clear" w:color="auto" w:fill="DEDEDE"/>
          </w:tcPr>
          <w:p>
            <w:pPr>
              <w:spacing w:after="0"/>
              <w:rPr>
                <w:sz w:val="23"/>
                <w:szCs w:val="23"/>
                <w:color w:val="auto"/>
              </w:rPr>
            </w:pPr>
          </w:p>
        </w:tc>
        <w:tc>
          <w:tcPr>
            <w:tcW w:w="220" w:type="dxa"/>
            <w:vAlign w:val="bottom"/>
            <w:shd w:val="clear" w:color="auto" w:fill="DEDEDE"/>
          </w:tcPr>
          <w:p>
            <w:pPr>
              <w:spacing w:after="0"/>
              <w:rPr>
                <w:sz w:val="23"/>
                <w:szCs w:val="23"/>
                <w:color w:val="auto"/>
              </w:rPr>
            </w:pPr>
          </w:p>
        </w:tc>
        <w:tc>
          <w:tcPr>
            <w:tcW w:w="1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1,285,752</w:t>
            </w:r>
          </w:p>
        </w:tc>
        <w:tc>
          <w:tcPr>
            <w:tcW w:w="60" w:type="dxa"/>
            <w:vAlign w:val="bottom"/>
            <w:shd w:val="clear" w:color="auto" w:fill="DEDEDE"/>
          </w:tcPr>
          <w:p>
            <w:pPr>
              <w:spacing w:after="0"/>
              <w:rPr>
                <w:sz w:val="23"/>
                <w:szCs w:val="23"/>
                <w:color w:val="auto"/>
              </w:rPr>
            </w:pPr>
          </w:p>
        </w:tc>
        <w:tc>
          <w:tcPr>
            <w:tcW w:w="40" w:type="dxa"/>
            <w:vAlign w:val="bottom"/>
            <w:shd w:val="clear" w:color="auto" w:fill="DEDEDE"/>
          </w:tcPr>
          <w:p>
            <w:pPr>
              <w:spacing w:after="0"/>
              <w:rPr>
                <w:sz w:val="23"/>
                <w:szCs w:val="23"/>
                <w:color w:val="auto"/>
              </w:rPr>
            </w:pPr>
          </w:p>
        </w:tc>
        <w:tc>
          <w:tcPr>
            <w:tcW w:w="320" w:type="dxa"/>
            <w:vAlign w:val="bottom"/>
            <w:shd w:val="clear" w:color="auto" w:fill="DEDEDE"/>
          </w:tcPr>
          <w:p>
            <w:pPr>
              <w:spacing w:after="0"/>
              <w:rPr>
                <w:sz w:val="23"/>
                <w:szCs w:val="23"/>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477,287</w:t>
            </w:r>
          </w:p>
        </w:tc>
      </w:tr>
      <w:tr>
        <w:trPr>
          <w:trHeight w:val="266"/>
        </w:trPr>
        <w:tc>
          <w:tcPr>
            <w:tcW w:w="548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9"/>
                <w:szCs w:val="19"/>
                <w:color w:val="auto"/>
              </w:rPr>
              <w:t>Benefit from income taxes</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(197,068)</w:t>
            </w:r>
          </w:p>
        </w:tc>
        <w:tc>
          <w:tcPr>
            <w:tcW w:w="40" w:type="dxa"/>
            <w:vAlign w:val="bottom"/>
            <w:tcBorders>
              <w:bottom w:val="single" w:sz="8" w:color="DEDEDE"/>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(199,971)</w:t>
            </w:r>
          </w:p>
        </w:tc>
        <w:tc>
          <w:tcPr>
            <w:tcW w:w="60" w:type="dxa"/>
            <w:vAlign w:val="bottom"/>
            <w:tcBorders>
              <w:bottom w:val="single" w:sz="8" w:color="DEDEDE"/>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(84,245)</w:t>
            </w:r>
          </w:p>
        </w:tc>
      </w:tr>
      <w:tr>
        <w:trPr>
          <w:trHeight w:val="276"/>
        </w:trPr>
        <w:tc>
          <w:tcPr>
            <w:tcW w:w="5480" w:type="dxa"/>
            <w:vAlign w:val="bottom"/>
            <w:tcBorders>
              <w:bottom w:val="single" w:sz="8" w:color="DEDEDE"/>
            </w:tcBorders>
            <w:shd w:val="clear" w:color="auto" w:fill="DEDEDE"/>
          </w:tcPr>
          <w:p>
            <w:pPr>
              <w:ind w:left="280"/>
              <w:spacing w:after="0"/>
              <w:rPr>
                <w:sz w:val="20"/>
                <w:szCs w:val="20"/>
                <w:color w:val="auto"/>
              </w:rPr>
            </w:pPr>
            <w:r>
              <w:rPr>
                <w:rFonts w:ascii="Times New Roman" w:cs="Times New Roman" w:eastAsia="Times New Roman" w:hAnsi="Times New Roman"/>
                <w:sz w:val="19"/>
                <w:szCs w:val="19"/>
                <w:color w:val="auto"/>
              </w:rPr>
              <w:t>Total stock-based compensation expense recorded to net income</w:t>
            </w:r>
          </w:p>
        </w:tc>
        <w:tc>
          <w:tcPr>
            <w:tcW w:w="360" w:type="dxa"/>
            <w:vAlign w:val="bottom"/>
            <w:tcBorders>
              <w:bottom w:val="single" w:sz="8" w:color="auto"/>
            </w:tcBorders>
            <w:shd w:val="clear" w:color="auto" w:fill="DEDEDE"/>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860,093</w:t>
            </w:r>
          </w:p>
        </w:tc>
        <w:tc>
          <w:tcPr>
            <w:tcW w:w="60" w:type="dxa"/>
            <w:vAlign w:val="bottom"/>
            <w:tcBorders>
              <w:bottom w:val="single" w:sz="8" w:color="auto"/>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1,085,781</w:t>
            </w:r>
          </w:p>
        </w:tc>
        <w:tc>
          <w:tcPr>
            <w:tcW w:w="6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auto"/>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393,042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-43180</wp:posOffset>
            </wp:positionV>
            <wp:extent cx="2872740" cy="501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5">
                      <a:extLst>
                        <a:ext uri="{28A0092B-C50C-407E-A947-70E740481C1C}"/>
                      </a:extLst>
                    </a:blip>
                    <a:srcRect/>
                    <a:stretch>
                      <a:fillRect/>
                    </a:stretch>
                  </pic:blipFill>
                  <pic:spPr bwMode="auto">
                    <a:xfrm>
                      <a:off x="0" y="0"/>
                      <a:ext cx="2872740" cy="5016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700" w:hanging="699"/>
        <w:spacing w:after="0"/>
        <w:tabs>
          <w:tab w:leader="none" w:pos="700" w:val="left"/>
        </w:tabs>
        <w:numPr>
          <w:ilvl w:val="0"/>
          <w:numId w:val="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Restructuring Activities</w:t>
      </w:r>
    </w:p>
    <w:p>
      <w:pPr>
        <w:spacing w:after="0" w:line="254"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On February 7, 2023, we announced a restructuring plan (the “Plan”) intended to reduce operating costs and continue advancing our ongoing commitment to profitable growth. The Plan included a reduction of our then-current workforce by approximately 15%.</w:t>
      </w:r>
    </w:p>
    <w:p>
      <w:pPr>
        <w:spacing w:after="0" w:line="64"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The execution of the Plan was completed as of July 31, 2023. For the year ended January 31, 2024, we recorded net restructuring costs of $73.0 million, which consisted of $54.4 million related to employee transition, severance payments, and employee benefits; $17.3 million related to stock-based compensation awards; and $1.3 million for other related expenses.</w:t>
      </w:r>
    </w:p>
    <w:p>
      <w:pPr>
        <w:spacing w:after="0" w:line="64"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The following table summarizes our restructuring expenses that were recorded as an operating expense in the consolidated statement of operations for the year ended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62230</wp:posOffset>
            </wp:positionV>
            <wp:extent cx="924560" cy="12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6">
                      <a:extLst>
                        <a:ext uri="{28A0092B-C50C-407E-A947-70E740481C1C}"/>
                      </a:extLst>
                    </a:blip>
                    <a:srcRect/>
                    <a:stretch>
                      <a:fillRect/>
                    </a:stretch>
                  </pic:blipFill>
                  <pic:spPr bwMode="auto">
                    <a:xfrm>
                      <a:off x="0" y="0"/>
                      <a:ext cx="924560" cy="1206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r>
      <w:tr>
        <w:trPr>
          <w:trHeight w:val="208"/>
        </w:trPr>
        <w:tc>
          <w:tcPr>
            <w:tcW w:w="8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7"/>
              </w:rPr>
              <w:t>January 31, 2024</w:t>
            </w:r>
          </w:p>
        </w:tc>
      </w:tr>
      <w:tr>
        <w:trPr>
          <w:trHeight w:val="230"/>
        </w:trPr>
        <w:tc>
          <w:tcPr>
            <w:tcW w:w="8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r>
      <w:tr>
        <w:trPr>
          <w:trHeight w:val="299"/>
        </w:trPr>
        <w:tc>
          <w:tcPr>
            <w:tcW w:w="850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Cost of revenue</w:t>
            </w:r>
          </w:p>
        </w:tc>
        <w:tc>
          <w:tcPr>
            <w:tcW w:w="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7,119</w:t>
            </w:r>
          </w:p>
        </w:tc>
      </w:tr>
      <w:tr>
        <w:trPr>
          <w:trHeight w:val="285"/>
        </w:trPr>
        <w:tc>
          <w:tcPr>
            <w:tcW w:w="8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Research and development</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19,629</w:t>
            </w:r>
          </w:p>
        </w:tc>
      </w:tr>
      <w:tr>
        <w:trPr>
          <w:trHeight w:val="298"/>
        </w:trPr>
        <w:tc>
          <w:tcPr>
            <w:tcW w:w="850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Sales and marketing</w:t>
            </w:r>
          </w:p>
        </w:tc>
        <w:tc>
          <w:tcPr>
            <w:tcW w:w="160" w:type="dxa"/>
            <w:vAlign w:val="bottom"/>
            <w:shd w:val="clear" w:color="auto" w:fill="DEDEDE"/>
          </w:tcPr>
          <w:p>
            <w:pPr>
              <w:spacing w:after="0"/>
              <w:rPr>
                <w:sz w:val="24"/>
                <w:szCs w:val="24"/>
                <w:color w:val="auto"/>
              </w:rPr>
            </w:pPr>
          </w:p>
        </w:tc>
        <w:tc>
          <w:tcPr>
            <w:tcW w:w="13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32,930</w:t>
            </w:r>
          </w:p>
        </w:tc>
      </w:tr>
      <w:tr>
        <w:trPr>
          <w:trHeight w:val="281"/>
        </w:trPr>
        <w:tc>
          <w:tcPr>
            <w:tcW w:w="850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13,315</w:t>
            </w:r>
          </w:p>
        </w:tc>
      </w:tr>
      <w:tr>
        <w:trPr>
          <w:trHeight w:val="291"/>
        </w:trPr>
        <w:tc>
          <w:tcPr>
            <w:tcW w:w="8500" w:type="dxa"/>
            <w:vAlign w:val="bottom"/>
            <w:tcBorders>
              <w:bottom w:val="single" w:sz="8" w:color="DEDEDE"/>
            </w:tcBorders>
            <w:shd w:val="clear" w:color="auto" w:fill="DEDEDE"/>
          </w:tcPr>
          <w:p>
            <w:pPr>
              <w:ind w:left="280"/>
              <w:spacing w:after="0"/>
              <w:rPr>
                <w:sz w:val="20"/>
                <w:szCs w:val="20"/>
                <w:color w:val="auto"/>
              </w:rPr>
            </w:pPr>
            <w:r>
              <w:rPr>
                <w:rFonts w:ascii="Times New Roman" w:cs="Times New Roman" w:eastAsia="Times New Roman" w:hAnsi="Times New Roman"/>
                <w:sz w:val="19"/>
                <w:szCs w:val="19"/>
                <w:color w:val="auto"/>
              </w:rPr>
              <w:t>Total restructuring expenses</w:t>
            </w:r>
          </w:p>
        </w:tc>
        <w:tc>
          <w:tcPr>
            <w:tcW w:w="1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72,993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5386705</wp:posOffset>
            </wp:positionH>
            <wp:positionV relativeFrom="paragraph">
              <wp:posOffset>-43180</wp:posOffset>
            </wp:positionV>
            <wp:extent cx="949960" cy="501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7">
                      <a:extLst>
                        <a:ext uri="{28A0092B-C50C-407E-A947-70E740481C1C}"/>
                      </a:extLst>
                    </a:blip>
                    <a:srcRect/>
                    <a:stretch>
                      <a:fillRect/>
                    </a:stretch>
                  </pic:blipFill>
                  <pic:spPr bwMode="auto">
                    <a:xfrm>
                      <a:off x="0" y="0"/>
                      <a:ext cx="949960" cy="50165"/>
                    </a:xfrm>
                    <a:prstGeom prst="rect">
                      <a:avLst/>
                    </a:prstGeom>
                    <a:noFill/>
                  </pic:spPr>
                </pic:pic>
              </a:graphicData>
            </a:graphic>
          </wp:anchor>
        </w:drawing>
      </w:r>
    </w:p>
    <w:p>
      <w:pPr>
        <w:spacing w:after="0" w:line="103"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The following table summarizes our restructuring liability that is included in accrued expenses and other current liabilities on the consolidated balance sheet:</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94</w:t>
      </w:r>
    </w:p>
    <w:p>
      <w:pPr>
        <w:sectPr>
          <w:pgSz w:w="11880" w:h="15480" w:orient="portrait"/>
          <w:cols w:equalWidth="0" w:num="1">
            <w:col w:w="9960"/>
          </w:cols>
          <w:pgMar w:left="960" w:top="821" w:right="960" w:bottom="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149"/>
              <w:spacing w:after="0"/>
              <w:rPr>
                <w:sz w:val="20"/>
                <w:szCs w:val="20"/>
                <w:color w:val="auto"/>
              </w:rPr>
            </w:pPr>
            <w:r>
              <w:rPr>
                <w:rFonts w:ascii="Times New Roman" w:cs="Times New Roman" w:eastAsia="Times New Roman" w:hAnsi="Times New Roman"/>
                <w:sz w:val="16"/>
                <w:szCs w:val="16"/>
                <w:b w:val="1"/>
                <w:bCs w:val="1"/>
                <w:color w:val="auto"/>
              </w:rPr>
              <w:t>Severance and</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vMerge w:val="restart"/>
          </w:tcPr>
          <w:p>
            <w:pPr>
              <w:jc w:val="right"/>
              <w:ind w:right="447"/>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208"/>
        </w:trPr>
        <w:tc>
          <w:tcPr>
            <w:tcW w:w="7040" w:type="dxa"/>
            <w:vAlign w:val="bottom"/>
          </w:tcPr>
          <w:p>
            <w:pPr>
              <w:spacing w:after="0"/>
              <w:rPr>
                <w:sz w:val="18"/>
                <w:szCs w:val="18"/>
                <w:color w:val="auto"/>
              </w:rPr>
            </w:pPr>
          </w:p>
        </w:tc>
        <w:tc>
          <w:tcPr>
            <w:tcW w:w="1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termination benefits</w:t>
            </w: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70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Balance as of January 31, 2023</w:t>
            </w:r>
          </w:p>
        </w:tc>
        <w:tc>
          <w:tcPr>
            <w:tcW w:w="20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gridSpan w:val="2"/>
            <w:shd w:val="clear" w:color="auto" w:fill="DEDEDE"/>
          </w:tcPr>
          <w:p>
            <w:pPr>
              <w:jc w:val="right"/>
              <w:ind w:right="3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85"/>
        </w:trPr>
        <w:tc>
          <w:tcPr>
            <w:tcW w:w="70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Restructuring expenses</w:t>
            </w: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54,361</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1,339</w:t>
            </w:r>
          </w:p>
        </w:tc>
        <w:tc>
          <w:tcPr>
            <w:tcW w:w="0" w:type="dxa"/>
            <w:vAlign w:val="bottom"/>
          </w:tcPr>
          <w:p>
            <w:pPr>
              <w:spacing w:after="0"/>
              <w:rPr>
                <w:sz w:val="1"/>
                <w:szCs w:val="1"/>
                <w:color w:val="auto"/>
              </w:rPr>
            </w:pPr>
          </w:p>
        </w:tc>
      </w:tr>
      <w:tr>
        <w:trPr>
          <w:trHeight w:val="306"/>
        </w:trPr>
        <w:tc>
          <w:tcPr>
            <w:tcW w:w="704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Cash payments</w:t>
            </w:r>
          </w:p>
        </w:tc>
        <w:tc>
          <w:tcPr>
            <w:tcW w:w="200" w:type="dxa"/>
            <w:vAlign w:val="bottom"/>
            <w:tcBorders>
              <w:bottom w:val="single" w:sz="8" w:color="auto"/>
            </w:tcBorders>
            <w:shd w:val="clear" w:color="auto" w:fill="DEDEDE"/>
          </w:tcPr>
          <w:p>
            <w:pPr>
              <w:spacing w:after="0"/>
              <w:rPr>
                <w:sz w:val="24"/>
                <w:szCs w:val="24"/>
                <w:color w:val="auto"/>
              </w:rPr>
            </w:pPr>
          </w:p>
        </w:tc>
        <w:tc>
          <w:tcPr>
            <w:tcW w:w="12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(54,361)</w:t>
            </w:r>
          </w:p>
        </w:tc>
        <w:tc>
          <w:tcPr>
            <w:tcW w:w="60" w:type="dxa"/>
            <w:vAlign w:val="bottom"/>
            <w:tcBorders>
              <w:bottom w:val="single" w:sz="8" w:color="DEDEDE"/>
            </w:tcBorders>
            <w:shd w:val="clear" w:color="auto" w:fill="DEDEDE"/>
          </w:tcPr>
          <w:p>
            <w:pPr>
              <w:spacing w:after="0"/>
              <w:rPr>
                <w:sz w:val="24"/>
                <w:szCs w:val="24"/>
                <w:color w:val="auto"/>
              </w:rPr>
            </w:pPr>
          </w:p>
        </w:tc>
        <w:tc>
          <w:tcPr>
            <w:tcW w:w="500" w:type="dxa"/>
            <w:vAlign w:val="bottom"/>
            <w:tcBorders>
              <w:bottom w:val="single" w:sz="8" w:color="auto"/>
            </w:tcBorders>
            <w:shd w:val="clear" w:color="auto" w:fill="DEDEDE"/>
          </w:tcPr>
          <w:p>
            <w:pPr>
              <w:spacing w:after="0"/>
              <w:rPr>
                <w:sz w:val="24"/>
                <w:szCs w:val="24"/>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(1,339)</w:t>
            </w:r>
          </w:p>
        </w:tc>
        <w:tc>
          <w:tcPr>
            <w:tcW w:w="0" w:type="dxa"/>
            <w:vAlign w:val="bottom"/>
          </w:tcPr>
          <w:p>
            <w:pPr>
              <w:spacing w:after="0"/>
              <w:rPr>
                <w:sz w:val="1"/>
                <w:szCs w:val="1"/>
                <w:color w:val="auto"/>
              </w:rPr>
            </w:pPr>
          </w:p>
        </w:tc>
      </w:tr>
      <w:tr>
        <w:trPr>
          <w:trHeight w:val="233"/>
        </w:trPr>
        <w:tc>
          <w:tcPr>
            <w:tcW w:w="70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Balance as of January 31, 2024</w:t>
            </w:r>
          </w:p>
        </w:tc>
        <w:tc>
          <w:tcPr>
            <w:tcW w:w="2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5084445</wp:posOffset>
            </wp:positionH>
            <wp:positionV relativeFrom="page">
              <wp:posOffset>554355</wp:posOffset>
            </wp:positionV>
            <wp:extent cx="1885950" cy="12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8">
                      <a:extLst>
                        <a:ext uri="{28A0092B-C50C-407E-A947-70E740481C1C}"/>
                      </a:extLst>
                    </a:blip>
                    <a:srcRect/>
                    <a:stretch>
                      <a:fillRect/>
                    </a:stretch>
                  </pic:blipFill>
                  <pic:spPr bwMode="auto">
                    <a:xfrm>
                      <a:off x="0" y="0"/>
                      <a:ext cx="1885950" cy="1206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-43180</wp:posOffset>
            </wp:positionV>
            <wp:extent cx="1911350" cy="501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9">
                      <a:extLst>
                        <a:ext uri="{28A0092B-C50C-407E-A947-70E740481C1C}"/>
                      </a:extLst>
                    </a:blip>
                    <a:srcRect/>
                    <a:stretch>
                      <a:fillRect/>
                    </a:stretch>
                  </pic:blipFill>
                  <pic:spPr bwMode="auto">
                    <a:xfrm>
                      <a:off x="0" y="0"/>
                      <a:ext cx="1911350" cy="50165"/>
                    </a:xfrm>
                    <a:prstGeom prst="rect">
                      <a:avLst/>
                    </a:prstGeom>
                    <a:noFill/>
                  </pic:spPr>
                </pic:pic>
              </a:graphicData>
            </a:graphic>
          </wp:anchor>
        </w:drawing>
      </w:r>
    </w:p>
    <w:p>
      <w:pPr>
        <w:spacing w:after="0" w:line="213" w:lineRule="exact"/>
        <w:rPr>
          <w:sz w:val="20"/>
          <w:szCs w:val="20"/>
          <w:color w:val="auto"/>
        </w:rPr>
      </w:pPr>
    </w:p>
    <w:p>
      <w:pPr>
        <w:ind w:left="700" w:hanging="699"/>
        <w:spacing w:after="0"/>
        <w:tabs>
          <w:tab w:leader="none" w:pos="700" w:val="left"/>
        </w:tabs>
        <w:numPr>
          <w:ilvl w:val="0"/>
          <w:numId w:val="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Income Taxes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The components of the net income before the provision for (benefit from) income taxes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10"/>
          </w:tcPr>
          <w:p>
            <w:pPr>
              <w:jc w:val="center"/>
              <w:ind w:left="547"/>
              <w:spacing w:after="0"/>
              <w:rPr>
                <w:sz w:val="20"/>
                <w:szCs w:val="20"/>
                <w:color w:val="auto"/>
              </w:rPr>
            </w:pPr>
            <w:r>
              <w:rPr>
                <w:rFonts w:ascii="Times New Roman" w:cs="Times New Roman" w:eastAsia="Times New Roman" w:hAnsi="Times New Roman"/>
                <w:sz w:val="16"/>
                <w:szCs w:val="16"/>
                <w:b w:val="1"/>
                <w:bCs w:val="1"/>
                <w:color w:val="auto"/>
                <w:w w:val="96"/>
              </w:rPr>
              <w:t>Year Ended January 31,</w:t>
            </w: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5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4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r>
      <w:tr>
        <w:trPr>
          <w:trHeight w:val="273"/>
        </w:trPr>
        <w:tc>
          <w:tcPr>
            <w:tcW w:w="5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5"/>
        </w:trPr>
        <w:tc>
          <w:tcPr>
            <w:tcW w:w="56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Domestic</w:t>
            </w:r>
          </w:p>
        </w:tc>
        <w:tc>
          <w:tcPr>
            <w:tcW w:w="380" w:type="dxa"/>
            <w:vAlign w:val="bottom"/>
            <w:gridSpan w:val="2"/>
            <w:shd w:val="clear" w:color="auto" w:fill="DEDEDE"/>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792,495</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gridSpan w:val="2"/>
            <w:shd w:val="clear" w:color="auto" w:fill="DEDEDE"/>
          </w:tcPr>
          <w:p>
            <w:pPr>
              <w:jc w:val="right"/>
              <w:ind w:right="1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196,224</w:t>
            </w:r>
          </w:p>
        </w:tc>
        <w:tc>
          <w:tcPr>
            <w:tcW w:w="60" w:type="dxa"/>
            <w:vAlign w:val="bottom"/>
            <w:shd w:val="clear" w:color="auto" w:fill="DEDEDE"/>
          </w:tcPr>
          <w:p>
            <w:pPr>
              <w:spacing w:after="0"/>
              <w:rPr>
                <w:sz w:val="24"/>
                <w:szCs w:val="24"/>
                <w:color w:val="auto"/>
              </w:rPr>
            </w:pPr>
          </w:p>
        </w:tc>
        <w:tc>
          <w:tcPr>
            <w:tcW w:w="380" w:type="dxa"/>
            <w:vAlign w:val="bottom"/>
            <w:gridSpan w:val="3"/>
            <w:shd w:val="clear" w:color="auto" w:fill="DEDEDE"/>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1,047,318</w:t>
            </w:r>
          </w:p>
        </w:tc>
        <w:tc>
          <w:tcPr>
            <w:tcW w:w="20" w:type="dxa"/>
            <w:vAlign w:val="bottom"/>
          </w:tcPr>
          <w:p>
            <w:pPr>
              <w:spacing w:after="0"/>
              <w:rPr>
                <w:sz w:val="24"/>
                <w:szCs w:val="24"/>
                <w:color w:val="auto"/>
              </w:rPr>
            </w:pPr>
          </w:p>
        </w:tc>
      </w:tr>
      <w:tr>
        <w:trPr>
          <w:trHeight w:val="266"/>
        </w:trPr>
        <w:tc>
          <w:tcPr>
            <w:tcW w:w="568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9"/>
                <w:szCs w:val="19"/>
                <w:color w:val="auto"/>
              </w:rPr>
              <w:t>Foreign</w:t>
            </w: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39,817</w:t>
            </w:r>
          </w:p>
        </w:tc>
        <w:tc>
          <w:tcPr>
            <w:tcW w:w="60" w:type="dxa"/>
            <w:vAlign w:val="bottom"/>
            <w:tcBorders>
              <w:bottom w:val="single" w:sz="8" w:color="DEDEDE"/>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53,052</w:t>
            </w:r>
          </w:p>
        </w:tc>
        <w:tc>
          <w:tcPr>
            <w:tcW w:w="60" w:type="dxa"/>
            <w:vAlign w:val="bottom"/>
            <w:tcBorders>
              <w:bottom w:val="single" w:sz="8" w:color="DEDEDE"/>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54,314</w:t>
            </w:r>
          </w:p>
        </w:tc>
        <w:tc>
          <w:tcPr>
            <w:tcW w:w="20" w:type="dxa"/>
            <w:vAlign w:val="bottom"/>
          </w:tcPr>
          <w:p>
            <w:pPr>
              <w:spacing w:after="0"/>
              <w:rPr>
                <w:sz w:val="23"/>
                <w:szCs w:val="23"/>
                <w:color w:val="auto"/>
              </w:rPr>
            </w:pPr>
          </w:p>
        </w:tc>
      </w:tr>
      <w:tr>
        <w:trPr>
          <w:trHeight w:val="276"/>
        </w:trPr>
        <w:tc>
          <w:tcPr>
            <w:tcW w:w="5680" w:type="dxa"/>
            <w:vAlign w:val="bottom"/>
            <w:tcBorders>
              <w:bottom w:val="single" w:sz="8" w:color="DEDEDE"/>
            </w:tcBorders>
            <w:shd w:val="clear" w:color="auto" w:fill="DEDEDE"/>
          </w:tcPr>
          <w:p>
            <w:pPr>
              <w:ind w:left="400"/>
              <w:spacing w:after="0"/>
              <w:rPr>
                <w:sz w:val="20"/>
                <w:szCs w:val="20"/>
                <w:color w:val="auto"/>
              </w:rPr>
            </w:pPr>
            <w:r>
              <w:rPr>
                <w:rFonts w:ascii="Times New Roman" w:cs="Times New Roman" w:eastAsia="Times New Roman" w:hAnsi="Times New Roman"/>
                <w:sz w:val="19"/>
                <w:szCs w:val="19"/>
                <w:color w:val="auto"/>
              </w:rPr>
              <w:t>Total</w:t>
            </w:r>
          </w:p>
        </w:tc>
        <w:tc>
          <w:tcPr>
            <w:tcW w:w="380" w:type="dxa"/>
            <w:vAlign w:val="bottom"/>
            <w:tcBorders>
              <w:bottom w:val="single" w:sz="8" w:color="auto"/>
            </w:tcBorders>
            <w:gridSpan w:val="2"/>
            <w:shd w:val="clear" w:color="auto" w:fill="DEDEDE"/>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832,312</w:t>
            </w: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auto"/>
            </w:tcBorders>
            <w:shd w:val="clear" w:color="auto" w:fill="DEDEDE"/>
          </w:tcPr>
          <w:p>
            <w:pPr>
              <w:spacing w:after="0"/>
              <w:rPr>
                <w:sz w:val="24"/>
                <w:szCs w:val="24"/>
                <w:color w:val="auto"/>
              </w:rPr>
            </w:pPr>
          </w:p>
        </w:tc>
        <w:tc>
          <w:tcPr>
            <w:tcW w:w="240" w:type="dxa"/>
            <w:vAlign w:val="bottom"/>
            <w:tcBorders>
              <w:bottom w:val="single" w:sz="8" w:color="auto"/>
            </w:tcBorders>
            <w:gridSpan w:val="2"/>
            <w:shd w:val="clear" w:color="auto" w:fill="DEDEDE"/>
          </w:tcPr>
          <w:p>
            <w:pPr>
              <w:jc w:val="right"/>
              <w:ind w:right="1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249,276</w:t>
            </w:r>
          </w:p>
        </w:tc>
        <w:tc>
          <w:tcPr>
            <w:tcW w:w="60" w:type="dxa"/>
            <w:vAlign w:val="bottom"/>
            <w:tcBorders>
              <w:bottom w:val="single" w:sz="8" w:color="DEDEDE"/>
            </w:tcBorders>
            <w:shd w:val="clear" w:color="auto" w:fill="DEDEDE"/>
          </w:tcPr>
          <w:p>
            <w:pPr>
              <w:spacing w:after="0"/>
              <w:rPr>
                <w:sz w:val="24"/>
                <w:szCs w:val="24"/>
                <w:color w:val="auto"/>
              </w:rPr>
            </w:pPr>
          </w:p>
        </w:tc>
        <w:tc>
          <w:tcPr>
            <w:tcW w:w="380" w:type="dxa"/>
            <w:vAlign w:val="bottom"/>
            <w:tcBorders>
              <w:bottom w:val="single" w:sz="8" w:color="auto"/>
            </w:tcBorders>
            <w:gridSpan w:val="3"/>
            <w:shd w:val="clear" w:color="auto" w:fill="DEDEDE"/>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1,101,632</w:t>
            </w:r>
          </w:p>
        </w:tc>
        <w:tc>
          <w:tcPr>
            <w:tcW w:w="20" w:type="dxa"/>
            <w:vAlign w:val="bottom"/>
          </w:tcPr>
          <w:p>
            <w:pPr>
              <w:spacing w:after="0"/>
              <w:rPr>
                <w:sz w:val="24"/>
                <w:szCs w:val="24"/>
                <w:color w:val="auto"/>
              </w:rPr>
            </w:pPr>
          </w:p>
        </w:tc>
      </w:tr>
      <w:tr>
        <w:trPr>
          <w:trHeight w:val="493"/>
        </w:trPr>
        <w:tc>
          <w:tcPr>
            <w:tcW w:w="568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The provision for (benefit from) income taxes was as follows: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6"/>
        </w:trPr>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9"/>
          </w:tcPr>
          <w:p>
            <w:pPr>
              <w:jc w:val="center"/>
              <w:ind w:right="123"/>
              <w:spacing w:after="0"/>
              <w:rPr>
                <w:sz w:val="20"/>
                <w:szCs w:val="20"/>
                <w:color w:val="auto"/>
              </w:rPr>
            </w:pPr>
            <w:r>
              <w:rPr>
                <w:rFonts w:ascii="Times New Roman" w:cs="Times New Roman" w:eastAsia="Times New Roman" w:hAnsi="Times New Roman"/>
                <w:sz w:val="16"/>
                <w:szCs w:val="16"/>
                <w:b w:val="1"/>
                <w:bCs w:val="1"/>
                <w:color w:val="auto"/>
                <w:w w:val="96"/>
              </w:rPr>
              <w:t>Year Ended January 31,</w:t>
            </w: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3"/>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r>
      <w:tr>
        <w:trPr>
          <w:trHeight w:val="273"/>
        </w:trPr>
        <w:tc>
          <w:tcPr>
            <w:tcW w:w="5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5"/>
        </w:trPr>
        <w:tc>
          <w:tcPr>
            <w:tcW w:w="56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Current:</w:t>
            </w:r>
          </w:p>
        </w:tc>
        <w:tc>
          <w:tcPr>
            <w:tcW w:w="10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16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2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71"/>
        </w:trPr>
        <w:tc>
          <w:tcPr>
            <w:tcW w:w="56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Federal</w:t>
            </w:r>
          </w:p>
        </w:tc>
        <w:tc>
          <w:tcPr>
            <w:tcW w:w="38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257,913</w:t>
            </w:r>
          </w:p>
        </w:tc>
        <w:tc>
          <w:tcPr>
            <w:tcW w:w="2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254,505</w:t>
            </w:r>
          </w:p>
        </w:tc>
        <w:tc>
          <w:tcPr>
            <w:tcW w:w="60" w:type="dxa"/>
            <w:vAlign w:val="bottom"/>
          </w:tcPr>
          <w:p>
            <w:pPr>
              <w:spacing w:after="0"/>
              <w:rPr>
                <w:sz w:val="23"/>
                <w:szCs w:val="23"/>
                <w:color w:val="auto"/>
              </w:rPr>
            </w:pPr>
          </w:p>
        </w:tc>
        <w:tc>
          <w:tcPr>
            <w:tcW w:w="380" w:type="dxa"/>
            <w:vAlign w:val="bottom"/>
            <w:gridSpan w:val="3"/>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69,853</w:t>
            </w:r>
          </w:p>
        </w:tc>
        <w:tc>
          <w:tcPr>
            <w:tcW w:w="20" w:type="dxa"/>
            <w:vAlign w:val="bottom"/>
          </w:tcPr>
          <w:p>
            <w:pPr>
              <w:spacing w:after="0"/>
              <w:rPr>
                <w:sz w:val="23"/>
                <w:szCs w:val="23"/>
                <w:color w:val="auto"/>
              </w:rPr>
            </w:pPr>
          </w:p>
        </w:tc>
      </w:tr>
      <w:tr>
        <w:trPr>
          <w:trHeight w:val="282"/>
        </w:trPr>
        <w:tc>
          <w:tcPr>
            <w:tcW w:w="5680" w:type="dxa"/>
            <w:vAlign w:val="bottom"/>
            <w:shd w:val="clear" w:color="auto" w:fill="DEDEDE"/>
          </w:tcPr>
          <w:p>
            <w:pPr>
              <w:ind w:left="400"/>
              <w:spacing w:after="0"/>
              <w:rPr>
                <w:sz w:val="20"/>
                <w:szCs w:val="20"/>
                <w:color w:val="auto"/>
              </w:rPr>
            </w:pPr>
            <w:r>
              <w:rPr>
                <w:rFonts w:ascii="Times New Roman" w:cs="Times New Roman" w:eastAsia="Times New Roman" w:hAnsi="Times New Roman"/>
                <w:sz w:val="19"/>
                <w:szCs w:val="19"/>
                <w:color w:val="auto"/>
              </w:rPr>
              <w:t>State</w:t>
            </w:r>
          </w:p>
        </w:tc>
        <w:tc>
          <w:tcPr>
            <w:tcW w:w="10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10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44,457</w:t>
            </w:r>
          </w:p>
        </w:tc>
        <w:tc>
          <w:tcPr>
            <w:tcW w:w="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160" w:type="dxa"/>
            <w:vAlign w:val="bottom"/>
            <w:shd w:val="clear" w:color="auto" w:fill="DEDEDE"/>
          </w:tcPr>
          <w:p>
            <w:pPr>
              <w:spacing w:after="0"/>
              <w:rPr>
                <w:sz w:val="24"/>
                <w:szCs w:val="24"/>
                <w:color w:val="auto"/>
              </w:rPr>
            </w:pP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33,548</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20,174</w:t>
            </w:r>
          </w:p>
        </w:tc>
        <w:tc>
          <w:tcPr>
            <w:tcW w:w="20" w:type="dxa"/>
            <w:vAlign w:val="bottom"/>
            <w:shd w:val="clear" w:color="auto" w:fill="DEDEDE"/>
          </w:tcPr>
          <w:p>
            <w:pPr>
              <w:spacing w:after="0"/>
              <w:rPr>
                <w:sz w:val="24"/>
                <w:szCs w:val="24"/>
                <w:color w:val="auto"/>
              </w:rPr>
            </w:pPr>
          </w:p>
        </w:tc>
      </w:tr>
      <w:tr>
        <w:trPr>
          <w:trHeight w:val="266"/>
        </w:trPr>
        <w:tc>
          <w:tcPr>
            <w:tcW w:w="5680" w:type="dxa"/>
            <w:vAlign w:val="bottom"/>
            <w:tcBorders>
              <w:bottom w:val="single" w:sz="8" w:color="DEDEDE"/>
            </w:tcBorders>
          </w:tcPr>
          <w:p>
            <w:pPr>
              <w:ind w:left="400"/>
              <w:spacing w:after="0"/>
              <w:rPr>
                <w:sz w:val="20"/>
                <w:szCs w:val="20"/>
                <w:color w:val="auto"/>
              </w:rPr>
            </w:pPr>
            <w:r>
              <w:rPr>
                <w:rFonts w:ascii="Times New Roman" w:cs="Times New Roman" w:eastAsia="Times New Roman" w:hAnsi="Times New Roman"/>
                <w:sz w:val="19"/>
                <w:szCs w:val="19"/>
                <w:color w:val="auto"/>
              </w:rPr>
              <w:t>Foreign</w:t>
            </w:r>
          </w:p>
        </w:tc>
        <w:tc>
          <w:tcPr>
            <w:tcW w:w="100" w:type="dxa"/>
            <w:vAlign w:val="bottom"/>
            <w:tcBorders>
              <w:bottom w:val="single" w:sz="8" w:color="DEDEDE"/>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9,159</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DEDEDE"/>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18,473</w:t>
            </w: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DEDED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12,027</w:t>
            </w:r>
          </w:p>
        </w:tc>
        <w:tc>
          <w:tcPr>
            <w:tcW w:w="20" w:type="dxa"/>
            <w:vAlign w:val="bottom"/>
            <w:tcBorders>
              <w:bottom w:val="single" w:sz="8" w:color="auto"/>
            </w:tcBorders>
          </w:tcPr>
          <w:p>
            <w:pPr>
              <w:spacing w:after="0"/>
              <w:rPr>
                <w:sz w:val="23"/>
                <w:szCs w:val="23"/>
                <w:color w:val="auto"/>
              </w:rPr>
            </w:pPr>
          </w:p>
        </w:tc>
      </w:tr>
      <w:tr>
        <w:trPr>
          <w:trHeight w:val="276"/>
        </w:trPr>
        <w:tc>
          <w:tcPr>
            <w:tcW w:w="5680" w:type="dxa"/>
            <w:vAlign w:val="bottom"/>
            <w:tcBorders>
              <w:bottom w:val="single" w:sz="8" w:color="DEDEDE"/>
            </w:tcBorders>
            <w:shd w:val="clear" w:color="auto" w:fill="DEDEDE"/>
          </w:tcPr>
          <w:p>
            <w:pPr>
              <w:ind w:left="760"/>
              <w:spacing w:after="0"/>
              <w:rPr>
                <w:sz w:val="20"/>
                <w:szCs w:val="20"/>
                <w:color w:val="auto"/>
              </w:rPr>
            </w:pPr>
            <w:r>
              <w:rPr>
                <w:rFonts w:ascii="Times New Roman" w:cs="Times New Roman" w:eastAsia="Times New Roman" w:hAnsi="Times New Roman"/>
                <w:sz w:val="19"/>
                <w:szCs w:val="19"/>
                <w:color w:val="auto"/>
              </w:rPr>
              <w:t>Total current income tax expense (benefit)</w:t>
            </w:r>
          </w:p>
        </w:tc>
        <w:tc>
          <w:tcPr>
            <w:tcW w:w="10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auto"/>
            </w:tcBorders>
            <w:shd w:val="clear" w:color="auto" w:fill="DEDEDE"/>
          </w:tcPr>
          <w:p>
            <w:pPr>
              <w:spacing w:after="0"/>
              <w:rPr>
                <w:sz w:val="24"/>
                <w:szCs w:val="24"/>
                <w:color w:val="auto"/>
              </w:rPr>
            </w:pPr>
          </w:p>
        </w:tc>
        <w:tc>
          <w:tcPr>
            <w:tcW w:w="1040" w:type="dxa"/>
            <w:vAlign w:val="bottom"/>
            <w:tcBorders>
              <w:bottom w:val="single" w:sz="8" w:color="auto"/>
            </w:tcBorders>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311,529</w:t>
            </w:r>
          </w:p>
        </w:tc>
        <w:tc>
          <w:tcPr>
            <w:tcW w:w="20" w:type="dxa"/>
            <w:vAlign w:val="bottom"/>
            <w:tcBorders>
              <w:bottom w:val="single" w:sz="8" w:color="auto"/>
            </w:tcBorders>
            <w:shd w:val="clear" w:color="auto" w:fill="DEDEDE"/>
          </w:tcPr>
          <w:p>
            <w:pPr>
              <w:spacing w:after="0"/>
              <w:rPr>
                <w:sz w:val="24"/>
                <w:szCs w:val="24"/>
                <w:color w:val="auto"/>
              </w:rPr>
            </w:pPr>
          </w:p>
        </w:tc>
        <w:tc>
          <w:tcPr>
            <w:tcW w:w="80" w:type="dxa"/>
            <w:vAlign w:val="bottom"/>
            <w:tcBorders>
              <w:bottom w:val="single" w:sz="8" w:color="DEDEDE"/>
            </w:tcBorders>
            <w:shd w:val="clear" w:color="auto" w:fill="DEDEDE"/>
          </w:tcPr>
          <w:p>
            <w:pPr>
              <w:spacing w:after="0"/>
              <w:rPr>
                <w:sz w:val="24"/>
                <w:szCs w:val="24"/>
                <w:color w:val="auto"/>
              </w:rPr>
            </w:pPr>
          </w:p>
        </w:tc>
        <w:tc>
          <w:tcPr>
            <w:tcW w:w="160" w:type="dxa"/>
            <w:vAlign w:val="bottom"/>
            <w:tcBorders>
              <w:bottom w:val="single" w:sz="8" w:color="auto"/>
            </w:tcBorders>
            <w:shd w:val="clear" w:color="auto" w:fill="DEDEDE"/>
          </w:tcPr>
          <w:p>
            <w:pPr>
              <w:spacing w:after="0"/>
              <w:rPr>
                <w:sz w:val="24"/>
                <w:szCs w:val="24"/>
                <w:color w:val="auto"/>
              </w:rPr>
            </w:pPr>
          </w:p>
        </w:tc>
        <w:tc>
          <w:tcPr>
            <w:tcW w:w="11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306,526</w:t>
            </w:r>
          </w:p>
        </w:tc>
        <w:tc>
          <w:tcPr>
            <w:tcW w:w="60" w:type="dxa"/>
            <w:vAlign w:val="bottom"/>
            <w:tcBorders>
              <w:bottom w:val="single" w:sz="8" w:color="auto"/>
            </w:tcBorders>
            <w:shd w:val="clear" w:color="auto" w:fill="DEDEDE"/>
          </w:tcPr>
          <w:p>
            <w:pPr>
              <w:spacing w:after="0"/>
              <w:rPr>
                <w:sz w:val="24"/>
                <w:szCs w:val="24"/>
                <w:color w:val="auto"/>
              </w:rPr>
            </w:pPr>
          </w:p>
        </w:tc>
        <w:tc>
          <w:tcPr>
            <w:tcW w:w="20" w:type="dxa"/>
            <w:vAlign w:val="bottom"/>
            <w:tcBorders>
              <w:bottom w:val="single" w:sz="8" w:color="auto"/>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0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102,054</w:t>
            </w:r>
          </w:p>
        </w:tc>
        <w:tc>
          <w:tcPr>
            <w:tcW w:w="20" w:type="dxa"/>
            <w:vAlign w:val="bottom"/>
            <w:tcBorders>
              <w:bottom w:val="single" w:sz="8" w:color="auto"/>
            </w:tcBorders>
            <w:shd w:val="clear" w:color="auto" w:fill="DEDEDE"/>
          </w:tcPr>
          <w:p>
            <w:pPr>
              <w:spacing w:after="0"/>
              <w:rPr>
                <w:sz w:val="24"/>
                <w:szCs w:val="24"/>
                <w:color w:val="auto"/>
              </w:rPr>
            </w:pPr>
          </w:p>
        </w:tc>
      </w:tr>
      <w:tr>
        <w:trPr>
          <w:trHeight w:val="241"/>
        </w:trPr>
        <w:tc>
          <w:tcPr>
            <w:tcW w:w="5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Deferred: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2"/>
        </w:trPr>
        <w:tc>
          <w:tcPr>
            <w:tcW w:w="5680" w:type="dxa"/>
            <w:vAlign w:val="bottom"/>
            <w:shd w:val="clear" w:color="auto" w:fill="DEDEDE"/>
          </w:tcPr>
          <w:p>
            <w:pPr>
              <w:ind w:left="400"/>
              <w:spacing w:after="0"/>
              <w:rPr>
                <w:sz w:val="20"/>
                <w:szCs w:val="20"/>
                <w:color w:val="auto"/>
              </w:rPr>
            </w:pPr>
            <w:r>
              <w:rPr>
                <w:rFonts w:ascii="Times New Roman" w:cs="Times New Roman" w:eastAsia="Times New Roman" w:hAnsi="Times New Roman"/>
                <w:sz w:val="19"/>
                <w:szCs w:val="19"/>
                <w:color w:val="auto"/>
              </w:rPr>
              <w:t>Federal</w:t>
            </w:r>
          </w:p>
        </w:tc>
        <w:tc>
          <w:tcPr>
            <w:tcW w:w="10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106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9"/>
                <w:szCs w:val="19"/>
                <w:color w:val="auto"/>
              </w:rPr>
              <w:t>(88,110)</w:t>
            </w:r>
          </w:p>
        </w:tc>
        <w:tc>
          <w:tcPr>
            <w:tcW w:w="80" w:type="dxa"/>
            <w:vAlign w:val="bottom"/>
            <w:shd w:val="clear" w:color="auto" w:fill="DEDEDE"/>
          </w:tcPr>
          <w:p>
            <w:pPr>
              <w:spacing w:after="0"/>
              <w:rPr>
                <w:sz w:val="24"/>
                <w:szCs w:val="24"/>
                <w:color w:val="auto"/>
              </w:rPr>
            </w:pPr>
          </w:p>
        </w:tc>
        <w:tc>
          <w:tcPr>
            <w:tcW w:w="160" w:type="dxa"/>
            <w:vAlign w:val="bottom"/>
            <w:shd w:val="clear" w:color="auto" w:fill="DEDEDE"/>
          </w:tcPr>
          <w:p>
            <w:pPr>
              <w:spacing w:after="0"/>
              <w:rPr>
                <w:sz w:val="24"/>
                <w:szCs w:val="24"/>
                <w:color w:val="auto"/>
              </w:rPr>
            </w:pPr>
          </w:p>
        </w:tc>
        <w:tc>
          <w:tcPr>
            <w:tcW w:w="11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(173,941)</w:t>
            </w: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4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9"/>
                <w:szCs w:val="19"/>
                <w:color w:val="auto"/>
              </w:rPr>
              <w:t>(293,704)</w:t>
            </w:r>
          </w:p>
        </w:tc>
      </w:tr>
      <w:tr>
        <w:trPr>
          <w:trHeight w:val="271"/>
        </w:trPr>
        <w:tc>
          <w:tcPr>
            <w:tcW w:w="56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State</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(20,201)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16,673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(82,561)</w:t>
            </w:r>
          </w:p>
        </w:tc>
      </w:tr>
      <w:tr>
        <w:trPr>
          <w:trHeight w:val="292"/>
        </w:trPr>
        <w:tc>
          <w:tcPr>
            <w:tcW w:w="5680" w:type="dxa"/>
            <w:vAlign w:val="bottom"/>
            <w:tcBorders>
              <w:bottom w:val="single" w:sz="8" w:color="DEDEDE"/>
            </w:tcBorders>
            <w:shd w:val="clear" w:color="auto" w:fill="DEDEDE"/>
          </w:tcPr>
          <w:p>
            <w:pPr>
              <w:ind w:left="400"/>
              <w:spacing w:after="0"/>
              <w:rPr>
                <w:sz w:val="20"/>
                <w:szCs w:val="20"/>
                <w:color w:val="auto"/>
              </w:rPr>
            </w:pPr>
            <w:r>
              <w:rPr>
                <w:rFonts w:ascii="Times New Roman" w:cs="Times New Roman" w:eastAsia="Times New Roman" w:hAnsi="Times New Roman"/>
                <w:sz w:val="19"/>
                <w:szCs w:val="19"/>
                <w:color w:val="auto"/>
              </w:rPr>
              <w:t>Foreign</w:t>
            </w:r>
          </w:p>
        </w:tc>
        <w:tc>
          <w:tcPr>
            <w:tcW w:w="10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9"/>
                <w:szCs w:val="19"/>
                <w:color w:val="auto"/>
              </w:rPr>
              <w:t>(8,368)</w:t>
            </w:r>
          </w:p>
        </w:tc>
        <w:tc>
          <w:tcPr>
            <w:tcW w:w="80" w:type="dxa"/>
            <w:vAlign w:val="bottom"/>
            <w:tcBorders>
              <w:bottom w:val="single" w:sz="8" w:color="DEDEDE"/>
            </w:tcBorders>
            <w:shd w:val="clear" w:color="auto" w:fill="DEDEDE"/>
          </w:tcPr>
          <w:p>
            <w:pPr>
              <w:spacing w:after="0"/>
              <w:rPr>
                <w:sz w:val="24"/>
                <w:szCs w:val="24"/>
                <w:color w:val="auto"/>
              </w:rPr>
            </w:pPr>
          </w:p>
        </w:tc>
        <w:tc>
          <w:tcPr>
            <w:tcW w:w="160" w:type="dxa"/>
            <w:vAlign w:val="bottom"/>
            <w:tcBorders>
              <w:bottom w:val="single" w:sz="8" w:color="auto"/>
            </w:tcBorders>
            <w:shd w:val="clear" w:color="auto" w:fill="DEDEDE"/>
          </w:tcPr>
          <w:p>
            <w:pPr>
              <w:spacing w:after="0"/>
              <w:rPr>
                <w:sz w:val="24"/>
                <w:szCs w:val="24"/>
                <w:color w:val="auto"/>
              </w:rPr>
            </w:pPr>
          </w:p>
        </w:tc>
        <w:tc>
          <w:tcPr>
            <w:tcW w:w="1180" w:type="dxa"/>
            <w:vAlign w:val="bottom"/>
            <w:tcBorders>
              <w:bottom w:val="single" w:sz="8" w:color="auto"/>
            </w:tcBorders>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(3,693)</w:t>
            </w:r>
          </w:p>
        </w:tc>
        <w:tc>
          <w:tcPr>
            <w:tcW w:w="20" w:type="dxa"/>
            <w:vAlign w:val="bottom"/>
            <w:tcBorders>
              <w:bottom w:val="single" w:sz="8" w:color="auto"/>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0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204</w:t>
            </w:r>
          </w:p>
        </w:tc>
        <w:tc>
          <w:tcPr>
            <w:tcW w:w="20" w:type="dxa"/>
            <w:vAlign w:val="bottom"/>
            <w:tcBorders>
              <w:bottom w:val="single" w:sz="8" w:color="auto"/>
            </w:tcBorders>
            <w:shd w:val="clear" w:color="auto" w:fill="DEDEDE"/>
          </w:tcPr>
          <w:p>
            <w:pPr>
              <w:spacing w:after="0"/>
              <w:rPr>
                <w:sz w:val="24"/>
                <w:szCs w:val="24"/>
                <w:color w:val="auto"/>
              </w:rPr>
            </w:pPr>
          </w:p>
        </w:tc>
      </w:tr>
      <w:tr>
        <w:trPr>
          <w:trHeight w:val="237"/>
        </w:trPr>
        <w:tc>
          <w:tcPr>
            <w:tcW w:w="5680" w:type="dxa"/>
            <w:vAlign w:val="bottom"/>
            <w:tcBorders>
              <w:bottom w:val="single" w:sz="8" w:color="DEDEDE"/>
            </w:tcBorders>
          </w:tcPr>
          <w:p>
            <w:pPr>
              <w:ind w:left="760"/>
              <w:spacing w:after="0"/>
              <w:rPr>
                <w:sz w:val="20"/>
                <w:szCs w:val="20"/>
                <w:color w:val="auto"/>
              </w:rPr>
            </w:pPr>
            <w:r>
              <w:rPr>
                <w:rFonts w:ascii="Times New Roman" w:cs="Times New Roman" w:eastAsia="Times New Roman" w:hAnsi="Times New Roman"/>
                <w:sz w:val="19"/>
                <w:szCs w:val="19"/>
                <w:color w:val="auto"/>
              </w:rPr>
              <w:t>Total deferred income tax expense (benefit)</w:t>
            </w:r>
          </w:p>
        </w:tc>
        <w:tc>
          <w:tcPr>
            <w:tcW w:w="100" w:type="dxa"/>
            <w:vAlign w:val="bottom"/>
            <w:tcBorders>
              <w:bottom w:val="single" w:sz="8" w:color="DEDED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(116,679)</w:t>
            </w:r>
          </w:p>
        </w:tc>
        <w:tc>
          <w:tcPr>
            <w:tcW w:w="80" w:type="dxa"/>
            <w:vAlign w:val="bottom"/>
            <w:tcBorders>
              <w:bottom w:val="single" w:sz="8" w:color="DEDED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(160,961)</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DEDED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(376,061)</w:t>
            </w:r>
          </w:p>
        </w:tc>
      </w:tr>
      <w:tr>
        <w:trPr>
          <w:trHeight w:val="276"/>
        </w:trPr>
        <w:tc>
          <w:tcPr>
            <w:tcW w:w="568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Total provision for (benefit from) income taxes</w:t>
            </w:r>
          </w:p>
        </w:tc>
        <w:tc>
          <w:tcPr>
            <w:tcW w:w="10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auto"/>
            </w:tcBorders>
            <w:shd w:val="clear" w:color="auto" w:fill="DEDEDE"/>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194,850</w:t>
            </w:r>
          </w:p>
        </w:tc>
        <w:tc>
          <w:tcPr>
            <w:tcW w:w="20" w:type="dxa"/>
            <w:vAlign w:val="bottom"/>
            <w:tcBorders>
              <w:bottom w:val="single" w:sz="8" w:color="auto"/>
            </w:tcBorders>
            <w:shd w:val="clear" w:color="auto" w:fill="DEDEDE"/>
          </w:tcPr>
          <w:p>
            <w:pPr>
              <w:spacing w:after="0"/>
              <w:rPr>
                <w:sz w:val="24"/>
                <w:szCs w:val="24"/>
                <w:color w:val="auto"/>
              </w:rPr>
            </w:pPr>
          </w:p>
        </w:tc>
        <w:tc>
          <w:tcPr>
            <w:tcW w:w="80" w:type="dxa"/>
            <w:vAlign w:val="bottom"/>
            <w:tcBorders>
              <w:bottom w:val="single" w:sz="8" w:color="DEDEDE"/>
            </w:tcBorders>
            <w:shd w:val="clear" w:color="auto" w:fill="DEDEDE"/>
          </w:tcPr>
          <w:p>
            <w:pPr>
              <w:spacing w:after="0"/>
              <w:rPr>
                <w:sz w:val="24"/>
                <w:szCs w:val="24"/>
                <w:color w:val="auto"/>
              </w:rPr>
            </w:pPr>
          </w:p>
        </w:tc>
        <w:tc>
          <w:tcPr>
            <w:tcW w:w="1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145,565</w:t>
            </w:r>
          </w:p>
        </w:tc>
        <w:tc>
          <w:tcPr>
            <w:tcW w:w="60" w:type="dxa"/>
            <w:vAlign w:val="bottom"/>
            <w:tcBorders>
              <w:bottom w:val="single" w:sz="8" w:color="auto"/>
            </w:tcBorders>
            <w:shd w:val="clear" w:color="auto" w:fill="DEDEDE"/>
          </w:tcPr>
          <w:p>
            <w:pPr>
              <w:spacing w:after="0"/>
              <w:rPr>
                <w:sz w:val="24"/>
                <w:szCs w:val="24"/>
                <w:color w:val="auto"/>
              </w:rPr>
            </w:pPr>
          </w:p>
        </w:tc>
        <w:tc>
          <w:tcPr>
            <w:tcW w:w="20" w:type="dxa"/>
            <w:vAlign w:val="bottom"/>
            <w:tcBorders>
              <w:bottom w:val="single" w:sz="8" w:color="auto"/>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9"/>
                <w:szCs w:val="19"/>
                <w:color w:val="auto"/>
              </w:rPr>
              <w:t>(274,007)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3593465</wp:posOffset>
            </wp:positionH>
            <wp:positionV relativeFrom="paragraph">
              <wp:posOffset>-2961005</wp:posOffset>
            </wp:positionV>
            <wp:extent cx="2724785" cy="501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0">
                      <a:extLst>
                        <a:ext uri="{28A0092B-C50C-407E-A947-70E740481C1C}"/>
                      </a:extLst>
                    </a:blip>
                    <a:srcRect/>
                    <a:stretch>
                      <a:fillRect/>
                    </a:stretch>
                  </pic:blipFill>
                  <pic:spPr bwMode="auto">
                    <a:xfrm>
                      <a:off x="0" y="0"/>
                      <a:ext cx="2724785" cy="5016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-43180</wp:posOffset>
            </wp:positionV>
            <wp:extent cx="2678430" cy="50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1">
                      <a:extLst>
                        <a:ext uri="{28A0092B-C50C-407E-A947-70E740481C1C}"/>
                      </a:extLst>
                    </a:blip>
                    <a:srcRect/>
                    <a:stretch>
                      <a:fillRect/>
                    </a:stretch>
                  </pic:blipFill>
                  <pic:spPr bwMode="auto">
                    <a:xfrm>
                      <a:off x="0" y="0"/>
                      <a:ext cx="2678430" cy="50165"/>
                    </a:xfrm>
                    <a:prstGeom prst="rect">
                      <a:avLst/>
                    </a:prstGeom>
                    <a:noFill/>
                  </pic:spPr>
                </pic:pic>
              </a:graphicData>
            </a:graphic>
          </wp:anchor>
        </w:drawing>
      </w:r>
    </w:p>
    <w:p>
      <w:pPr>
        <w:spacing w:after="0" w:line="220" w:lineRule="exact"/>
        <w:rPr>
          <w:sz w:val="20"/>
          <w:szCs w:val="20"/>
          <w:color w:val="auto"/>
        </w:rPr>
      </w:pPr>
    </w:p>
    <w:p>
      <w:pPr>
        <w:jc w:val="both"/>
        <w:ind w:right="60" w:firstLine="524"/>
        <w:spacing w:after="0" w:line="294" w:lineRule="auto"/>
        <w:rPr>
          <w:sz w:val="20"/>
          <w:szCs w:val="20"/>
          <w:color w:val="auto"/>
        </w:rPr>
      </w:pPr>
      <w:r>
        <w:rPr>
          <w:rFonts w:ascii="Times New Roman" w:cs="Times New Roman" w:eastAsia="Times New Roman" w:hAnsi="Times New Roman"/>
          <w:sz w:val="19"/>
          <w:szCs w:val="19"/>
          <w:color w:val="auto"/>
        </w:rPr>
        <w:t>The provision for (benefit from) income taxes differs from the amount computed by applying the statutory federal tax rate as follows:</w:t>
      </w:r>
    </w:p>
    <w:p>
      <w:pPr>
        <w:sectPr>
          <w:pgSz w:w="11880" w:h="15480" w:orient="portrait"/>
          <w:cols w:equalWidth="0" w:num="1">
            <w:col w:w="10020"/>
          </w:cols>
          <w:pgMar w:left="960" w:top="88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95</w:t>
      </w:r>
    </w:p>
    <w:p>
      <w:pPr>
        <w:sectPr>
          <w:pgSz w:w="11880" w:h="15480" w:orient="portrait"/>
          <w:cols w:equalWidth="0" w:num="1">
            <w:col w:w="10020"/>
          </w:cols>
          <w:pgMar w:left="960" w:top="888" w:right="900" w:bottom="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12"/>
        </w:trPr>
        <w:tc>
          <w:tcPr>
            <w:tcW w:w="56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Year Ended January 31,</w:t>
            </w:r>
          </w:p>
        </w:tc>
        <w:tc>
          <w:tcPr>
            <w:tcW w:w="980" w:type="dxa"/>
            <w:vAlign w:val="bottom"/>
            <w:tcBorders>
              <w:bottom w:val="single" w:sz="8" w:color="auto"/>
            </w:tcBorders>
          </w:tcPr>
          <w:p>
            <w:pPr>
              <w:spacing w:after="0"/>
              <w:rPr>
                <w:sz w:val="18"/>
                <w:szCs w:val="18"/>
                <w:color w:val="auto"/>
              </w:rPr>
            </w:pPr>
          </w:p>
        </w:tc>
      </w:tr>
      <w:tr>
        <w:trPr>
          <w:trHeight w:val="213"/>
        </w:trPr>
        <w:tc>
          <w:tcPr>
            <w:tcW w:w="56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4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9"/>
        </w:trPr>
        <w:tc>
          <w:tcPr>
            <w:tcW w:w="5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33"/>
        </w:trPr>
        <w:tc>
          <w:tcPr>
            <w:tcW w:w="5640" w:type="dxa"/>
            <w:vAlign w:val="bottom"/>
            <w:shd w:val="clear" w:color="auto" w:fill="DEDEDE"/>
          </w:tcPr>
          <w:p>
            <w:pPr>
              <w:spacing w:after="0"/>
              <w:rPr>
                <w:sz w:val="20"/>
                <w:szCs w:val="20"/>
                <w:color w:val="auto"/>
              </w:rPr>
            </w:pPr>
          </w:p>
        </w:tc>
        <w:tc>
          <w:tcPr>
            <w:tcW w:w="340" w:type="dxa"/>
            <w:vAlign w:val="bottom"/>
            <w:shd w:val="clear" w:color="auto" w:fill="DEDEDE"/>
          </w:tcPr>
          <w:p>
            <w:pPr>
              <w:spacing w:after="0"/>
              <w:rPr>
                <w:sz w:val="20"/>
                <w:szCs w:val="20"/>
                <w:color w:val="auto"/>
              </w:rPr>
            </w:pPr>
          </w:p>
        </w:tc>
        <w:tc>
          <w:tcPr>
            <w:tcW w:w="3000" w:type="dxa"/>
            <w:vAlign w:val="bottom"/>
            <w:gridSpan w:val="7"/>
            <w:shd w:val="clear" w:color="auto" w:fill="DEDEDE"/>
          </w:tcPr>
          <w:p>
            <w:pPr>
              <w:jc w:val="center"/>
              <w:ind w:left="565"/>
              <w:spacing w:after="0"/>
              <w:rPr>
                <w:sz w:val="20"/>
                <w:szCs w:val="20"/>
                <w:color w:val="auto"/>
              </w:rPr>
            </w:pPr>
            <w:r>
              <w:rPr>
                <w:rFonts w:ascii="Times New Roman" w:cs="Times New Roman" w:eastAsia="Times New Roman" w:hAnsi="Times New Roman"/>
                <w:sz w:val="16"/>
                <w:szCs w:val="16"/>
                <w:b w:val="1"/>
                <w:bCs w:val="1"/>
                <w:color w:val="auto"/>
                <w:w w:val="96"/>
              </w:rPr>
              <w:t>(in thousands, except percentages)</w:t>
            </w:r>
          </w:p>
        </w:tc>
        <w:tc>
          <w:tcPr>
            <w:tcW w:w="980" w:type="dxa"/>
            <w:vAlign w:val="bottom"/>
            <w:shd w:val="clear" w:color="auto" w:fill="DEDEDE"/>
          </w:tcPr>
          <w:p>
            <w:pPr>
              <w:spacing w:after="0"/>
              <w:rPr>
                <w:sz w:val="20"/>
                <w:szCs w:val="20"/>
                <w:color w:val="auto"/>
              </w:rPr>
            </w:pPr>
          </w:p>
        </w:tc>
      </w:tr>
      <w:tr>
        <w:trPr>
          <w:trHeight w:val="271"/>
        </w:trPr>
        <w:tc>
          <w:tcPr>
            <w:tcW w:w="56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Tax at federal statutory rate</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174,785</w:t>
            </w: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52,277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231,350</w:t>
            </w:r>
          </w:p>
        </w:tc>
      </w:tr>
      <w:tr>
        <w:trPr>
          <w:trHeight w:val="282"/>
        </w:trPr>
        <w:tc>
          <w:tcPr>
            <w:tcW w:w="56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State taxes</w:t>
            </w:r>
          </w:p>
        </w:tc>
        <w:tc>
          <w:tcPr>
            <w:tcW w:w="340" w:type="dxa"/>
            <w:vAlign w:val="bottom"/>
            <w:shd w:val="clear" w:color="auto" w:fill="DEDEDE"/>
          </w:tcPr>
          <w:p>
            <w:pPr>
              <w:spacing w:after="0"/>
              <w:rPr>
                <w:sz w:val="24"/>
                <w:szCs w:val="24"/>
                <w:color w:val="auto"/>
              </w:rPr>
            </w:pPr>
          </w:p>
        </w:tc>
        <w:tc>
          <w:tcPr>
            <w:tcW w:w="940" w:type="dxa"/>
            <w:vAlign w:val="bottom"/>
            <w:shd w:val="clear" w:color="auto" w:fill="DEDEDE"/>
          </w:tcPr>
          <w:p>
            <w:pPr>
              <w:jc w:val="right"/>
              <w:ind w:right="25"/>
              <w:spacing w:after="0"/>
              <w:rPr>
                <w:sz w:val="20"/>
                <w:szCs w:val="20"/>
                <w:color w:val="auto"/>
              </w:rPr>
            </w:pPr>
            <w:r>
              <w:rPr>
                <w:rFonts w:ascii="Times New Roman" w:cs="Times New Roman" w:eastAsia="Times New Roman" w:hAnsi="Times New Roman"/>
                <w:sz w:val="19"/>
                <w:szCs w:val="19"/>
                <w:color w:val="auto"/>
              </w:rPr>
              <w:t>37,137</w:t>
            </w:r>
          </w:p>
        </w:tc>
        <w:tc>
          <w:tcPr>
            <w:tcW w:w="1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060" w:type="dxa"/>
            <w:vAlign w:val="bottom"/>
            <w:shd w:val="clear" w:color="auto" w:fill="DEDEDE"/>
          </w:tcPr>
          <w:p>
            <w:pPr>
              <w:jc w:val="right"/>
              <w:ind w:right="144"/>
              <w:spacing w:after="0"/>
              <w:rPr>
                <w:sz w:val="20"/>
                <w:szCs w:val="20"/>
                <w:color w:val="auto"/>
              </w:rPr>
            </w:pPr>
            <w:r>
              <w:rPr>
                <w:rFonts w:ascii="Times New Roman" w:cs="Times New Roman" w:eastAsia="Times New Roman" w:hAnsi="Times New Roman"/>
                <w:sz w:val="19"/>
                <w:szCs w:val="19"/>
                <w:color w:val="auto"/>
              </w:rPr>
              <w:t>13,666</w:t>
            </w:r>
          </w:p>
        </w:tc>
        <w:tc>
          <w:tcPr>
            <w:tcW w:w="60" w:type="dxa"/>
            <w:vAlign w:val="bottom"/>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980" w:type="dxa"/>
            <w:vAlign w:val="bottom"/>
            <w:shd w:val="clear" w:color="auto" w:fill="DEDEDE"/>
          </w:tcPr>
          <w:p>
            <w:pPr>
              <w:jc w:val="right"/>
              <w:ind w:right="144"/>
              <w:spacing w:after="0"/>
              <w:rPr>
                <w:sz w:val="20"/>
                <w:szCs w:val="20"/>
                <w:color w:val="auto"/>
              </w:rPr>
            </w:pPr>
            <w:r>
              <w:rPr>
                <w:rFonts w:ascii="Times New Roman" w:cs="Times New Roman" w:eastAsia="Times New Roman" w:hAnsi="Times New Roman"/>
                <w:sz w:val="19"/>
                <w:szCs w:val="19"/>
                <w:color w:val="auto"/>
              </w:rPr>
              <w:t>24,840</w:t>
            </w:r>
          </w:p>
        </w:tc>
      </w:tr>
      <w:tr>
        <w:trPr>
          <w:trHeight w:val="271"/>
        </w:trPr>
        <w:tc>
          <w:tcPr>
            <w:tcW w:w="56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Foreign rate differential</w:t>
            </w:r>
          </w:p>
        </w:tc>
        <w:tc>
          <w:tcPr>
            <w:tcW w:w="340" w:type="dxa"/>
            <w:vAlign w:val="bottom"/>
          </w:tcPr>
          <w:p>
            <w:pPr>
              <w:spacing w:after="0"/>
              <w:rPr>
                <w:sz w:val="23"/>
                <w:szCs w:val="23"/>
                <w:color w:val="auto"/>
              </w:rPr>
            </w:pPr>
          </w:p>
        </w:tc>
        <w:tc>
          <w:tcPr>
            <w:tcW w:w="9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2,943</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1,017</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1,830</w:t>
            </w:r>
          </w:p>
        </w:tc>
      </w:tr>
      <w:tr>
        <w:trPr>
          <w:trHeight w:val="282"/>
        </w:trPr>
        <w:tc>
          <w:tcPr>
            <w:tcW w:w="56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Non-deductible compensation</w:t>
            </w:r>
          </w:p>
        </w:tc>
        <w:tc>
          <w:tcPr>
            <w:tcW w:w="340" w:type="dxa"/>
            <w:vAlign w:val="bottom"/>
            <w:shd w:val="clear" w:color="auto" w:fill="DEDEDE"/>
          </w:tcPr>
          <w:p>
            <w:pPr>
              <w:spacing w:after="0"/>
              <w:rPr>
                <w:sz w:val="24"/>
                <w:szCs w:val="24"/>
                <w:color w:val="auto"/>
              </w:rPr>
            </w:pPr>
          </w:p>
        </w:tc>
        <w:tc>
          <w:tcPr>
            <w:tcW w:w="940" w:type="dxa"/>
            <w:vAlign w:val="bottom"/>
            <w:shd w:val="clear" w:color="auto" w:fill="DEDEDE"/>
          </w:tcPr>
          <w:p>
            <w:pPr>
              <w:jc w:val="right"/>
              <w:ind w:right="25"/>
              <w:spacing w:after="0"/>
              <w:rPr>
                <w:sz w:val="20"/>
                <w:szCs w:val="20"/>
                <w:color w:val="auto"/>
              </w:rPr>
            </w:pPr>
            <w:r>
              <w:rPr>
                <w:rFonts w:ascii="Times New Roman" w:cs="Times New Roman" w:eastAsia="Times New Roman" w:hAnsi="Times New Roman"/>
                <w:sz w:val="19"/>
                <w:szCs w:val="19"/>
                <w:color w:val="auto"/>
              </w:rPr>
              <w:t>10,639</w:t>
            </w:r>
          </w:p>
        </w:tc>
        <w:tc>
          <w:tcPr>
            <w:tcW w:w="1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060" w:type="dxa"/>
            <w:vAlign w:val="bottom"/>
            <w:shd w:val="clear" w:color="auto" w:fill="DEDEDE"/>
          </w:tcPr>
          <w:p>
            <w:pPr>
              <w:jc w:val="right"/>
              <w:ind w:right="144"/>
              <w:spacing w:after="0"/>
              <w:rPr>
                <w:sz w:val="20"/>
                <w:szCs w:val="20"/>
                <w:color w:val="auto"/>
              </w:rPr>
            </w:pPr>
            <w:r>
              <w:rPr>
                <w:rFonts w:ascii="Times New Roman" w:cs="Times New Roman" w:eastAsia="Times New Roman" w:hAnsi="Times New Roman"/>
                <w:sz w:val="19"/>
                <w:szCs w:val="19"/>
                <w:color w:val="auto"/>
              </w:rPr>
              <w:t>10,231</w:t>
            </w:r>
          </w:p>
        </w:tc>
        <w:tc>
          <w:tcPr>
            <w:tcW w:w="60" w:type="dxa"/>
            <w:vAlign w:val="bottom"/>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980" w:type="dxa"/>
            <w:vAlign w:val="bottom"/>
            <w:shd w:val="clear" w:color="auto" w:fill="DEDEDE"/>
          </w:tcPr>
          <w:p>
            <w:pPr>
              <w:jc w:val="right"/>
              <w:ind w:right="144"/>
              <w:spacing w:after="0"/>
              <w:rPr>
                <w:sz w:val="20"/>
                <w:szCs w:val="20"/>
                <w:color w:val="auto"/>
              </w:rPr>
            </w:pPr>
            <w:r>
              <w:rPr>
                <w:rFonts w:ascii="Times New Roman" w:cs="Times New Roman" w:eastAsia="Times New Roman" w:hAnsi="Times New Roman"/>
                <w:sz w:val="19"/>
                <w:szCs w:val="19"/>
                <w:color w:val="auto"/>
              </w:rPr>
              <w:t>—</w:t>
            </w:r>
          </w:p>
        </w:tc>
      </w:tr>
      <w:tr>
        <w:trPr>
          <w:trHeight w:val="271"/>
        </w:trPr>
        <w:tc>
          <w:tcPr>
            <w:tcW w:w="56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Stock-based compensation</w:t>
            </w:r>
          </w:p>
        </w:tc>
        <w:tc>
          <w:tcPr>
            <w:tcW w:w="340" w:type="dxa"/>
            <w:vAlign w:val="bottom"/>
          </w:tcPr>
          <w:p>
            <w:pPr>
              <w:spacing w:after="0"/>
              <w:rPr>
                <w:sz w:val="23"/>
                <w:szCs w:val="23"/>
                <w:color w:val="auto"/>
              </w:rPr>
            </w:pPr>
          </w:p>
        </w:tc>
        <w:tc>
          <w:tcPr>
            <w:tcW w:w="9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96,936</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124,631</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rPr>
              <w:t>(135,250)</w:t>
            </w:r>
          </w:p>
        </w:tc>
      </w:tr>
      <w:tr>
        <w:trPr>
          <w:trHeight w:val="282"/>
        </w:trPr>
        <w:tc>
          <w:tcPr>
            <w:tcW w:w="56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Permanent Items</w:t>
            </w:r>
          </w:p>
        </w:tc>
        <w:tc>
          <w:tcPr>
            <w:tcW w:w="340" w:type="dxa"/>
            <w:vAlign w:val="bottom"/>
            <w:shd w:val="clear" w:color="auto" w:fill="DEDEDE"/>
          </w:tcPr>
          <w:p>
            <w:pPr>
              <w:spacing w:after="0"/>
              <w:rPr>
                <w:sz w:val="24"/>
                <w:szCs w:val="24"/>
                <w:color w:val="auto"/>
              </w:rPr>
            </w:pPr>
          </w:p>
        </w:tc>
        <w:tc>
          <w:tcPr>
            <w:tcW w:w="940" w:type="dxa"/>
            <w:vAlign w:val="bottom"/>
            <w:shd w:val="clear" w:color="auto" w:fill="DEDEDE"/>
          </w:tcPr>
          <w:p>
            <w:pPr>
              <w:jc w:val="right"/>
              <w:ind w:right="25"/>
              <w:spacing w:after="0"/>
              <w:rPr>
                <w:sz w:val="20"/>
                <w:szCs w:val="20"/>
                <w:color w:val="auto"/>
              </w:rPr>
            </w:pPr>
            <w:r>
              <w:rPr>
                <w:rFonts w:ascii="Times New Roman" w:cs="Times New Roman" w:eastAsia="Times New Roman" w:hAnsi="Times New Roman"/>
                <w:sz w:val="19"/>
                <w:szCs w:val="19"/>
                <w:color w:val="auto"/>
              </w:rPr>
              <w:t>4,016</w:t>
            </w:r>
          </w:p>
        </w:tc>
        <w:tc>
          <w:tcPr>
            <w:tcW w:w="1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060" w:type="dxa"/>
            <w:vAlign w:val="bottom"/>
            <w:shd w:val="clear" w:color="auto" w:fill="DEDEDE"/>
          </w:tcPr>
          <w:p>
            <w:pPr>
              <w:jc w:val="right"/>
              <w:ind w:right="144"/>
              <w:spacing w:after="0"/>
              <w:rPr>
                <w:sz w:val="20"/>
                <w:szCs w:val="20"/>
                <w:color w:val="auto"/>
              </w:rPr>
            </w:pPr>
            <w:r>
              <w:rPr>
                <w:rFonts w:ascii="Times New Roman" w:cs="Times New Roman" w:eastAsia="Times New Roman" w:hAnsi="Times New Roman"/>
                <w:sz w:val="19"/>
                <w:szCs w:val="19"/>
                <w:color w:val="auto"/>
              </w:rPr>
              <w:t>9,090</w:t>
            </w:r>
          </w:p>
        </w:tc>
        <w:tc>
          <w:tcPr>
            <w:tcW w:w="60" w:type="dxa"/>
            <w:vAlign w:val="bottom"/>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980" w:type="dxa"/>
            <w:vAlign w:val="bottom"/>
            <w:shd w:val="clear" w:color="auto" w:fill="DEDEDE"/>
          </w:tcPr>
          <w:p>
            <w:pPr>
              <w:jc w:val="right"/>
              <w:ind w:right="144"/>
              <w:spacing w:after="0"/>
              <w:rPr>
                <w:sz w:val="20"/>
                <w:szCs w:val="20"/>
                <w:color w:val="auto"/>
              </w:rPr>
            </w:pPr>
            <w:r>
              <w:rPr>
                <w:rFonts w:ascii="Times New Roman" w:cs="Times New Roman" w:eastAsia="Times New Roman" w:hAnsi="Times New Roman"/>
                <w:sz w:val="19"/>
                <w:szCs w:val="19"/>
                <w:color w:val="auto"/>
              </w:rPr>
              <w:t>3,971</w:t>
            </w:r>
          </w:p>
        </w:tc>
      </w:tr>
      <w:tr>
        <w:trPr>
          <w:trHeight w:val="271"/>
        </w:trPr>
        <w:tc>
          <w:tcPr>
            <w:tcW w:w="56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Foreign-derived intangible income deduction</w:t>
            </w:r>
          </w:p>
        </w:tc>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(63,571)</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rPr>
              <w:t>(76,686)</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rPr>
              <w:t>(34,131)</w:t>
            </w:r>
          </w:p>
        </w:tc>
      </w:tr>
      <w:tr>
        <w:trPr>
          <w:trHeight w:val="282"/>
        </w:trPr>
        <w:tc>
          <w:tcPr>
            <w:tcW w:w="56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Research and development credits</w:t>
            </w:r>
          </w:p>
        </w:tc>
        <w:tc>
          <w:tcPr>
            <w:tcW w:w="34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(39,226)</w:t>
            </w:r>
          </w:p>
        </w:tc>
        <w:tc>
          <w:tcPr>
            <w:tcW w:w="1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060" w:type="dxa"/>
            <w:vAlign w:val="bottom"/>
            <w:shd w:val="clear" w:color="auto" w:fill="DEDEDE"/>
          </w:tcPr>
          <w:p>
            <w:pPr>
              <w:jc w:val="right"/>
              <w:ind w:right="84"/>
              <w:spacing w:after="0"/>
              <w:rPr>
                <w:sz w:val="20"/>
                <w:szCs w:val="20"/>
                <w:color w:val="auto"/>
              </w:rPr>
            </w:pPr>
            <w:r>
              <w:rPr>
                <w:rFonts w:ascii="Times New Roman" w:cs="Times New Roman" w:eastAsia="Times New Roman" w:hAnsi="Times New Roman"/>
                <w:sz w:val="19"/>
                <w:szCs w:val="19"/>
                <w:color w:val="auto"/>
              </w:rPr>
              <w:t>(38,127)</w:t>
            </w:r>
          </w:p>
        </w:tc>
        <w:tc>
          <w:tcPr>
            <w:tcW w:w="60" w:type="dxa"/>
            <w:vAlign w:val="bottom"/>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980" w:type="dxa"/>
            <w:vAlign w:val="bottom"/>
            <w:shd w:val="clear" w:color="auto" w:fill="DEDEDE"/>
          </w:tcPr>
          <w:p>
            <w:pPr>
              <w:jc w:val="right"/>
              <w:ind w:right="84"/>
              <w:spacing w:after="0"/>
              <w:rPr>
                <w:sz w:val="20"/>
                <w:szCs w:val="20"/>
                <w:color w:val="auto"/>
              </w:rPr>
            </w:pPr>
            <w:r>
              <w:rPr>
                <w:rFonts w:ascii="Times New Roman" w:cs="Times New Roman" w:eastAsia="Times New Roman" w:hAnsi="Times New Roman"/>
                <w:sz w:val="19"/>
                <w:szCs w:val="19"/>
                <w:color w:val="auto"/>
              </w:rPr>
              <w:t>(42,973)</w:t>
            </w:r>
          </w:p>
        </w:tc>
      </w:tr>
      <w:tr>
        <w:trPr>
          <w:trHeight w:val="271"/>
        </w:trPr>
        <w:tc>
          <w:tcPr>
            <w:tcW w:w="56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Tax uncertainties</w:t>
            </w:r>
          </w:p>
        </w:tc>
        <w:tc>
          <w:tcPr>
            <w:tcW w:w="340" w:type="dxa"/>
            <w:vAlign w:val="bottom"/>
          </w:tcPr>
          <w:p>
            <w:pPr>
              <w:spacing w:after="0"/>
              <w:rPr>
                <w:sz w:val="23"/>
                <w:szCs w:val="23"/>
                <w:color w:val="auto"/>
              </w:rPr>
            </w:pPr>
          </w:p>
        </w:tc>
        <w:tc>
          <w:tcPr>
            <w:tcW w:w="9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2,674</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2,296</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244</w:t>
            </w:r>
          </w:p>
        </w:tc>
      </w:tr>
      <w:tr>
        <w:trPr>
          <w:trHeight w:val="282"/>
        </w:trPr>
        <w:tc>
          <w:tcPr>
            <w:tcW w:w="56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Change in valuation allowance</w:t>
            </w:r>
          </w:p>
        </w:tc>
        <w:tc>
          <w:tcPr>
            <w:tcW w:w="34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(14,109)</w:t>
            </w:r>
          </w:p>
        </w:tc>
        <w:tc>
          <w:tcPr>
            <w:tcW w:w="1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060" w:type="dxa"/>
            <w:vAlign w:val="bottom"/>
            <w:shd w:val="clear" w:color="auto" w:fill="DEDEDE"/>
          </w:tcPr>
          <w:p>
            <w:pPr>
              <w:jc w:val="right"/>
              <w:ind w:right="144"/>
              <w:spacing w:after="0"/>
              <w:rPr>
                <w:sz w:val="20"/>
                <w:szCs w:val="20"/>
                <w:color w:val="auto"/>
              </w:rPr>
            </w:pPr>
            <w:r>
              <w:rPr>
                <w:rFonts w:ascii="Times New Roman" w:cs="Times New Roman" w:eastAsia="Times New Roman" w:hAnsi="Times New Roman"/>
                <w:sz w:val="19"/>
                <w:szCs w:val="19"/>
                <w:color w:val="auto"/>
              </w:rPr>
              <w:t>39,288</w:t>
            </w:r>
          </w:p>
        </w:tc>
        <w:tc>
          <w:tcPr>
            <w:tcW w:w="60" w:type="dxa"/>
            <w:vAlign w:val="bottom"/>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980" w:type="dxa"/>
            <w:vAlign w:val="bottom"/>
            <w:shd w:val="clear" w:color="auto" w:fill="DEDEDE"/>
          </w:tcPr>
          <w:p>
            <w:pPr>
              <w:jc w:val="right"/>
              <w:ind w:right="84"/>
              <w:spacing w:after="0"/>
              <w:rPr>
                <w:sz w:val="20"/>
                <w:szCs w:val="20"/>
                <w:color w:val="auto"/>
              </w:rPr>
            </w:pPr>
            <w:r>
              <w:rPr>
                <w:rFonts w:ascii="Times New Roman" w:cs="Times New Roman" w:eastAsia="Times New Roman" w:hAnsi="Times New Roman"/>
                <w:sz w:val="19"/>
                <w:szCs w:val="19"/>
                <w:color w:val="auto"/>
              </w:rPr>
              <w:t>(322,231)</w:t>
            </w:r>
          </w:p>
        </w:tc>
      </w:tr>
      <w:tr>
        <w:trPr>
          <w:trHeight w:val="271"/>
        </w:trPr>
        <w:tc>
          <w:tcPr>
            <w:tcW w:w="56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Deferred rate change</w:t>
            </w:r>
          </w:p>
        </w:tc>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(6,803)</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2,014</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w:t>
            </w:r>
          </w:p>
        </w:tc>
      </w:tr>
      <w:tr>
        <w:trPr>
          <w:trHeight w:val="292"/>
        </w:trPr>
        <w:tc>
          <w:tcPr>
            <w:tcW w:w="564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Other</w:t>
            </w:r>
          </w:p>
        </w:tc>
        <w:tc>
          <w:tcPr>
            <w:tcW w:w="340" w:type="dxa"/>
            <w:vAlign w:val="bottom"/>
            <w:tcBorders>
              <w:bottom w:val="single" w:sz="8" w:color="auto"/>
            </w:tcBorders>
            <w:shd w:val="clear" w:color="auto" w:fill="DEDEDE"/>
          </w:tcPr>
          <w:p>
            <w:pPr>
              <w:spacing w:after="0"/>
              <w:rPr>
                <w:sz w:val="24"/>
                <w:szCs w:val="24"/>
                <w:color w:val="auto"/>
              </w:rPr>
            </w:pP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(10,571)</w:t>
            </w:r>
          </w:p>
        </w:tc>
        <w:tc>
          <w:tcPr>
            <w:tcW w:w="12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3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ind w:right="144"/>
              <w:spacing w:after="0"/>
              <w:rPr>
                <w:sz w:val="20"/>
                <w:szCs w:val="20"/>
                <w:color w:val="auto"/>
              </w:rPr>
            </w:pPr>
            <w:r>
              <w:rPr>
                <w:rFonts w:ascii="Times New Roman" w:cs="Times New Roman" w:eastAsia="Times New Roman" w:hAnsi="Times New Roman"/>
                <w:sz w:val="19"/>
                <w:szCs w:val="19"/>
                <w:color w:val="auto"/>
              </w:rPr>
              <w:t>5,868</w:t>
            </w:r>
          </w:p>
        </w:tc>
        <w:tc>
          <w:tcPr>
            <w:tcW w:w="60" w:type="dxa"/>
            <w:vAlign w:val="bottom"/>
            <w:tcBorders>
              <w:bottom w:val="single" w:sz="8" w:color="DEDEDE"/>
            </w:tcBorders>
            <w:shd w:val="clear" w:color="auto" w:fill="DEDEDE"/>
          </w:tcPr>
          <w:p>
            <w:pPr>
              <w:spacing w:after="0"/>
              <w:rPr>
                <w:sz w:val="24"/>
                <w:szCs w:val="24"/>
                <w:color w:val="auto"/>
              </w:rPr>
            </w:pPr>
          </w:p>
        </w:tc>
        <w:tc>
          <w:tcPr>
            <w:tcW w:w="420" w:type="dxa"/>
            <w:vAlign w:val="bottom"/>
            <w:tcBorders>
              <w:bottom w:val="single" w:sz="8" w:color="auto"/>
            </w:tcBorders>
            <w:shd w:val="clear" w:color="auto" w:fill="DEDEDE"/>
          </w:tcPr>
          <w:p>
            <w:pPr>
              <w:spacing w:after="0"/>
              <w:rPr>
                <w:sz w:val="24"/>
                <w:szCs w:val="24"/>
                <w:color w:val="auto"/>
              </w:rPr>
            </w:pPr>
          </w:p>
        </w:tc>
        <w:tc>
          <w:tcPr>
            <w:tcW w:w="980" w:type="dxa"/>
            <w:vAlign w:val="bottom"/>
            <w:tcBorders>
              <w:bottom w:val="single" w:sz="8" w:color="auto"/>
            </w:tcBorders>
            <w:shd w:val="clear" w:color="auto" w:fill="DEDEDE"/>
          </w:tcPr>
          <w:p>
            <w:pPr>
              <w:jc w:val="right"/>
              <w:ind w:right="84"/>
              <w:spacing w:after="0"/>
              <w:rPr>
                <w:sz w:val="20"/>
                <w:szCs w:val="20"/>
                <w:color w:val="auto"/>
              </w:rPr>
            </w:pPr>
            <w:r>
              <w:rPr>
                <w:rFonts w:ascii="Times New Roman" w:cs="Times New Roman" w:eastAsia="Times New Roman" w:hAnsi="Times New Roman"/>
                <w:sz w:val="19"/>
                <w:szCs w:val="19"/>
                <w:color w:val="auto"/>
              </w:rPr>
              <w:t>(1,658)</w:t>
            </w:r>
          </w:p>
        </w:tc>
      </w:tr>
      <w:tr>
        <w:trPr>
          <w:trHeight w:val="256"/>
        </w:trPr>
        <w:tc>
          <w:tcPr>
            <w:tcW w:w="56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Total</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194,850</w:t>
            </w: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145,565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rPr>
              <w:t>(274,007)</w:t>
            </w:r>
          </w:p>
        </w:tc>
      </w:tr>
      <w:tr>
        <w:trPr>
          <w:trHeight w:val="248"/>
        </w:trPr>
        <w:tc>
          <w:tcPr>
            <w:tcW w:w="5640" w:type="dxa"/>
            <w:vAlign w:val="bottom"/>
            <w:tcBorders>
              <w:top w:val="single" w:sz="8" w:color="DEDEDE"/>
            </w:tcBorders>
            <w:shd w:val="clear" w:color="auto" w:fill="DEDEDE"/>
          </w:tcPr>
          <w:p>
            <w:pPr>
              <w:ind w:left="400"/>
              <w:spacing w:after="0"/>
              <w:rPr>
                <w:sz w:val="20"/>
                <w:szCs w:val="20"/>
                <w:color w:val="auto"/>
              </w:rPr>
            </w:pPr>
            <w:r>
              <w:rPr>
                <w:rFonts w:ascii="Times New Roman" w:cs="Times New Roman" w:eastAsia="Times New Roman" w:hAnsi="Times New Roman"/>
                <w:sz w:val="19"/>
                <w:szCs w:val="19"/>
                <w:color w:val="auto"/>
              </w:rPr>
              <w:t>Effective tax rate</w:t>
            </w:r>
          </w:p>
        </w:tc>
        <w:tc>
          <w:tcPr>
            <w:tcW w:w="340" w:type="dxa"/>
            <w:vAlign w:val="bottom"/>
            <w:tcBorders>
              <w:top w:val="single" w:sz="8" w:color="auto"/>
            </w:tcBorders>
            <w:shd w:val="clear" w:color="auto" w:fill="DEDEDE"/>
          </w:tcPr>
          <w:p>
            <w:pPr>
              <w:spacing w:after="0"/>
              <w:rPr>
                <w:sz w:val="21"/>
                <w:szCs w:val="21"/>
                <w:color w:val="auto"/>
              </w:rPr>
            </w:pPr>
          </w:p>
        </w:tc>
        <w:tc>
          <w:tcPr>
            <w:tcW w:w="1060" w:type="dxa"/>
            <w:vAlign w:val="bottom"/>
            <w:tcBorders>
              <w:top w:val="single" w:sz="8" w:color="auto"/>
            </w:tcBorders>
            <w:gridSpan w:val="2"/>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23.4 %</w:t>
            </w:r>
          </w:p>
        </w:tc>
        <w:tc>
          <w:tcPr>
            <w:tcW w:w="60" w:type="dxa"/>
            <w:vAlign w:val="bottom"/>
            <w:tcBorders>
              <w:top w:val="single" w:sz="8" w:color="DEDEDE"/>
            </w:tcBorders>
            <w:shd w:val="clear" w:color="auto" w:fill="DEDEDE"/>
          </w:tcPr>
          <w:p>
            <w:pPr>
              <w:spacing w:after="0"/>
              <w:rPr>
                <w:sz w:val="21"/>
                <w:szCs w:val="21"/>
                <w:color w:val="auto"/>
              </w:rPr>
            </w:pPr>
          </w:p>
        </w:tc>
        <w:tc>
          <w:tcPr>
            <w:tcW w:w="340" w:type="dxa"/>
            <w:vAlign w:val="bottom"/>
            <w:tcBorders>
              <w:top w:val="single" w:sz="8" w:color="auto"/>
            </w:tcBorders>
            <w:shd w:val="clear" w:color="auto" w:fill="DEDEDE"/>
          </w:tcPr>
          <w:p>
            <w:pPr>
              <w:spacing w:after="0"/>
              <w:rPr>
                <w:sz w:val="21"/>
                <w:szCs w:val="21"/>
                <w:color w:val="auto"/>
              </w:rPr>
            </w:pPr>
          </w:p>
        </w:tc>
        <w:tc>
          <w:tcPr>
            <w:tcW w:w="10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58.4 %</w:t>
            </w:r>
          </w:p>
        </w:tc>
        <w:tc>
          <w:tcPr>
            <w:tcW w:w="60" w:type="dxa"/>
            <w:vAlign w:val="bottom"/>
            <w:tcBorders>
              <w:top w:val="single" w:sz="8" w:color="DEDEDE"/>
            </w:tcBorders>
            <w:shd w:val="clear" w:color="auto" w:fill="DEDEDE"/>
          </w:tcPr>
          <w:p>
            <w:pPr>
              <w:spacing w:after="0"/>
              <w:rPr>
                <w:sz w:val="21"/>
                <w:szCs w:val="21"/>
                <w:color w:val="auto"/>
              </w:rPr>
            </w:pPr>
          </w:p>
        </w:tc>
        <w:tc>
          <w:tcPr>
            <w:tcW w:w="420" w:type="dxa"/>
            <w:vAlign w:val="bottom"/>
            <w:tcBorders>
              <w:top w:val="single" w:sz="8" w:color="auto"/>
            </w:tcBorders>
            <w:shd w:val="clear" w:color="auto" w:fill="DEDEDE"/>
          </w:tcPr>
          <w:p>
            <w:pPr>
              <w:spacing w:after="0"/>
              <w:rPr>
                <w:sz w:val="21"/>
                <w:szCs w:val="21"/>
                <w:color w:val="auto"/>
              </w:rPr>
            </w:pPr>
          </w:p>
        </w:tc>
        <w:tc>
          <w:tcPr>
            <w:tcW w:w="9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-200025</wp:posOffset>
            </wp:positionV>
            <wp:extent cx="2761615" cy="501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2">
                      <a:extLst>
                        <a:ext uri="{28A0092B-C50C-407E-A947-70E740481C1C}"/>
                      </a:extLst>
                    </a:blip>
                    <a:srcRect/>
                    <a:stretch>
                      <a:fillRect/>
                    </a:stretch>
                  </pic:blipFill>
                  <pic:spPr bwMode="auto">
                    <a:xfrm>
                      <a:off x="0" y="0"/>
                      <a:ext cx="2761615" cy="50165"/>
                    </a:xfrm>
                    <a:prstGeom prst="rect">
                      <a:avLst/>
                    </a:prstGeom>
                    <a:noFill/>
                  </pic:spPr>
                </pic:pic>
              </a:graphicData>
            </a:graphic>
          </wp:anchor>
        </w:drawing>
      </w:r>
    </w:p>
    <w:p>
      <w:pPr>
        <w:spacing w:after="0" w:line="249"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Deferred income taxes result from differences in the recognition of amounts for tax and financial reporting purposes, as well as operating loss and tax credit carryforwards. Significant components of our deferred income tax assets as of January 31, 2024 and 2023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January 31,</w:t>
            </w:r>
          </w:p>
        </w:tc>
        <w:tc>
          <w:tcPr>
            <w:tcW w:w="980" w:type="dxa"/>
            <w:vAlign w:val="bottom"/>
            <w:tcBorders>
              <w:bottom w:val="single" w:sz="8" w:color="auto"/>
            </w:tcBorders>
          </w:tcPr>
          <w:p>
            <w:pPr>
              <w:spacing w:after="0"/>
              <w:rPr>
                <w:sz w:val="18"/>
                <w:szCs w:val="18"/>
                <w:color w:val="auto"/>
              </w:rPr>
            </w:pPr>
          </w:p>
        </w:tc>
      </w:tr>
      <w:tr>
        <w:trPr>
          <w:trHeight w:val="213"/>
        </w:trPr>
        <w:tc>
          <w:tcPr>
            <w:tcW w:w="67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73"/>
        </w:trPr>
        <w:tc>
          <w:tcPr>
            <w:tcW w:w="6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gridSpan w:val="3"/>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80" w:type="dxa"/>
            <w:vAlign w:val="bottom"/>
          </w:tcPr>
          <w:p>
            <w:pPr>
              <w:spacing w:after="0"/>
              <w:rPr>
                <w:sz w:val="23"/>
                <w:szCs w:val="23"/>
                <w:color w:val="auto"/>
              </w:rPr>
            </w:pPr>
          </w:p>
        </w:tc>
      </w:tr>
      <w:tr>
        <w:trPr>
          <w:trHeight w:val="285"/>
        </w:trPr>
        <w:tc>
          <w:tcPr>
            <w:tcW w:w="67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Deferred tax assets:</w:t>
            </w:r>
          </w:p>
        </w:tc>
        <w:tc>
          <w:tcPr>
            <w:tcW w:w="400" w:type="dxa"/>
            <w:vAlign w:val="bottom"/>
            <w:shd w:val="clear" w:color="auto" w:fill="DEDEDE"/>
          </w:tcPr>
          <w:p>
            <w:pPr>
              <w:spacing w:after="0"/>
              <w:rPr>
                <w:sz w:val="24"/>
                <w:szCs w:val="24"/>
                <w:color w:val="auto"/>
              </w:rPr>
            </w:pPr>
          </w:p>
        </w:tc>
        <w:tc>
          <w:tcPr>
            <w:tcW w:w="11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0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r>
      <w:tr>
        <w:trPr>
          <w:trHeight w:val="271"/>
        </w:trPr>
        <w:tc>
          <w:tcPr>
            <w:tcW w:w="67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Net operating loss carryforwards</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12,995</w:t>
            </w:r>
          </w:p>
        </w:tc>
        <w:tc>
          <w:tcPr>
            <w:tcW w:w="660" w:type="dxa"/>
            <w:vAlign w:val="bottom"/>
            <w:gridSpan w:val="2"/>
          </w:tcPr>
          <w:p>
            <w:pPr>
              <w:jc w:val="right"/>
              <w:ind w:right="3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14,788</w:t>
            </w:r>
          </w:p>
        </w:tc>
      </w:tr>
      <w:tr>
        <w:trPr>
          <w:trHeight w:val="282"/>
        </w:trPr>
        <w:tc>
          <w:tcPr>
            <w:tcW w:w="6740" w:type="dxa"/>
            <w:vAlign w:val="bottom"/>
            <w:shd w:val="clear" w:color="auto" w:fill="DEDEDE"/>
          </w:tcPr>
          <w:p>
            <w:pPr>
              <w:ind w:left="400"/>
              <w:spacing w:after="0"/>
              <w:rPr>
                <w:sz w:val="20"/>
                <w:szCs w:val="20"/>
                <w:color w:val="auto"/>
              </w:rPr>
            </w:pPr>
            <w:r>
              <w:rPr>
                <w:rFonts w:ascii="Times New Roman" w:cs="Times New Roman" w:eastAsia="Times New Roman" w:hAnsi="Times New Roman"/>
                <w:sz w:val="19"/>
                <w:szCs w:val="19"/>
                <w:color w:val="auto"/>
              </w:rPr>
              <w:t>Research and development credit carryforwards</w:t>
            </w:r>
          </w:p>
        </w:tc>
        <w:tc>
          <w:tcPr>
            <w:tcW w:w="400" w:type="dxa"/>
            <w:vAlign w:val="bottom"/>
            <w:shd w:val="clear" w:color="auto" w:fill="DEDEDE"/>
          </w:tcPr>
          <w:p>
            <w:pPr>
              <w:spacing w:after="0"/>
              <w:rPr>
                <w:sz w:val="24"/>
                <w:szCs w:val="24"/>
                <w:color w:val="auto"/>
              </w:rPr>
            </w:pP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16,610</w:t>
            </w:r>
          </w:p>
        </w:tc>
        <w:tc>
          <w:tcPr>
            <w:tcW w:w="60" w:type="dxa"/>
            <w:vAlign w:val="bottom"/>
            <w:shd w:val="clear" w:color="auto" w:fill="DEDEDE"/>
          </w:tcPr>
          <w:p>
            <w:pPr>
              <w:spacing w:after="0"/>
              <w:rPr>
                <w:sz w:val="24"/>
                <w:szCs w:val="24"/>
                <w:color w:val="auto"/>
              </w:rPr>
            </w:pPr>
          </w:p>
        </w:tc>
        <w:tc>
          <w:tcPr>
            <w:tcW w:w="60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12,792</w:t>
            </w:r>
          </w:p>
        </w:tc>
      </w:tr>
      <w:tr>
        <w:trPr>
          <w:trHeight w:val="271"/>
        </w:trPr>
        <w:tc>
          <w:tcPr>
            <w:tcW w:w="67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Stock-based compensation</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84,906</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116,798</w:t>
            </w:r>
          </w:p>
        </w:tc>
      </w:tr>
      <w:tr>
        <w:trPr>
          <w:trHeight w:val="282"/>
        </w:trPr>
        <w:tc>
          <w:tcPr>
            <w:tcW w:w="6740" w:type="dxa"/>
            <w:vAlign w:val="bottom"/>
            <w:shd w:val="clear" w:color="auto" w:fill="DEDEDE"/>
          </w:tcPr>
          <w:p>
            <w:pPr>
              <w:ind w:left="400"/>
              <w:spacing w:after="0"/>
              <w:rPr>
                <w:sz w:val="20"/>
                <w:szCs w:val="20"/>
                <w:color w:val="auto"/>
              </w:rPr>
            </w:pPr>
            <w:r>
              <w:rPr>
                <w:rFonts w:ascii="Times New Roman" w:cs="Times New Roman" w:eastAsia="Times New Roman" w:hAnsi="Times New Roman"/>
                <w:sz w:val="19"/>
                <w:szCs w:val="19"/>
                <w:color w:val="auto"/>
              </w:rPr>
              <w:t>Accruals and reserves</w:t>
            </w:r>
          </w:p>
        </w:tc>
        <w:tc>
          <w:tcPr>
            <w:tcW w:w="400" w:type="dxa"/>
            <w:vAlign w:val="bottom"/>
            <w:shd w:val="clear" w:color="auto" w:fill="DEDEDE"/>
          </w:tcPr>
          <w:p>
            <w:pPr>
              <w:spacing w:after="0"/>
              <w:rPr>
                <w:sz w:val="24"/>
                <w:szCs w:val="24"/>
                <w:color w:val="auto"/>
              </w:rPr>
            </w:pP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39,295</w:t>
            </w:r>
          </w:p>
        </w:tc>
        <w:tc>
          <w:tcPr>
            <w:tcW w:w="60" w:type="dxa"/>
            <w:vAlign w:val="bottom"/>
            <w:shd w:val="clear" w:color="auto" w:fill="DEDEDE"/>
          </w:tcPr>
          <w:p>
            <w:pPr>
              <w:spacing w:after="0"/>
              <w:rPr>
                <w:sz w:val="24"/>
                <w:szCs w:val="24"/>
                <w:color w:val="auto"/>
              </w:rPr>
            </w:pPr>
          </w:p>
        </w:tc>
        <w:tc>
          <w:tcPr>
            <w:tcW w:w="60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42,271</w:t>
            </w:r>
          </w:p>
        </w:tc>
      </w:tr>
      <w:tr>
        <w:trPr>
          <w:trHeight w:val="271"/>
        </w:trPr>
        <w:tc>
          <w:tcPr>
            <w:tcW w:w="67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Deferred revenue</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308,152</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303,167</w:t>
            </w:r>
          </w:p>
        </w:tc>
      </w:tr>
      <w:tr>
        <w:trPr>
          <w:trHeight w:val="282"/>
        </w:trPr>
        <w:tc>
          <w:tcPr>
            <w:tcW w:w="6740" w:type="dxa"/>
            <w:vAlign w:val="bottom"/>
            <w:shd w:val="clear" w:color="auto" w:fill="DEDEDE"/>
          </w:tcPr>
          <w:p>
            <w:pPr>
              <w:ind w:left="400"/>
              <w:spacing w:after="0"/>
              <w:rPr>
                <w:sz w:val="20"/>
                <w:szCs w:val="20"/>
                <w:color w:val="auto"/>
              </w:rPr>
            </w:pPr>
            <w:r>
              <w:rPr>
                <w:rFonts w:ascii="Times New Roman" w:cs="Times New Roman" w:eastAsia="Times New Roman" w:hAnsi="Times New Roman"/>
                <w:sz w:val="19"/>
                <w:szCs w:val="19"/>
                <w:color w:val="auto"/>
              </w:rPr>
              <w:t>Capitalized research expenditures</w:t>
            </w:r>
          </w:p>
        </w:tc>
        <w:tc>
          <w:tcPr>
            <w:tcW w:w="400" w:type="dxa"/>
            <w:vAlign w:val="bottom"/>
            <w:shd w:val="clear" w:color="auto" w:fill="DEDEDE"/>
          </w:tcPr>
          <w:p>
            <w:pPr>
              <w:spacing w:after="0"/>
              <w:rPr>
                <w:sz w:val="24"/>
                <w:szCs w:val="24"/>
                <w:color w:val="auto"/>
              </w:rPr>
            </w:pP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379,102</w:t>
            </w:r>
          </w:p>
        </w:tc>
        <w:tc>
          <w:tcPr>
            <w:tcW w:w="60" w:type="dxa"/>
            <w:vAlign w:val="bottom"/>
            <w:shd w:val="clear" w:color="auto" w:fill="DEDEDE"/>
          </w:tcPr>
          <w:p>
            <w:pPr>
              <w:spacing w:after="0"/>
              <w:rPr>
                <w:sz w:val="24"/>
                <w:szCs w:val="24"/>
                <w:color w:val="auto"/>
              </w:rPr>
            </w:pPr>
          </w:p>
        </w:tc>
        <w:tc>
          <w:tcPr>
            <w:tcW w:w="60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245,708</w:t>
            </w:r>
          </w:p>
        </w:tc>
      </w:tr>
      <w:tr>
        <w:trPr>
          <w:trHeight w:val="271"/>
        </w:trPr>
        <w:tc>
          <w:tcPr>
            <w:tcW w:w="67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Operating lease liabilities</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17,829</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23,140</w:t>
            </w:r>
          </w:p>
        </w:tc>
      </w:tr>
      <w:tr>
        <w:trPr>
          <w:trHeight w:val="292"/>
        </w:trPr>
        <w:tc>
          <w:tcPr>
            <w:tcW w:w="6740" w:type="dxa"/>
            <w:vAlign w:val="bottom"/>
            <w:tcBorders>
              <w:bottom w:val="single" w:sz="8" w:color="DEDEDE"/>
            </w:tcBorders>
            <w:shd w:val="clear" w:color="auto" w:fill="DEDEDE"/>
          </w:tcPr>
          <w:p>
            <w:pPr>
              <w:ind w:left="400"/>
              <w:spacing w:after="0"/>
              <w:rPr>
                <w:sz w:val="20"/>
                <w:szCs w:val="20"/>
                <w:color w:val="auto"/>
              </w:rPr>
            </w:pPr>
            <w:r>
              <w:rPr>
                <w:rFonts w:ascii="Times New Roman" w:cs="Times New Roman" w:eastAsia="Times New Roman" w:hAnsi="Times New Roman"/>
                <w:sz w:val="19"/>
                <w:szCs w:val="19"/>
                <w:color w:val="auto"/>
              </w:rPr>
              <w:t>Other assets</w:t>
            </w:r>
          </w:p>
        </w:tc>
        <w:tc>
          <w:tcPr>
            <w:tcW w:w="400" w:type="dxa"/>
            <w:vAlign w:val="bottom"/>
            <w:tcBorders>
              <w:bottom w:val="single" w:sz="8" w:color="auto"/>
            </w:tcBorders>
            <w:shd w:val="clear" w:color="auto" w:fill="DEDEDE"/>
          </w:tcPr>
          <w:p>
            <w:pPr>
              <w:spacing w:after="0"/>
              <w:rPr>
                <w:sz w:val="24"/>
                <w:szCs w:val="24"/>
                <w:color w:val="auto"/>
              </w:rPr>
            </w:pPr>
          </w:p>
        </w:tc>
        <w:tc>
          <w:tcPr>
            <w:tcW w:w="1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4,105</w:t>
            </w:r>
          </w:p>
        </w:tc>
        <w:tc>
          <w:tcPr>
            <w:tcW w:w="60" w:type="dxa"/>
            <w:vAlign w:val="bottom"/>
            <w:tcBorders>
              <w:bottom w:val="single" w:sz="8" w:color="DEDEDE"/>
            </w:tcBorders>
            <w:shd w:val="clear" w:color="auto" w:fill="DEDEDE"/>
          </w:tcPr>
          <w:p>
            <w:pPr>
              <w:spacing w:after="0"/>
              <w:rPr>
                <w:sz w:val="24"/>
                <w:szCs w:val="24"/>
                <w:color w:val="auto"/>
              </w:rPr>
            </w:pPr>
          </w:p>
        </w:tc>
        <w:tc>
          <w:tcPr>
            <w:tcW w:w="600" w:type="dxa"/>
            <w:vAlign w:val="bottom"/>
            <w:tcBorders>
              <w:bottom w:val="single" w:sz="8" w:color="auto"/>
            </w:tcBorders>
            <w:shd w:val="clear" w:color="auto" w:fill="DEDEDE"/>
          </w:tcPr>
          <w:p>
            <w:pPr>
              <w:spacing w:after="0"/>
              <w:rPr>
                <w:sz w:val="24"/>
                <w:szCs w:val="24"/>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10,541</w:t>
            </w:r>
          </w:p>
        </w:tc>
      </w:tr>
      <w:tr>
        <w:trPr>
          <w:trHeight w:val="241"/>
        </w:trPr>
        <w:tc>
          <w:tcPr>
            <w:tcW w:w="67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Total deferred tax assets</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862,994</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769,205</w:t>
            </w:r>
          </w:p>
        </w:tc>
      </w:tr>
      <w:tr>
        <w:trPr>
          <w:trHeight w:val="292"/>
        </w:trPr>
        <w:tc>
          <w:tcPr>
            <w:tcW w:w="6740" w:type="dxa"/>
            <w:vAlign w:val="bottom"/>
            <w:tcBorders>
              <w:bottom w:val="single" w:sz="8" w:color="DEDEDE"/>
            </w:tcBorders>
            <w:shd w:val="clear" w:color="auto" w:fill="DEDEDE"/>
          </w:tcPr>
          <w:p>
            <w:pPr>
              <w:ind w:left="760"/>
              <w:spacing w:after="0"/>
              <w:rPr>
                <w:sz w:val="20"/>
                <w:szCs w:val="20"/>
                <w:color w:val="auto"/>
              </w:rPr>
            </w:pPr>
            <w:r>
              <w:rPr>
                <w:rFonts w:ascii="Times New Roman" w:cs="Times New Roman" w:eastAsia="Times New Roman" w:hAnsi="Times New Roman"/>
                <w:sz w:val="19"/>
                <w:szCs w:val="19"/>
                <w:color w:val="auto"/>
              </w:rPr>
              <w:t>Valuation allowance</w:t>
            </w:r>
          </w:p>
        </w:tc>
        <w:tc>
          <w:tcPr>
            <w:tcW w:w="400" w:type="dxa"/>
            <w:vAlign w:val="bottom"/>
            <w:tcBorders>
              <w:bottom w:val="single" w:sz="8" w:color="auto"/>
            </w:tcBorders>
            <w:shd w:val="clear" w:color="auto" w:fill="DEDEDE"/>
          </w:tcPr>
          <w:p>
            <w:pPr>
              <w:spacing w:after="0"/>
              <w:rPr>
                <w:sz w:val="24"/>
                <w:szCs w:val="24"/>
                <w:color w:val="auto"/>
              </w:rPr>
            </w:pPr>
          </w:p>
        </w:tc>
        <w:tc>
          <w:tcPr>
            <w:tcW w:w="1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(35,949)</w:t>
            </w:r>
          </w:p>
        </w:tc>
        <w:tc>
          <w:tcPr>
            <w:tcW w:w="60" w:type="dxa"/>
            <w:vAlign w:val="bottom"/>
            <w:tcBorders>
              <w:bottom w:val="single" w:sz="8" w:color="DEDEDE"/>
            </w:tcBorders>
            <w:shd w:val="clear" w:color="auto" w:fill="DEDEDE"/>
          </w:tcPr>
          <w:p>
            <w:pPr>
              <w:spacing w:after="0"/>
              <w:rPr>
                <w:sz w:val="24"/>
                <w:szCs w:val="24"/>
                <w:color w:val="auto"/>
              </w:rPr>
            </w:pPr>
          </w:p>
        </w:tc>
        <w:tc>
          <w:tcPr>
            <w:tcW w:w="600" w:type="dxa"/>
            <w:vAlign w:val="bottom"/>
            <w:tcBorders>
              <w:bottom w:val="single" w:sz="8" w:color="auto"/>
            </w:tcBorders>
            <w:shd w:val="clear" w:color="auto" w:fill="DEDEDE"/>
          </w:tcPr>
          <w:p>
            <w:pPr>
              <w:spacing w:after="0"/>
              <w:rPr>
                <w:sz w:val="24"/>
                <w:szCs w:val="24"/>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(53,570)</w:t>
            </w:r>
          </w:p>
        </w:tc>
      </w:tr>
      <w:tr>
        <w:trPr>
          <w:trHeight w:val="241"/>
        </w:trPr>
        <w:tc>
          <w:tcPr>
            <w:tcW w:w="67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Total deferred tax assets net of valuation allowance</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827,045</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715,635</w:t>
            </w:r>
          </w:p>
        </w:tc>
      </w:tr>
      <w:tr>
        <w:trPr>
          <w:trHeight w:val="282"/>
        </w:trPr>
        <w:tc>
          <w:tcPr>
            <w:tcW w:w="674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1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0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r>
      <w:tr>
        <w:trPr>
          <w:trHeight w:val="271"/>
        </w:trPr>
        <w:tc>
          <w:tcPr>
            <w:tcW w:w="6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Deferred tax liabilities:</w:t>
            </w: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82"/>
        </w:trPr>
        <w:tc>
          <w:tcPr>
            <w:tcW w:w="6740" w:type="dxa"/>
            <w:vAlign w:val="bottom"/>
            <w:shd w:val="clear" w:color="auto" w:fill="DEDEDE"/>
          </w:tcPr>
          <w:p>
            <w:pPr>
              <w:ind w:left="400"/>
              <w:spacing w:after="0"/>
              <w:rPr>
                <w:sz w:val="20"/>
                <w:szCs w:val="20"/>
                <w:color w:val="auto"/>
              </w:rPr>
            </w:pPr>
            <w:r>
              <w:rPr>
                <w:rFonts w:ascii="Times New Roman" w:cs="Times New Roman" w:eastAsia="Times New Roman" w:hAnsi="Times New Roman"/>
                <w:sz w:val="19"/>
                <w:szCs w:val="19"/>
                <w:color w:val="auto"/>
              </w:rPr>
              <w:t>Property and equipment and intangible assets</w:t>
            </w:r>
          </w:p>
        </w:tc>
        <w:tc>
          <w:tcPr>
            <w:tcW w:w="400" w:type="dxa"/>
            <w:vAlign w:val="bottom"/>
            <w:shd w:val="clear" w:color="auto" w:fill="DEDEDE"/>
          </w:tcPr>
          <w:p>
            <w:pPr>
              <w:spacing w:after="0"/>
              <w:rPr>
                <w:sz w:val="24"/>
                <w:szCs w:val="24"/>
                <w:color w:val="auto"/>
              </w:rPr>
            </w:pP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(35,007)</w:t>
            </w:r>
          </w:p>
        </w:tc>
        <w:tc>
          <w:tcPr>
            <w:tcW w:w="60" w:type="dxa"/>
            <w:vAlign w:val="bottom"/>
            <w:shd w:val="clear" w:color="auto" w:fill="DEDEDE"/>
          </w:tcPr>
          <w:p>
            <w:pPr>
              <w:spacing w:after="0"/>
              <w:rPr>
                <w:sz w:val="24"/>
                <w:szCs w:val="24"/>
                <w:color w:val="auto"/>
              </w:rPr>
            </w:pPr>
          </w:p>
        </w:tc>
        <w:tc>
          <w:tcPr>
            <w:tcW w:w="60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(36,274)</w:t>
            </w:r>
          </w:p>
        </w:tc>
      </w:tr>
      <w:tr>
        <w:trPr>
          <w:trHeight w:val="271"/>
        </w:trPr>
        <w:tc>
          <w:tcPr>
            <w:tcW w:w="67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Deferred contract acquisition costs</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(83,862)</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(89,839)</w:t>
            </w:r>
          </w:p>
        </w:tc>
      </w:tr>
      <w:tr>
        <w:trPr>
          <w:trHeight w:val="282"/>
        </w:trPr>
        <w:tc>
          <w:tcPr>
            <w:tcW w:w="6740" w:type="dxa"/>
            <w:vAlign w:val="bottom"/>
            <w:shd w:val="clear" w:color="auto" w:fill="DEDEDE"/>
          </w:tcPr>
          <w:p>
            <w:pPr>
              <w:ind w:left="400"/>
              <w:spacing w:after="0"/>
              <w:rPr>
                <w:sz w:val="20"/>
                <w:szCs w:val="20"/>
                <w:color w:val="auto"/>
              </w:rPr>
            </w:pPr>
            <w:r>
              <w:rPr>
                <w:rFonts w:ascii="Times New Roman" w:cs="Times New Roman" w:eastAsia="Times New Roman" w:hAnsi="Times New Roman"/>
                <w:sz w:val="19"/>
                <w:szCs w:val="19"/>
                <w:color w:val="auto"/>
              </w:rPr>
              <w:t>Operating right-of-use assets</w:t>
            </w:r>
          </w:p>
        </w:tc>
        <w:tc>
          <w:tcPr>
            <w:tcW w:w="400" w:type="dxa"/>
            <w:vAlign w:val="bottom"/>
            <w:shd w:val="clear" w:color="auto" w:fill="DEDEDE"/>
          </w:tcPr>
          <w:p>
            <w:pPr>
              <w:spacing w:after="0"/>
              <w:rPr>
                <w:sz w:val="24"/>
                <w:szCs w:val="24"/>
                <w:color w:val="auto"/>
              </w:rPr>
            </w:pP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(14,396)</w:t>
            </w:r>
          </w:p>
        </w:tc>
        <w:tc>
          <w:tcPr>
            <w:tcW w:w="60" w:type="dxa"/>
            <w:vAlign w:val="bottom"/>
            <w:shd w:val="clear" w:color="auto" w:fill="DEDEDE"/>
          </w:tcPr>
          <w:p>
            <w:pPr>
              <w:spacing w:after="0"/>
              <w:rPr>
                <w:sz w:val="24"/>
                <w:szCs w:val="24"/>
                <w:color w:val="auto"/>
              </w:rPr>
            </w:pPr>
          </w:p>
        </w:tc>
        <w:tc>
          <w:tcPr>
            <w:tcW w:w="60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(19,352)</w:t>
            </w:r>
          </w:p>
        </w:tc>
      </w:tr>
      <w:tr>
        <w:trPr>
          <w:trHeight w:val="266"/>
        </w:trPr>
        <w:tc>
          <w:tcPr>
            <w:tcW w:w="6740" w:type="dxa"/>
            <w:vAlign w:val="bottom"/>
            <w:tcBorders>
              <w:bottom w:val="single" w:sz="8" w:color="DEDEDE"/>
            </w:tcBorders>
          </w:tcPr>
          <w:p>
            <w:pPr>
              <w:ind w:left="400"/>
              <w:spacing w:after="0"/>
              <w:rPr>
                <w:sz w:val="20"/>
                <w:szCs w:val="20"/>
                <w:color w:val="auto"/>
              </w:rPr>
            </w:pPr>
            <w:r>
              <w:rPr>
                <w:rFonts w:ascii="Times New Roman" w:cs="Times New Roman" w:eastAsia="Times New Roman" w:hAnsi="Times New Roman"/>
                <w:sz w:val="19"/>
                <w:szCs w:val="19"/>
                <w:color w:val="auto"/>
              </w:rPr>
              <w:t>Other liabilities</w:t>
            </w: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(35,480)</w:t>
            </w:r>
          </w:p>
        </w:tc>
        <w:tc>
          <w:tcPr>
            <w:tcW w:w="60" w:type="dxa"/>
            <w:vAlign w:val="bottom"/>
            <w:tcBorders>
              <w:bottom w:val="single" w:sz="8" w:color="DEDEDE"/>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(13,054)</w:t>
            </w:r>
          </w:p>
        </w:tc>
      </w:tr>
      <w:tr>
        <w:trPr>
          <w:trHeight w:val="257"/>
        </w:trPr>
        <w:tc>
          <w:tcPr>
            <w:tcW w:w="6740" w:type="dxa"/>
            <w:vAlign w:val="bottom"/>
            <w:tcBorders>
              <w:bottom w:val="single" w:sz="8" w:color="DEDEDE"/>
            </w:tcBorders>
            <w:shd w:val="clear" w:color="auto" w:fill="DEDEDE"/>
          </w:tcPr>
          <w:p>
            <w:pPr>
              <w:ind w:left="760"/>
              <w:spacing w:after="0"/>
              <w:rPr>
                <w:sz w:val="20"/>
                <w:szCs w:val="20"/>
                <w:color w:val="auto"/>
              </w:rPr>
            </w:pPr>
            <w:r>
              <w:rPr>
                <w:rFonts w:ascii="Times New Roman" w:cs="Times New Roman" w:eastAsia="Times New Roman" w:hAnsi="Times New Roman"/>
                <w:sz w:val="19"/>
                <w:szCs w:val="19"/>
                <w:color w:val="auto"/>
              </w:rPr>
              <w:t>Total deferred tax liabilities</w:t>
            </w:r>
          </w:p>
        </w:tc>
        <w:tc>
          <w:tcPr>
            <w:tcW w:w="400" w:type="dxa"/>
            <w:vAlign w:val="bottom"/>
            <w:tcBorders>
              <w:bottom w:val="single" w:sz="8" w:color="auto"/>
            </w:tcBorders>
            <w:shd w:val="clear" w:color="auto" w:fill="DEDEDE"/>
          </w:tcPr>
          <w:p>
            <w:pPr>
              <w:spacing w:after="0"/>
              <w:rPr>
                <w:sz w:val="22"/>
                <w:szCs w:val="22"/>
                <w:color w:val="auto"/>
              </w:rPr>
            </w:pPr>
          </w:p>
        </w:tc>
        <w:tc>
          <w:tcPr>
            <w:tcW w:w="1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(168,745)</w:t>
            </w:r>
          </w:p>
        </w:tc>
        <w:tc>
          <w:tcPr>
            <w:tcW w:w="60" w:type="dxa"/>
            <w:vAlign w:val="bottom"/>
            <w:tcBorders>
              <w:bottom w:val="single" w:sz="8" w:color="DEDEDE"/>
            </w:tcBorders>
            <w:shd w:val="clear" w:color="auto" w:fill="DEDEDE"/>
          </w:tcPr>
          <w:p>
            <w:pPr>
              <w:spacing w:after="0"/>
              <w:rPr>
                <w:sz w:val="22"/>
                <w:szCs w:val="22"/>
                <w:color w:val="auto"/>
              </w:rPr>
            </w:pPr>
          </w:p>
        </w:tc>
        <w:tc>
          <w:tcPr>
            <w:tcW w:w="600" w:type="dxa"/>
            <w:vAlign w:val="bottom"/>
            <w:tcBorders>
              <w:bottom w:val="single" w:sz="8" w:color="auto"/>
            </w:tcBorders>
            <w:shd w:val="clear" w:color="auto" w:fill="DEDEDE"/>
          </w:tcPr>
          <w:p>
            <w:pPr>
              <w:spacing w:after="0"/>
              <w:rPr>
                <w:sz w:val="22"/>
                <w:szCs w:val="22"/>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(158,519)</w:t>
            </w:r>
          </w:p>
        </w:tc>
      </w:tr>
      <w:tr>
        <w:trPr>
          <w:trHeight w:val="267"/>
        </w:trPr>
        <w:tc>
          <w:tcPr>
            <w:tcW w:w="6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86"/>
        </w:trPr>
        <w:tc>
          <w:tcPr>
            <w:tcW w:w="674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Net deferred tax assets</w:t>
            </w:r>
          </w:p>
        </w:tc>
        <w:tc>
          <w:tcPr>
            <w:tcW w:w="400" w:type="dxa"/>
            <w:vAlign w:val="bottom"/>
            <w:tcBorders>
              <w:bottom w:val="single" w:sz="8" w:color="auto"/>
            </w:tcBorders>
            <w:shd w:val="clear" w:color="auto" w:fill="DEDEDE"/>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658,300</w:t>
            </w:r>
          </w:p>
        </w:tc>
        <w:tc>
          <w:tcPr>
            <w:tcW w:w="60" w:type="dxa"/>
            <w:vAlign w:val="bottom"/>
            <w:tcBorders>
              <w:bottom w:val="single" w:sz="8" w:color="DEDEDE"/>
            </w:tcBorders>
            <w:shd w:val="clear" w:color="auto" w:fill="DEDEDE"/>
          </w:tcPr>
          <w:p>
            <w:pPr>
              <w:spacing w:after="0"/>
              <w:rPr>
                <w:sz w:val="24"/>
                <w:szCs w:val="24"/>
                <w:color w:val="auto"/>
              </w:rPr>
            </w:pPr>
          </w:p>
        </w:tc>
        <w:tc>
          <w:tcPr>
            <w:tcW w:w="600" w:type="dxa"/>
            <w:vAlign w:val="bottom"/>
            <w:tcBorders>
              <w:bottom w:val="single" w:sz="8" w:color="auto"/>
            </w:tcBorders>
            <w:shd w:val="clear" w:color="auto" w:fill="DEDEDE"/>
          </w:tcPr>
          <w:p>
            <w:pPr>
              <w:jc w:val="right"/>
              <w:ind w:right="3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557,116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4268470</wp:posOffset>
            </wp:positionH>
            <wp:positionV relativeFrom="paragraph">
              <wp:posOffset>-43180</wp:posOffset>
            </wp:positionV>
            <wp:extent cx="2068830" cy="501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3">
                      <a:extLst>
                        <a:ext uri="{28A0092B-C50C-407E-A947-70E740481C1C}"/>
                      </a:extLst>
                    </a:blip>
                    <a:srcRect/>
                    <a:stretch>
                      <a:fillRect/>
                    </a:stretch>
                  </pic:blipFill>
                  <pic:spPr bwMode="auto">
                    <a:xfrm>
                      <a:off x="0" y="0"/>
                      <a:ext cx="2068830" cy="50165"/>
                    </a:xfrm>
                    <a:prstGeom prst="rect">
                      <a:avLst/>
                    </a:prstGeom>
                    <a:noFill/>
                  </pic:spPr>
                </pic:pic>
              </a:graphicData>
            </a:graphic>
          </wp:anchor>
        </w:drawing>
      </w:r>
    </w:p>
    <w:p>
      <w:pPr>
        <w:spacing w:after="0" w:line="220"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The realization of tax benefits of net deferred tax assets is dependent upon future levels of taxable income, of an appropriate character, in the periods the items are expected to be deductible or taxable. As of January 31, 2024, management concluded that the valuation allowance related to the U.K. net deferred tax assets was no longer needed primarily due to its assessment of income/loss in recent periods and the forecast of future taxable income. Based on evaluation of all positive and</w:t>
      </w:r>
    </w:p>
    <w:p>
      <w:pPr>
        <w:sectPr>
          <w:pgSz w:w="11880" w:h="15480" w:orient="portrait"/>
          <w:cols w:equalWidth="0" w:num="1">
            <w:col w:w="9960"/>
          </w:cols>
          <w:pgMar w:left="960" w:top="893" w:right="960" w:bottom="0" w:gutter="0" w:footer="0" w:header="0"/>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96</w:t>
      </w:r>
    </w:p>
    <w:p>
      <w:pPr>
        <w:sectPr>
          <w:pgSz w:w="11880" w:h="15480" w:orient="portrait"/>
          <w:cols w:equalWidth="0" w:num="1">
            <w:col w:w="9960"/>
          </w:cols>
          <w:pgMar w:left="960" w:top="893" w:right="960" w:bottom="0" w:gutter="0" w:footer="0" w:header="0"/>
          <w:type w:val="continuous"/>
        </w:sectPr>
      </w:pPr>
    </w:p>
    <w:bookmarkStart w:id="100" w:name="page101"/>
    <w:bookmarkEnd w:id="100"/>
    <w:p>
      <w:pPr>
        <w:jc w:val="both"/>
        <w:spacing w:after="0" w:line="262" w:lineRule="auto"/>
        <w:rPr>
          <w:sz w:val="20"/>
          <w:szCs w:val="20"/>
          <w:color w:val="auto"/>
        </w:rPr>
      </w:pPr>
      <w:r>
        <w:rPr>
          <w:rFonts w:ascii="Times New Roman" w:cs="Times New Roman" w:eastAsia="Times New Roman" w:hAnsi="Times New Roman"/>
          <w:sz w:val="19"/>
          <w:szCs w:val="19"/>
          <w:color w:val="auto"/>
        </w:rPr>
        <w:t>negative evidence, management believes it is more likely than not that the net deferred tax assets will be realized for U.K. purposes. Accordingly, management has recognized a non-recurring tax benefit of $10.7 million related to the valuation allowance release. Based on the available objective evidence during the year ended January 31, 2024, we believe that it is more likely than not that the tax benefits relating to U.S. losses that are capital in nature and certain state and other foreign deferred tax assets may not be realized prior to expiration. Accordingly, we have maintained a valuation allowance against these deferred tax assets and intend to maintain the applicable valuation allowance until sufficient positive evidence exists to support a reversal of, or decrease in, the valuation allowance.</w:t>
      </w:r>
    </w:p>
    <w:p>
      <w:pPr>
        <w:spacing w:after="0" w:line="78"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As of January 31, 2024, we had net operating loss carryforwards of approximately $12.3 million for federal income tax purposes, $14.2 million for state income tax purposes, which will begin to expire in the year 2033 if unused. We also had certain foreign net operating loss carryforwards of $35.6 million, which have an indefinite life.</w:t>
      </w:r>
    </w:p>
    <w:p>
      <w:pPr>
        <w:spacing w:after="0" w:line="64"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As of January 31, 2024, we also had research and development credit carryforwards of approximately $1.2 million for federal income tax purposes and $31.9 million for state income tax purposes. The federal research and development tax credits have a twenty-year carryover period while the state research and development tax credits carry forward indefinitely.</w:t>
      </w:r>
    </w:p>
    <w:p>
      <w:pPr>
        <w:spacing w:after="0" w:line="64"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The federal and state net operating loss carryforwards may be subject to significant limitations under Section 382 and Section 383 of the Internal Revenue Code of 1986 and similar provisions under state law. Such provisions limit the net operating loss carryforwards that may be used in any given year in the event of special occurrences, including significant ownership changes. We have completed a Section 382 review and determined that materially none of our operating losses will expire solely due to Section 382 limitation(s).</w:t>
      </w:r>
    </w:p>
    <w:p>
      <w:pPr>
        <w:spacing w:after="0" w:line="75"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We indefinitely reinvest earnings from our foreign subsidiaries and therefore no deferred tax liability has been recognized on the basis difference created by such earnings. We have not provided foreign withholding taxes for any undistributed earnings of our foreign subsidiaries.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A reconciliation of the beginning and ending balance of total unrecognized tax benefits is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6"/>
                <w:szCs w:val="16"/>
                <w:b w:val="1"/>
                <w:bCs w:val="1"/>
                <w:color w:val="auto"/>
              </w:rPr>
              <w:t>Unrecognized Tax Benefits (in thousands)</w:t>
            </w: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Year Ended January 31,</w:t>
            </w:r>
          </w:p>
        </w:tc>
        <w:tc>
          <w:tcPr>
            <w:tcW w:w="1060" w:type="dxa"/>
            <w:vAlign w:val="bottom"/>
            <w:tcBorders>
              <w:bottom w:val="single" w:sz="8" w:color="auto"/>
            </w:tcBorders>
          </w:tcPr>
          <w:p>
            <w:pPr>
              <w:spacing w:after="0"/>
              <w:rPr>
                <w:sz w:val="18"/>
                <w:szCs w:val="18"/>
                <w:color w:val="auto"/>
              </w:rPr>
            </w:pPr>
          </w:p>
        </w:tc>
      </w:tr>
      <w:tr>
        <w:trPr>
          <w:trHeight w:val="213"/>
        </w:trPr>
        <w:tc>
          <w:tcPr>
            <w:tcW w:w="56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92"/>
        </w:trPr>
        <w:tc>
          <w:tcPr>
            <w:tcW w:w="5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77"/>
        </w:trPr>
        <w:tc>
          <w:tcPr>
            <w:tcW w:w="56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Balance, beginning of year</w:t>
            </w:r>
          </w:p>
        </w:tc>
        <w:tc>
          <w:tcPr>
            <w:tcW w:w="360" w:type="dxa"/>
            <w:vAlign w:val="bottom"/>
            <w:shd w:val="clear" w:color="auto" w:fill="DEDEDE"/>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30,404</w:t>
            </w:r>
          </w:p>
        </w:tc>
        <w:tc>
          <w:tcPr>
            <w:tcW w:w="42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19,171</w:t>
            </w:r>
          </w:p>
        </w:tc>
        <w:tc>
          <w:tcPr>
            <w:tcW w:w="40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14,884</w:t>
            </w:r>
          </w:p>
        </w:tc>
      </w:tr>
      <w:tr>
        <w:trPr>
          <w:trHeight w:val="271"/>
        </w:trPr>
        <w:tc>
          <w:tcPr>
            <w:tcW w:w="56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Tax Positions taken in prior year:</w:t>
            </w: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82"/>
        </w:trPr>
        <w:tc>
          <w:tcPr>
            <w:tcW w:w="5640" w:type="dxa"/>
            <w:vAlign w:val="bottom"/>
            <w:shd w:val="clear" w:color="auto" w:fill="DEDEDE"/>
          </w:tcPr>
          <w:p>
            <w:pPr>
              <w:ind w:left="400"/>
              <w:spacing w:after="0"/>
              <w:rPr>
                <w:sz w:val="20"/>
                <w:szCs w:val="20"/>
                <w:color w:val="auto"/>
              </w:rPr>
            </w:pPr>
            <w:r>
              <w:rPr>
                <w:rFonts w:ascii="Times New Roman" w:cs="Times New Roman" w:eastAsia="Times New Roman" w:hAnsi="Times New Roman"/>
                <w:sz w:val="19"/>
                <w:szCs w:val="19"/>
                <w:color w:val="auto"/>
              </w:rPr>
              <w:t>Gross increases</w:t>
            </w:r>
          </w:p>
        </w:tc>
        <w:tc>
          <w:tcPr>
            <w:tcW w:w="360" w:type="dxa"/>
            <w:vAlign w:val="bottom"/>
            <w:shd w:val="clear" w:color="auto" w:fill="DEDEDE"/>
          </w:tcPr>
          <w:p>
            <w:pPr>
              <w:spacing w:after="0"/>
              <w:rPr>
                <w:sz w:val="24"/>
                <w:szCs w:val="24"/>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228</w:t>
            </w:r>
          </w:p>
        </w:tc>
        <w:tc>
          <w:tcPr>
            <w:tcW w:w="6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877</w:t>
            </w: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71"/>
        </w:trPr>
        <w:tc>
          <w:tcPr>
            <w:tcW w:w="56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Gross decreases</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(3,764)</w:t>
            </w:r>
          </w:p>
        </w:tc>
      </w:tr>
      <w:tr>
        <w:trPr>
          <w:trHeight w:val="282"/>
        </w:trPr>
        <w:tc>
          <w:tcPr>
            <w:tcW w:w="56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Tax Positions taken in current year:</w:t>
            </w:r>
          </w:p>
        </w:tc>
        <w:tc>
          <w:tcPr>
            <w:tcW w:w="360" w:type="dxa"/>
            <w:vAlign w:val="bottom"/>
            <w:shd w:val="clear" w:color="auto" w:fill="DEDEDE"/>
          </w:tcPr>
          <w:p>
            <w:pPr>
              <w:spacing w:after="0"/>
              <w:rPr>
                <w:sz w:val="24"/>
                <w:szCs w:val="24"/>
                <w:color w:val="auto"/>
              </w:rPr>
            </w:pPr>
          </w:p>
        </w:tc>
        <w:tc>
          <w:tcPr>
            <w:tcW w:w="10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10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060" w:type="dxa"/>
            <w:vAlign w:val="bottom"/>
            <w:shd w:val="clear" w:color="auto" w:fill="DEDEDE"/>
          </w:tcPr>
          <w:p>
            <w:pPr>
              <w:spacing w:after="0"/>
              <w:rPr>
                <w:sz w:val="24"/>
                <w:szCs w:val="24"/>
                <w:color w:val="auto"/>
              </w:rPr>
            </w:pPr>
          </w:p>
        </w:tc>
      </w:tr>
      <w:tr>
        <w:trPr>
          <w:trHeight w:val="271"/>
        </w:trPr>
        <w:tc>
          <w:tcPr>
            <w:tcW w:w="564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Gross increases</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12,415</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10,547</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8,211</w:t>
            </w:r>
          </w:p>
        </w:tc>
      </w:tr>
      <w:tr>
        <w:trPr>
          <w:trHeight w:val="282"/>
        </w:trPr>
        <w:tc>
          <w:tcPr>
            <w:tcW w:w="5640" w:type="dxa"/>
            <w:vAlign w:val="bottom"/>
            <w:shd w:val="clear" w:color="auto" w:fill="DEDEDE"/>
          </w:tcPr>
          <w:p>
            <w:pPr>
              <w:ind w:left="520"/>
              <w:spacing w:after="0"/>
              <w:rPr>
                <w:sz w:val="20"/>
                <w:szCs w:val="20"/>
                <w:color w:val="auto"/>
              </w:rPr>
            </w:pPr>
            <w:r>
              <w:rPr>
                <w:rFonts w:ascii="Times New Roman" w:cs="Times New Roman" w:eastAsia="Times New Roman" w:hAnsi="Times New Roman"/>
                <w:sz w:val="19"/>
                <w:szCs w:val="19"/>
                <w:color w:val="auto"/>
              </w:rPr>
              <w:t>Gross decreases</w:t>
            </w:r>
          </w:p>
        </w:tc>
        <w:tc>
          <w:tcPr>
            <w:tcW w:w="360" w:type="dxa"/>
            <w:vAlign w:val="bottom"/>
            <w:shd w:val="clear" w:color="auto" w:fill="DEDEDE"/>
          </w:tcPr>
          <w:p>
            <w:pPr>
              <w:spacing w:after="0"/>
              <w:rPr>
                <w:sz w:val="24"/>
                <w:szCs w:val="24"/>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(891)</w:t>
            </w:r>
          </w:p>
        </w:tc>
        <w:tc>
          <w:tcPr>
            <w:tcW w:w="6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8"/>
        </w:trPr>
        <w:tc>
          <w:tcPr>
            <w:tcW w:w="56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Lapse of Statute of Limitations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(384)</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(191)</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w:t>
            </w:r>
          </w:p>
        </w:tc>
      </w:tr>
      <w:tr>
        <w:trPr>
          <w:trHeight w:val="286"/>
        </w:trPr>
        <w:tc>
          <w:tcPr>
            <w:tcW w:w="564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9"/>
                <w:szCs w:val="19"/>
                <w:color w:val="auto"/>
              </w:rPr>
              <w:t>Acquisitions</w:t>
            </w:r>
          </w:p>
        </w:tc>
        <w:tc>
          <w:tcPr>
            <w:tcW w:w="360" w:type="dxa"/>
            <w:vAlign w:val="bottom"/>
            <w:tcBorders>
              <w:bottom w:val="single" w:sz="8" w:color="auto"/>
            </w:tcBorders>
            <w:shd w:val="clear" w:color="auto" w:fill="DEDEDE"/>
          </w:tcPr>
          <w:p>
            <w:pPr>
              <w:spacing w:after="0"/>
              <w:rPr>
                <w:sz w:val="24"/>
                <w:szCs w:val="24"/>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spacing w:after="0"/>
              <w:rPr>
                <w:sz w:val="24"/>
                <w:szCs w:val="24"/>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EDEDE"/>
            </w:tcBorders>
            <w:shd w:val="clear" w:color="auto" w:fill="DEDEDE"/>
          </w:tcPr>
          <w:p>
            <w:pPr>
              <w:spacing w:after="0"/>
              <w:rPr>
                <w:sz w:val="24"/>
                <w:szCs w:val="24"/>
                <w:color w:val="auto"/>
              </w:rPr>
            </w:pPr>
          </w:p>
        </w:tc>
        <w:tc>
          <w:tcPr>
            <w:tcW w:w="3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18"/>
        </w:trPr>
        <w:tc>
          <w:tcPr>
            <w:tcW w:w="56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Balance, end of year</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41,772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30,404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19,171</w:t>
            </w:r>
          </w:p>
        </w:tc>
      </w:tr>
      <w:tr>
        <w:trPr>
          <w:trHeight w:val="20"/>
        </w:trPr>
        <w:tc>
          <w:tcPr>
            <w:tcW w:w="5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-43180</wp:posOffset>
            </wp:positionV>
            <wp:extent cx="2761615" cy="501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4">
                      <a:extLst>
                        <a:ext uri="{28A0092B-C50C-407E-A947-70E740481C1C}"/>
                      </a:extLst>
                    </a:blip>
                    <a:srcRect/>
                    <a:stretch>
                      <a:fillRect/>
                    </a:stretch>
                  </pic:blipFill>
                  <pic:spPr bwMode="auto">
                    <a:xfrm>
                      <a:off x="0" y="0"/>
                      <a:ext cx="2761615" cy="50165"/>
                    </a:xfrm>
                    <a:prstGeom prst="rect">
                      <a:avLst/>
                    </a:prstGeom>
                    <a:noFill/>
                  </pic:spPr>
                </pic:pic>
              </a:graphicData>
            </a:graphic>
          </wp:anchor>
        </w:drawing>
      </w:r>
    </w:p>
    <w:p>
      <w:pPr>
        <w:spacing w:after="0" w:line="220"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As of January 31, 2024, gross unrecognized tax benefits related to uncertain tax positions were $41.8 million ($46.5 million total, including $4.7 million associated with interest and penalties). As of January 31, 2023, gross unrecognized tax benefits related to uncertain tax positions were $30.4 million ($32.5 million total, including $1.6 million associated with interest and penalties). As of January 31, 2022, gross unrecognized tax benefits related to uncertain tax positions were $19.2 million ($19.6 million total, including $0.4 million associated with interest and penalties). We recognized approximately $4.7 million, $1.6 million, and $0.4 million in potential interest and penalties associated with uncertain tax positions during fiscal years ended January 31, 2024, 2023, and 2022, respectively. To the extent taxes are not assessed with respect to uncertain tax positions, substantially all amounts accrued (including interest and penalties) will be reduced and reflected as a reduction of the overall income tax provision. Unrecognized tax benefits and associated accrued interest and penalties are included in our income tax provision.</w:t>
      </w:r>
    </w:p>
    <w:p>
      <w:pPr>
        <w:spacing w:after="0" w:line="79"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We file income tax returns in the U.S. federal jurisdiction, various state jurisdictions, and various foreign jurisdictions. As of January 31, 2024, all of the years remain open to examination by the federal and state tax authorities, for three or four years from the tax year in which net operating losses or tax credits are utilized. We believe that an adequate provision has been made for any adjustments that may result from tax examinations. Although the timing of the resolution, settlement, and closure of audits is not certain, we do not believe it is reasonably possible that our unrecognized tax benefits will materially change in the next 12 months.</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97</w:t>
      </w:r>
    </w:p>
    <w:p>
      <w:pPr>
        <w:sectPr>
          <w:pgSz w:w="11880" w:h="15480" w:orient="portrait"/>
          <w:cols w:equalWidth="0" w:num="1">
            <w:col w:w="9960"/>
          </w:cols>
          <w:pgMar w:left="960" w:top="821" w:right="960" w:bottom="0" w:gutter="0" w:footer="0" w:header="0"/>
          <w:type w:val="continuous"/>
        </w:sectPr>
      </w:pPr>
    </w:p>
    <w:bookmarkStart w:id="101" w:name="page102"/>
    <w:bookmarkEnd w:id="101"/>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As required by the 2017 Tax Cuts and Jobs Act, we started capitalizing research and development expenses incurred beginning in fiscal year 2023. These expenses are capitalized and amortized over five years for domestic research and fifteen years for international research. The mandatory capitalization requirement increases our cash tax liabilities but also decreases our effective tax rate due to increasing the foreign-derived intangible income deduction. The cash flow impact will decrease over time as capitalized research and development expenditures continue to amortize.</w:t>
      </w:r>
    </w:p>
    <w:p>
      <w:pPr>
        <w:spacing w:after="0" w:line="185" w:lineRule="exact"/>
        <w:rPr>
          <w:sz w:val="20"/>
          <w:szCs w:val="20"/>
          <w:color w:val="auto"/>
        </w:rPr>
      </w:pPr>
    </w:p>
    <w:p>
      <w:pPr>
        <w:ind w:left="700" w:hanging="699"/>
        <w:spacing w:after="0"/>
        <w:tabs>
          <w:tab w:leader="none" w:pos="700" w:val="left"/>
        </w:tabs>
        <w:numPr>
          <w:ilvl w:val="0"/>
          <w:numId w:val="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Net Income Per Share Attributable to Common Stockholders</w:t>
      </w:r>
    </w:p>
    <w:p>
      <w:pPr>
        <w:spacing w:after="0" w:line="138"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The following table sets forth the computation of basic and diluted net income per share attributable to common stockholders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w w:val="96"/>
              </w:rPr>
              <w:t>Year Ended January 31,</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7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318"/>
        </w:trPr>
        <w:tc>
          <w:tcPr>
            <w:tcW w:w="378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gridSpan w:val="11"/>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7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538,554</w:t>
            </w:r>
          </w:p>
        </w:tc>
        <w:tc>
          <w:tcPr>
            <w:tcW w:w="2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98,908</w:t>
            </w:r>
          </w:p>
        </w:tc>
        <w:tc>
          <w:tcPr>
            <w:tcW w:w="240" w:type="dxa"/>
            <w:vAlign w:val="bottom"/>
            <w:gridSpan w:val="2"/>
            <w:shd w:val="clear" w:color="auto" w:fill="DEDEDE"/>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87,246</w:t>
            </w:r>
          </w:p>
        </w:tc>
        <w:tc>
          <w:tcPr>
            <w:tcW w:w="2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16,465</w:t>
            </w:r>
          </w:p>
        </w:tc>
        <w:tc>
          <w:tcPr>
            <w:tcW w:w="1020" w:type="dxa"/>
            <w:vAlign w:val="bottom"/>
            <w:gridSpan w:val="4"/>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$ 1,105,368</w:t>
            </w:r>
          </w:p>
        </w:tc>
        <w:tc>
          <w:tcPr>
            <w:tcW w:w="2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270,271</w:t>
            </w:r>
          </w:p>
        </w:tc>
        <w:tc>
          <w:tcPr>
            <w:tcW w:w="0" w:type="dxa"/>
            <w:vAlign w:val="bottom"/>
          </w:tcPr>
          <w:p>
            <w:pPr>
              <w:spacing w:after="0"/>
              <w:rPr>
                <w:sz w:val="1"/>
                <w:szCs w:val="1"/>
                <w:color w:val="auto"/>
              </w:rPr>
            </w:pPr>
          </w:p>
        </w:tc>
      </w:tr>
      <w:tr>
        <w:trPr>
          <w:trHeight w:val="210"/>
        </w:trPr>
        <w:tc>
          <w:tcPr>
            <w:tcW w:w="3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Less: undistributed earnings attributable to</w:t>
            </w:r>
          </w:p>
        </w:tc>
        <w:tc>
          <w:tcPr>
            <w:tcW w:w="20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0" w:type="dxa"/>
            <w:vAlign w:val="bottom"/>
          </w:tcPr>
          <w:p>
            <w:pPr>
              <w:spacing w:after="0"/>
              <w:rPr>
                <w:sz w:val="1"/>
                <w:szCs w:val="1"/>
                <w:color w:val="auto"/>
              </w:rPr>
            </w:pPr>
          </w:p>
        </w:tc>
      </w:tr>
      <w:tr>
        <w:trPr>
          <w:trHeight w:val="231"/>
        </w:trPr>
        <w:tc>
          <w:tcPr>
            <w:tcW w:w="378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7"/>
                <w:szCs w:val="17"/>
                <w:color w:val="auto"/>
              </w:rPr>
              <w:t>participating securities</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DEDED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DEDED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7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00" w:type="dxa"/>
            <w:vAlign w:val="bottom"/>
            <w:vMerge w:val="restart"/>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538,554</w:t>
            </w:r>
          </w:p>
        </w:tc>
        <w:tc>
          <w:tcPr>
            <w:tcW w:w="260" w:type="dxa"/>
            <w:vAlign w:val="bottom"/>
            <w:gridSpan w:val="2"/>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98,908</w:t>
            </w:r>
          </w:p>
        </w:tc>
        <w:tc>
          <w:tcPr>
            <w:tcW w:w="240" w:type="dxa"/>
            <w:vAlign w:val="bottom"/>
            <w:gridSpan w:val="2"/>
            <w:vMerge w:val="restart"/>
            <w:shd w:val="clear" w:color="auto" w:fill="DEDEDE"/>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87,246</w:t>
            </w:r>
          </w:p>
        </w:tc>
        <w:tc>
          <w:tcPr>
            <w:tcW w:w="240" w:type="dxa"/>
            <w:vAlign w:val="bottom"/>
            <w:gridSpan w:val="2"/>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16,458</w:t>
            </w:r>
          </w:p>
        </w:tc>
        <w:tc>
          <w:tcPr>
            <w:tcW w:w="1020" w:type="dxa"/>
            <w:vAlign w:val="bottom"/>
            <w:gridSpan w:val="4"/>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$ 1,105,368</w:t>
            </w:r>
          </w:p>
        </w:tc>
        <w:tc>
          <w:tcPr>
            <w:tcW w:w="260" w:type="dxa"/>
            <w:vAlign w:val="bottom"/>
            <w:gridSpan w:val="2"/>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269,689</w:t>
            </w:r>
          </w:p>
        </w:tc>
        <w:tc>
          <w:tcPr>
            <w:tcW w:w="0" w:type="dxa"/>
            <w:vAlign w:val="bottom"/>
          </w:tcPr>
          <w:p>
            <w:pPr>
              <w:spacing w:after="0"/>
              <w:rPr>
                <w:sz w:val="1"/>
                <w:szCs w:val="1"/>
                <w:color w:val="auto"/>
              </w:rPr>
            </w:pPr>
          </w:p>
        </w:tc>
      </w:tr>
      <w:tr>
        <w:trPr>
          <w:trHeight w:val="251"/>
        </w:trPr>
        <w:tc>
          <w:tcPr>
            <w:tcW w:w="37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vMerge w:val="continue"/>
            <w:shd w:val="clear" w:color="auto" w:fill="DEDEDE"/>
          </w:tcPr>
          <w:p>
            <w:pPr>
              <w:spacing w:after="0"/>
              <w:rPr>
                <w:sz w:val="21"/>
                <w:szCs w:val="21"/>
                <w:color w:val="auto"/>
              </w:rPr>
            </w:pPr>
          </w:p>
        </w:tc>
        <w:tc>
          <w:tcPr>
            <w:tcW w:w="780" w:type="dxa"/>
            <w:vAlign w:val="bottom"/>
            <w:vMerge w:val="continue"/>
            <w:shd w:val="clear" w:color="auto" w:fill="DEDEDE"/>
          </w:tcPr>
          <w:p>
            <w:pPr>
              <w:spacing w:after="0"/>
              <w:rPr>
                <w:sz w:val="21"/>
                <w:szCs w:val="21"/>
                <w:color w:val="auto"/>
              </w:rPr>
            </w:pPr>
          </w:p>
        </w:tc>
        <w:tc>
          <w:tcPr>
            <w:tcW w:w="260" w:type="dxa"/>
            <w:vAlign w:val="bottom"/>
            <w:gridSpan w:val="2"/>
            <w:vMerge w:val="continue"/>
            <w:shd w:val="clear" w:color="auto" w:fill="DEDEDE"/>
          </w:tcPr>
          <w:p>
            <w:pPr>
              <w:spacing w:after="0"/>
              <w:rPr>
                <w:sz w:val="21"/>
                <w:szCs w:val="21"/>
                <w:color w:val="auto"/>
              </w:rPr>
            </w:pPr>
          </w:p>
        </w:tc>
        <w:tc>
          <w:tcPr>
            <w:tcW w:w="780" w:type="dxa"/>
            <w:vAlign w:val="bottom"/>
            <w:vMerge w:val="continue"/>
            <w:shd w:val="clear" w:color="auto" w:fill="DEDEDE"/>
          </w:tcPr>
          <w:p>
            <w:pPr>
              <w:spacing w:after="0"/>
              <w:rPr>
                <w:sz w:val="21"/>
                <w:szCs w:val="21"/>
                <w:color w:val="auto"/>
              </w:rPr>
            </w:pPr>
          </w:p>
        </w:tc>
        <w:tc>
          <w:tcPr>
            <w:tcW w:w="240" w:type="dxa"/>
            <w:vAlign w:val="bottom"/>
            <w:gridSpan w:val="2"/>
            <w:vMerge w:val="continue"/>
            <w:shd w:val="clear" w:color="auto" w:fill="DEDEDE"/>
          </w:tcPr>
          <w:p>
            <w:pPr>
              <w:spacing w:after="0"/>
              <w:rPr>
                <w:sz w:val="21"/>
                <w:szCs w:val="21"/>
                <w:color w:val="auto"/>
              </w:rPr>
            </w:pPr>
          </w:p>
        </w:tc>
        <w:tc>
          <w:tcPr>
            <w:tcW w:w="820" w:type="dxa"/>
            <w:vAlign w:val="bottom"/>
            <w:vMerge w:val="continue"/>
            <w:shd w:val="clear" w:color="auto" w:fill="DEDEDE"/>
          </w:tcPr>
          <w:p>
            <w:pPr>
              <w:spacing w:after="0"/>
              <w:rPr>
                <w:sz w:val="21"/>
                <w:szCs w:val="21"/>
                <w:color w:val="auto"/>
              </w:rPr>
            </w:pPr>
          </w:p>
        </w:tc>
        <w:tc>
          <w:tcPr>
            <w:tcW w:w="240" w:type="dxa"/>
            <w:vAlign w:val="bottom"/>
            <w:gridSpan w:val="2"/>
            <w:vMerge w:val="continue"/>
            <w:shd w:val="clear" w:color="auto" w:fill="DEDEDE"/>
          </w:tcPr>
          <w:p>
            <w:pPr>
              <w:spacing w:after="0"/>
              <w:rPr>
                <w:sz w:val="21"/>
                <w:szCs w:val="21"/>
                <w:color w:val="auto"/>
              </w:rPr>
            </w:pPr>
          </w:p>
        </w:tc>
        <w:tc>
          <w:tcPr>
            <w:tcW w:w="800" w:type="dxa"/>
            <w:vAlign w:val="bottom"/>
            <w:vMerge w:val="continue"/>
            <w:shd w:val="clear" w:color="auto" w:fill="DEDEDE"/>
          </w:tcPr>
          <w:p>
            <w:pPr>
              <w:spacing w:after="0"/>
              <w:rPr>
                <w:sz w:val="21"/>
                <w:szCs w:val="21"/>
                <w:color w:val="auto"/>
              </w:rPr>
            </w:pPr>
          </w:p>
        </w:tc>
        <w:tc>
          <w:tcPr>
            <w:tcW w:w="1020" w:type="dxa"/>
            <w:vAlign w:val="bottom"/>
            <w:gridSpan w:val="4"/>
            <w:vMerge w:val="continue"/>
            <w:shd w:val="clear" w:color="auto" w:fill="DEDEDE"/>
          </w:tcPr>
          <w:p>
            <w:pPr>
              <w:spacing w:after="0"/>
              <w:rPr>
                <w:sz w:val="21"/>
                <w:szCs w:val="21"/>
                <w:color w:val="auto"/>
              </w:rPr>
            </w:pPr>
          </w:p>
        </w:tc>
        <w:tc>
          <w:tcPr>
            <w:tcW w:w="260" w:type="dxa"/>
            <w:vAlign w:val="bottom"/>
            <w:gridSpan w:val="2"/>
            <w:vMerge w:val="continue"/>
            <w:shd w:val="clear" w:color="auto" w:fill="DEDEDE"/>
          </w:tcPr>
          <w:p>
            <w:pPr>
              <w:spacing w:after="0"/>
              <w:rPr>
                <w:sz w:val="21"/>
                <w:szCs w:val="21"/>
                <w:color w:val="auto"/>
              </w:rPr>
            </w:pPr>
          </w:p>
        </w:tc>
        <w:tc>
          <w:tcPr>
            <w:tcW w:w="780" w:type="dxa"/>
            <w:vAlign w:val="bottom"/>
            <w:vMerge w:val="continue"/>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3780" w:type="dxa"/>
            <w:vAlign w:val="bottom"/>
            <w:tcBorders>
              <w:top w:val="single" w:sz="8" w:color="DEDEDE"/>
            </w:tcBorders>
          </w:tcPr>
          <w:p>
            <w:pPr>
              <w:ind w:left="60"/>
              <w:spacing w:after="0" w:line="181" w:lineRule="exact"/>
              <w:rPr>
                <w:sz w:val="20"/>
                <w:szCs w:val="20"/>
                <w:color w:val="auto"/>
              </w:rPr>
            </w:pPr>
            <w:r>
              <w:rPr>
                <w:rFonts w:ascii="Times New Roman" w:cs="Times New Roman" w:eastAsia="Times New Roman" w:hAnsi="Times New Roman"/>
                <w:sz w:val="17"/>
                <w:szCs w:val="17"/>
                <w:color w:val="auto"/>
              </w:rPr>
              <w:t>Reallocation of net income attributable to common</w:t>
            </w: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(4,653)</w:t>
            </w:r>
          </w:p>
        </w:tc>
        <w:tc>
          <w:tcPr>
            <w:tcW w:w="80" w:type="dxa"/>
            <w:vAlign w:val="bottom"/>
            <w:tcBorders>
              <w:top w:val="single" w:sz="8" w:color="DEDEDE"/>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4,653</w:t>
            </w:r>
          </w:p>
        </w:tc>
        <w:tc>
          <w:tcPr>
            <w:tcW w:w="80" w:type="dxa"/>
            <w:vAlign w:val="bottom"/>
            <w:tcBorders>
              <w:top w:val="single" w:sz="8" w:color="DEDEDE"/>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(1,205)</w:t>
            </w:r>
          </w:p>
        </w:tc>
        <w:tc>
          <w:tcPr>
            <w:tcW w:w="60" w:type="dxa"/>
            <w:vAlign w:val="bottom"/>
            <w:tcBorders>
              <w:top w:val="single" w:sz="8" w:color="DEDEDE"/>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1,205</w:t>
            </w:r>
          </w:p>
        </w:tc>
        <w:tc>
          <w:tcPr>
            <w:tcW w:w="60" w:type="dxa"/>
            <w:vAlign w:val="bottom"/>
            <w:tcBorders>
              <w:top w:val="single" w:sz="8" w:color="DEDEDE"/>
            </w:tcBorders>
          </w:tcPr>
          <w:p>
            <w:pPr>
              <w:spacing w:after="0"/>
              <w:rPr>
                <w:sz w:val="15"/>
                <w:szCs w:val="15"/>
                <w:color w:val="auto"/>
              </w:rPr>
            </w:pPr>
          </w:p>
        </w:tc>
        <w:tc>
          <w:tcPr>
            <w:tcW w:w="20" w:type="dxa"/>
            <w:vAlign w:val="bottom"/>
            <w:tcBorders>
              <w:top w:val="single" w:sz="8" w:color="DEDEDE"/>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(23,891)</w:t>
            </w:r>
          </w:p>
        </w:tc>
        <w:tc>
          <w:tcPr>
            <w:tcW w:w="60" w:type="dxa"/>
            <w:vAlign w:val="bottom"/>
            <w:tcBorders>
              <w:top w:val="single" w:sz="8" w:color="DEDEDE"/>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23,891</w:t>
            </w:r>
          </w:p>
        </w:tc>
        <w:tc>
          <w:tcPr>
            <w:tcW w:w="0" w:type="dxa"/>
            <w:vAlign w:val="bottom"/>
          </w:tcPr>
          <w:p>
            <w:pPr>
              <w:spacing w:after="0"/>
              <w:rPr>
                <w:sz w:val="1"/>
                <w:szCs w:val="1"/>
                <w:color w:val="auto"/>
              </w:rPr>
            </w:pPr>
          </w:p>
        </w:tc>
      </w:tr>
      <w:tr>
        <w:trPr>
          <w:trHeight w:val="231"/>
        </w:trPr>
        <w:tc>
          <w:tcPr>
            <w:tcW w:w="378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7"/>
                <w:szCs w:val="17"/>
                <w:color w:val="auto"/>
              </w:rPr>
              <w:t>stockholders</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DEDED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DEDED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7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00" w:type="dxa"/>
            <w:vAlign w:val="bottom"/>
            <w:vMerge w:val="restart"/>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533,901</w:t>
            </w:r>
          </w:p>
        </w:tc>
        <w:tc>
          <w:tcPr>
            <w:tcW w:w="260" w:type="dxa"/>
            <w:vAlign w:val="bottom"/>
            <w:gridSpan w:val="2"/>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103,561</w:t>
            </w:r>
          </w:p>
        </w:tc>
        <w:tc>
          <w:tcPr>
            <w:tcW w:w="240" w:type="dxa"/>
            <w:vAlign w:val="bottom"/>
            <w:gridSpan w:val="2"/>
            <w:vMerge w:val="restart"/>
            <w:shd w:val="clear" w:color="auto" w:fill="DEDEDE"/>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86,041</w:t>
            </w:r>
          </w:p>
        </w:tc>
        <w:tc>
          <w:tcPr>
            <w:tcW w:w="240" w:type="dxa"/>
            <w:vAlign w:val="bottom"/>
            <w:gridSpan w:val="2"/>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17,663</w:t>
            </w:r>
          </w:p>
        </w:tc>
        <w:tc>
          <w:tcPr>
            <w:tcW w:w="1020" w:type="dxa"/>
            <w:vAlign w:val="bottom"/>
            <w:gridSpan w:val="4"/>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$ 1,081,477</w:t>
            </w:r>
          </w:p>
        </w:tc>
        <w:tc>
          <w:tcPr>
            <w:tcW w:w="260" w:type="dxa"/>
            <w:vAlign w:val="bottom"/>
            <w:gridSpan w:val="2"/>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293,580</w:t>
            </w:r>
          </w:p>
        </w:tc>
        <w:tc>
          <w:tcPr>
            <w:tcW w:w="0" w:type="dxa"/>
            <w:vAlign w:val="bottom"/>
          </w:tcPr>
          <w:p>
            <w:pPr>
              <w:spacing w:after="0"/>
              <w:rPr>
                <w:sz w:val="1"/>
                <w:szCs w:val="1"/>
                <w:color w:val="auto"/>
              </w:rPr>
            </w:pPr>
          </w:p>
        </w:tc>
      </w:tr>
      <w:tr>
        <w:trPr>
          <w:trHeight w:val="251"/>
        </w:trPr>
        <w:tc>
          <w:tcPr>
            <w:tcW w:w="37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vMerge w:val="continue"/>
            <w:shd w:val="clear" w:color="auto" w:fill="DEDEDE"/>
          </w:tcPr>
          <w:p>
            <w:pPr>
              <w:spacing w:after="0"/>
              <w:rPr>
                <w:sz w:val="21"/>
                <w:szCs w:val="21"/>
                <w:color w:val="auto"/>
              </w:rPr>
            </w:pPr>
          </w:p>
        </w:tc>
        <w:tc>
          <w:tcPr>
            <w:tcW w:w="780" w:type="dxa"/>
            <w:vAlign w:val="bottom"/>
            <w:vMerge w:val="continue"/>
            <w:shd w:val="clear" w:color="auto" w:fill="DEDEDE"/>
          </w:tcPr>
          <w:p>
            <w:pPr>
              <w:spacing w:after="0"/>
              <w:rPr>
                <w:sz w:val="21"/>
                <w:szCs w:val="21"/>
                <w:color w:val="auto"/>
              </w:rPr>
            </w:pPr>
          </w:p>
        </w:tc>
        <w:tc>
          <w:tcPr>
            <w:tcW w:w="260" w:type="dxa"/>
            <w:vAlign w:val="bottom"/>
            <w:gridSpan w:val="2"/>
            <w:vMerge w:val="continue"/>
            <w:shd w:val="clear" w:color="auto" w:fill="DEDEDE"/>
          </w:tcPr>
          <w:p>
            <w:pPr>
              <w:spacing w:after="0"/>
              <w:rPr>
                <w:sz w:val="21"/>
                <w:szCs w:val="21"/>
                <w:color w:val="auto"/>
              </w:rPr>
            </w:pPr>
          </w:p>
        </w:tc>
        <w:tc>
          <w:tcPr>
            <w:tcW w:w="780" w:type="dxa"/>
            <w:vAlign w:val="bottom"/>
            <w:vMerge w:val="continue"/>
            <w:shd w:val="clear" w:color="auto" w:fill="DEDEDE"/>
          </w:tcPr>
          <w:p>
            <w:pPr>
              <w:spacing w:after="0"/>
              <w:rPr>
                <w:sz w:val="21"/>
                <w:szCs w:val="21"/>
                <w:color w:val="auto"/>
              </w:rPr>
            </w:pPr>
          </w:p>
        </w:tc>
        <w:tc>
          <w:tcPr>
            <w:tcW w:w="240" w:type="dxa"/>
            <w:vAlign w:val="bottom"/>
            <w:gridSpan w:val="2"/>
            <w:vMerge w:val="continue"/>
            <w:shd w:val="clear" w:color="auto" w:fill="DEDEDE"/>
          </w:tcPr>
          <w:p>
            <w:pPr>
              <w:spacing w:after="0"/>
              <w:rPr>
                <w:sz w:val="21"/>
                <w:szCs w:val="21"/>
                <w:color w:val="auto"/>
              </w:rPr>
            </w:pPr>
          </w:p>
        </w:tc>
        <w:tc>
          <w:tcPr>
            <w:tcW w:w="820" w:type="dxa"/>
            <w:vAlign w:val="bottom"/>
            <w:vMerge w:val="continue"/>
            <w:shd w:val="clear" w:color="auto" w:fill="DEDEDE"/>
          </w:tcPr>
          <w:p>
            <w:pPr>
              <w:spacing w:after="0"/>
              <w:rPr>
                <w:sz w:val="21"/>
                <w:szCs w:val="21"/>
                <w:color w:val="auto"/>
              </w:rPr>
            </w:pPr>
          </w:p>
        </w:tc>
        <w:tc>
          <w:tcPr>
            <w:tcW w:w="240" w:type="dxa"/>
            <w:vAlign w:val="bottom"/>
            <w:gridSpan w:val="2"/>
            <w:vMerge w:val="continue"/>
            <w:shd w:val="clear" w:color="auto" w:fill="DEDEDE"/>
          </w:tcPr>
          <w:p>
            <w:pPr>
              <w:spacing w:after="0"/>
              <w:rPr>
                <w:sz w:val="21"/>
                <w:szCs w:val="21"/>
                <w:color w:val="auto"/>
              </w:rPr>
            </w:pPr>
          </w:p>
        </w:tc>
        <w:tc>
          <w:tcPr>
            <w:tcW w:w="800" w:type="dxa"/>
            <w:vAlign w:val="bottom"/>
            <w:vMerge w:val="continue"/>
            <w:shd w:val="clear" w:color="auto" w:fill="DEDEDE"/>
          </w:tcPr>
          <w:p>
            <w:pPr>
              <w:spacing w:after="0"/>
              <w:rPr>
                <w:sz w:val="21"/>
                <w:szCs w:val="21"/>
                <w:color w:val="auto"/>
              </w:rPr>
            </w:pPr>
          </w:p>
        </w:tc>
        <w:tc>
          <w:tcPr>
            <w:tcW w:w="1020" w:type="dxa"/>
            <w:vAlign w:val="bottom"/>
            <w:gridSpan w:val="4"/>
            <w:vMerge w:val="continue"/>
            <w:shd w:val="clear" w:color="auto" w:fill="DEDEDE"/>
          </w:tcPr>
          <w:p>
            <w:pPr>
              <w:spacing w:after="0"/>
              <w:rPr>
                <w:sz w:val="21"/>
                <w:szCs w:val="21"/>
                <w:color w:val="auto"/>
              </w:rPr>
            </w:pPr>
          </w:p>
        </w:tc>
        <w:tc>
          <w:tcPr>
            <w:tcW w:w="260" w:type="dxa"/>
            <w:vAlign w:val="bottom"/>
            <w:gridSpan w:val="2"/>
            <w:vMerge w:val="continue"/>
            <w:shd w:val="clear" w:color="auto" w:fill="DEDEDE"/>
          </w:tcPr>
          <w:p>
            <w:pPr>
              <w:spacing w:after="0"/>
              <w:rPr>
                <w:sz w:val="21"/>
                <w:szCs w:val="21"/>
                <w:color w:val="auto"/>
              </w:rPr>
            </w:pPr>
          </w:p>
        </w:tc>
        <w:tc>
          <w:tcPr>
            <w:tcW w:w="780" w:type="dxa"/>
            <w:vAlign w:val="bottom"/>
            <w:vMerge w:val="continue"/>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780" w:type="dxa"/>
            <w:vAlign w:val="bottom"/>
            <w:tcBorders>
              <w:top w:val="single" w:sz="8" w:color="DEDEDE"/>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Borders>
              <w:top w:val="single" w:sz="8" w:color="DEDEDE"/>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Borders>
              <w:top w:val="single" w:sz="8" w:color="DEDEDE"/>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60" w:type="dxa"/>
            <w:vAlign w:val="bottom"/>
            <w:tcBorders>
              <w:top w:val="single" w:sz="8" w:color="DEDEDE"/>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0" w:type="dxa"/>
            <w:vAlign w:val="bottom"/>
            <w:tcBorders>
              <w:top w:val="single" w:sz="8" w:color="DEDEDE"/>
            </w:tcBorders>
          </w:tcPr>
          <w:p>
            <w:pPr>
              <w:spacing w:after="0"/>
              <w:rPr>
                <w:sz w:val="20"/>
                <w:szCs w:val="20"/>
                <w:color w:val="auto"/>
              </w:rPr>
            </w:pPr>
          </w:p>
        </w:tc>
        <w:tc>
          <w:tcPr>
            <w:tcW w:w="20" w:type="dxa"/>
            <w:vAlign w:val="bottom"/>
            <w:tcBorders>
              <w:top w:val="single" w:sz="8" w:color="DEDEDE"/>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Borders>
              <w:top w:val="single" w:sz="8" w:color="DEDEDE"/>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Weighted-average shares used in computing net</w:t>
            </w:r>
          </w:p>
        </w:tc>
        <w:tc>
          <w:tcPr>
            <w:tcW w:w="20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82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8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DEDEDE"/>
          </w:tcPr>
          <w:p>
            <w:pPr>
              <w:ind w:left="60"/>
              <w:spacing w:after="0" w:line="175" w:lineRule="exact"/>
              <w:rPr>
                <w:sz w:val="20"/>
                <w:szCs w:val="20"/>
                <w:color w:val="auto"/>
              </w:rPr>
            </w:pPr>
            <w:r>
              <w:rPr>
                <w:rFonts w:ascii="Times New Roman" w:cs="Times New Roman" w:eastAsia="Times New Roman" w:hAnsi="Times New Roman"/>
                <w:sz w:val="17"/>
                <w:szCs w:val="17"/>
                <w:color w:val="auto"/>
              </w:rPr>
              <w:t>income per share attributable to common</w:t>
            </w:r>
          </w:p>
        </w:tc>
        <w:tc>
          <w:tcPr>
            <w:tcW w:w="980" w:type="dxa"/>
            <w:vAlign w:val="bottom"/>
            <w:gridSpan w:val="2"/>
            <w:vMerge w:val="restart"/>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254,084,540</w:t>
            </w:r>
          </w:p>
        </w:tc>
        <w:tc>
          <w:tcPr>
            <w:tcW w:w="1040" w:type="dxa"/>
            <w:vAlign w:val="bottom"/>
            <w:gridSpan w:val="3"/>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46,663,622</w:t>
            </w:r>
          </w:p>
        </w:tc>
        <w:tc>
          <w:tcPr>
            <w:tcW w:w="1060" w:type="dxa"/>
            <w:vAlign w:val="bottom"/>
            <w:gridSpan w:val="3"/>
            <w:vMerge w:val="restart"/>
            <w:shd w:val="clear" w:color="auto" w:fill="DEDEDE"/>
          </w:tcPr>
          <w:p>
            <w:pPr>
              <w:ind w:left="140"/>
              <w:spacing w:after="0"/>
              <w:rPr>
                <w:sz w:val="20"/>
                <w:szCs w:val="20"/>
                <w:color w:val="auto"/>
              </w:rPr>
            </w:pPr>
            <w:r>
              <w:rPr>
                <w:rFonts w:ascii="Times New Roman" w:cs="Times New Roman" w:eastAsia="Times New Roman" w:hAnsi="Times New Roman"/>
                <w:sz w:val="17"/>
                <w:szCs w:val="17"/>
                <w:color w:val="auto"/>
              </w:rPr>
              <w:t>249,494,904</w:t>
            </w:r>
          </w:p>
        </w:tc>
        <w:tc>
          <w:tcPr>
            <w:tcW w:w="1040" w:type="dxa"/>
            <w:vAlign w:val="bottom"/>
            <w:gridSpan w:val="3"/>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47,065,597</w:t>
            </w:r>
          </w:p>
        </w:tc>
        <w:tc>
          <w:tcPr>
            <w:tcW w:w="1020" w:type="dxa"/>
            <w:vAlign w:val="bottom"/>
            <w:gridSpan w:val="4"/>
            <w:vMerge w:val="restart"/>
            <w:shd w:val="clear" w:color="auto" w:fill="DEDEDE"/>
          </w:tcPr>
          <w:p>
            <w:pPr>
              <w:ind w:left="100"/>
              <w:spacing w:after="0"/>
              <w:rPr>
                <w:sz w:val="20"/>
                <w:szCs w:val="20"/>
                <w:color w:val="auto"/>
              </w:rPr>
            </w:pPr>
            <w:r>
              <w:rPr>
                <w:rFonts w:ascii="Times New Roman" w:cs="Times New Roman" w:eastAsia="Times New Roman" w:hAnsi="Times New Roman"/>
                <w:sz w:val="17"/>
                <w:szCs w:val="17"/>
                <w:color w:val="auto"/>
              </w:rPr>
              <w:t>238,214,936</w:t>
            </w:r>
          </w:p>
        </w:tc>
        <w:tc>
          <w:tcPr>
            <w:tcW w:w="1040" w:type="dxa"/>
            <w:vAlign w:val="bottom"/>
            <w:gridSpan w:val="3"/>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58,119,958</w:t>
            </w:r>
          </w:p>
        </w:tc>
        <w:tc>
          <w:tcPr>
            <w:tcW w:w="0" w:type="dxa"/>
            <w:vAlign w:val="bottom"/>
          </w:tcPr>
          <w:p>
            <w:pPr>
              <w:spacing w:after="0"/>
              <w:rPr>
                <w:sz w:val="1"/>
                <w:szCs w:val="1"/>
                <w:color w:val="auto"/>
              </w:rPr>
            </w:pPr>
          </w:p>
        </w:tc>
      </w:tr>
      <w:tr>
        <w:trPr>
          <w:trHeight w:val="242"/>
        </w:trPr>
        <w:tc>
          <w:tcPr>
            <w:tcW w:w="37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stockholders, basic</w:t>
            </w:r>
          </w:p>
        </w:tc>
        <w:tc>
          <w:tcPr>
            <w:tcW w:w="980" w:type="dxa"/>
            <w:vAlign w:val="bottom"/>
            <w:gridSpan w:val="2"/>
            <w:vMerge w:val="continue"/>
            <w:shd w:val="clear" w:color="auto" w:fill="DEDEDE"/>
          </w:tcPr>
          <w:p>
            <w:pPr>
              <w:spacing w:after="0"/>
              <w:rPr>
                <w:sz w:val="21"/>
                <w:szCs w:val="21"/>
                <w:color w:val="auto"/>
              </w:rPr>
            </w:pPr>
          </w:p>
        </w:tc>
        <w:tc>
          <w:tcPr>
            <w:tcW w:w="1040" w:type="dxa"/>
            <w:vAlign w:val="bottom"/>
            <w:gridSpan w:val="3"/>
            <w:vMerge w:val="continue"/>
            <w:shd w:val="clear" w:color="auto" w:fill="DEDEDE"/>
          </w:tcPr>
          <w:p>
            <w:pPr>
              <w:spacing w:after="0"/>
              <w:rPr>
                <w:sz w:val="21"/>
                <w:szCs w:val="21"/>
                <w:color w:val="auto"/>
              </w:rPr>
            </w:pPr>
          </w:p>
        </w:tc>
        <w:tc>
          <w:tcPr>
            <w:tcW w:w="1060" w:type="dxa"/>
            <w:vAlign w:val="bottom"/>
            <w:gridSpan w:val="3"/>
            <w:vMerge w:val="continue"/>
            <w:shd w:val="clear" w:color="auto" w:fill="DEDEDE"/>
          </w:tcPr>
          <w:p>
            <w:pPr>
              <w:spacing w:after="0"/>
              <w:rPr>
                <w:sz w:val="21"/>
                <w:szCs w:val="21"/>
                <w:color w:val="auto"/>
              </w:rPr>
            </w:pPr>
          </w:p>
        </w:tc>
        <w:tc>
          <w:tcPr>
            <w:tcW w:w="1040" w:type="dxa"/>
            <w:vAlign w:val="bottom"/>
            <w:gridSpan w:val="3"/>
            <w:vMerge w:val="continue"/>
            <w:shd w:val="clear" w:color="auto" w:fill="DEDEDE"/>
          </w:tcPr>
          <w:p>
            <w:pPr>
              <w:spacing w:after="0"/>
              <w:rPr>
                <w:sz w:val="21"/>
                <w:szCs w:val="21"/>
                <w:color w:val="auto"/>
              </w:rPr>
            </w:pPr>
          </w:p>
        </w:tc>
        <w:tc>
          <w:tcPr>
            <w:tcW w:w="1020" w:type="dxa"/>
            <w:vAlign w:val="bottom"/>
            <w:gridSpan w:val="4"/>
            <w:vMerge w:val="continue"/>
            <w:shd w:val="clear" w:color="auto" w:fill="DEDEDE"/>
          </w:tcPr>
          <w:p>
            <w:pPr>
              <w:spacing w:after="0"/>
              <w:rPr>
                <w:sz w:val="21"/>
                <w:szCs w:val="21"/>
                <w:color w:val="auto"/>
              </w:rPr>
            </w:pPr>
          </w:p>
        </w:tc>
        <w:tc>
          <w:tcPr>
            <w:tcW w:w="1040" w:type="dxa"/>
            <w:vAlign w:val="bottom"/>
            <w:gridSpan w:val="3"/>
            <w:vMerge w:val="continue"/>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Weighted-average shares used in computing net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60"/>
              <w:spacing w:after="0" w:line="175" w:lineRule="exact"/>
              <w:rPr>
                <w:sz w:val="20"/>
                <w:szCs w:val="20"/>
                <w:color w:val="auto"/>
              </w:rPr>
            </w:pPr>
            <w:r>
              <w:rPr>
                <w:rFonts w:ascii="Times New Roman" w:cs="Times New Roman" w:eastAsia="Times New Roman" w:hAnsi="Times New Roman"/>
                <w:sz w:val="17"/>
                <w:szCs w:val="17"/>
                <w:color w:val="auto"/>
              </w:rPr>
              <w:t>income per share attributable to common</w:t>
            </w: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258,398,674</w:t>
            </w:r>
          </w:p>
        </w:tc>
        <w:tc>
          <w:tcPr>
            <w:tcW w:w="80" w:type="dxa"/>
            <w:vAlign w:val="bottom"/>
            <w:vMerge w:val="restart"/>
          </w:tcPr>
          <w:p>
            <w:pPr>
              <w:spacing w:after="0"/>
              <w:rPr>
                <w:sz w:val="15"/>
                <w:szCs w:val="15"/>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50,121,223</w:t>
            </w:r>
          </w:p>
        </w:tc>
        <w:tc>
          <w:tcPr>
            <w:tcW w:w="80" w:type="dxa"/>
            <w:vAlign w:val="bottom"/>
            <w:vMerge w:val="restart"/>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252,413,234</w:t>
            </w:r>
          </w:p>
        </w:tc>
        <w:tc>
          <w:tcPr>
            <w:tcW w:w="60" w:type="dxa"/>
            <w:vAlign w:val="bottom"/>
            <w:vMerge w:val="restart"/>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51,818,116</w:t>
            </w:r>
          </w:p>
        </w:tc>
        <w:tc>
          <w:tcPr>
            <w:tcW w:w="80" w:type="dxa"/>
            <w:vAlign w:val="bottom"/>
            <w:gridSpan w:val="2"/>
            <w:vMerge w:val="restart"/>
          </w:tcPr>
          <w:p>
            <w:pPr>
              <w:spacing w:after="0"/>
              <w:rPr>
                <w:sz w:val="15"/>
                <w:szCs w:val="15"/>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240,531,470</w:t>
            </w:r>
          </w:p>
        </w:tc>
        <w:tc>
          <w:tcPr>
            <w:tcW w:w="60" w:type="dxa"/>
            <w:vAlign w:val="bottom"/>
            <w:vMerge w:val="restart"/>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65,295,035</w:t>
            </w:r>
          </w:p>
        </w:tc>
        <w:tc>
          <w:tcPr>
            <w:tcW w:w="0" w:type="dxa"/>
            <w:vAlign w:val="bottom"/>
          </w:tcPr>
          <w:p>
            <w:pPr>
              <w:spacing w:after="0"/>
              <w:rPr>
                <w:sz w:val="1"/>
                <w:szCs w:val="1"/>
                <w:color w:val="auto"/>
              </w:rPr>
            </w:pPr>
          </w:p>
        </w:tc>
      </w:tr>
      <w:tr>
        <w:trPr>
          <w:trHeight w:val="231"/>
        </w:trPr>
        <w:tc>
          <w:tcPr>
            <w:tcW w:w="378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17"/>
                <w:szCs w:val="17"/>
                <w:color w:val="auto"/>
              </w:rPr>
              <w:t>stockholders, diluted</w:t>
            </w:r>
          </w:p>
        </w:tc>
        <w:tc>
          <w:tcPr>
            <w:tcW w:w="98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DEDEDE"/>
            </w:tcBorders>
            <w:vMerge w:val="continue"/>
          </w:tcPr>
          <w:p>
            <w:pPr>
              <w:spacing w:after="0"/>
              <w:rPr>
                <w:sz w:val="20"/>
                <w:szCs w:val="20"/>
                <w:color w:val="auto"/>
              </w:rPr>
            </w:pPr>
          </w:p>
        </w:tc>
        <w:tc>
          <w:tcPr>
            <w:tcW w:w="96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DEDEDE"/>
            </w:tcBorders>
            <w:vMerge w:val="continue"/>
          </w:tcPr>
          <w:p>
            <w:pPr>
              <w:spacing w:after="0"/>
              <w:rPr>
                <w:sz w:val="20"/>
                <w:szCs w:val="20"/>
                <w:color w:val="auto"/>
              </w:rPr>
            </w:pPr>
          </w:p>
        </w:tc>
        <w:tc>
          <w:tcPr>
            <w:tcW w:w="980" w:type="dxa"/>
            <w:vAlign w:val="bottom"/>
            <w:tcBorders>
              <w:bottom w:val="single" w:sz="8" w:color="auto"/>
            </w:tcBorders>
            <w:gridSpan w:val="2"/>
            <w:vMerge w:val="continue"/>
          </w:tcPr>
          <w:p>
            <w:pPr>
              <w:spacing w:after="0"/>
              <w:rPr>
                <w:sz w:val="20"/>
                <w:szCs w:val="20"/>
                <w:color w:val="auto"/>
              </w:rPr>
            </w:pPr>
          </w:p>
        </w:tc>
        <w:tc>
          <w:tcPr>
            <w:tcW w:w="60" w:type="dxa"/>
            <w:vAlign w:val="bottom"/>
            <w:tcBorders>
              <w:bottom w:val="single" w:sz="8" w:color="DEDEDE"/>
            </w:tcBorders>
            <w:vMerge w:val="continue"/>
          </w:tcPr>
          <w:p>
            <w:pPr>
              <w:spacing w:after="0"/>
              <w:rPr>
                <w:sz w:val="20"/>
                <w:szCs w:val="20"/>
                <w:color w:val="auto"/>
              </w:rPr>
            </w:pPr>
          </w:p>
        </w:tc>
        <w:tc>
          <w:tcPr>
            <w:tcW w:w="98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DEDEDE"/>
            </w:tcBorders>
            <w:gridSpan w:val="2"/>
            <w:vMerge w:val="continue"/>
          </w:tcPr>
          <w:p>
            <w:pPr>
              <w:spacing w:after="0"/>
              <w:rPr>
                <w:sz w:val="20"/>
                <w:szCs w:val="20"/>
                <w:color w:val="auto"/>
              </w:rPr>
            </w:pPr>
          </w:p>
        </w:tc>
        <w:tc>
          <w:tcPr>
            <w:tcW w:w="940" w:type="dxa"/>
            <w:vAlign w:val="bottom"/>
            <w:tcBorders>
              <w:bottom w:val="single" w:sz="8" w:color="auto"/>
            </w:tcBorders>
            <w:gridSpan w:val="2"/>
            <w:vMerge w:val="continue"/>
          </w:tcPr>
          <w:p>
            <w:pPr>
              <w:spacing w:after="0"/>
              <w:rPr>
                <w:sz w:val="20"/>
                <w:szCs w:val="20"/>
                <w:color w:val="auto"/>
              </w:rPr>
            </w:pPr>
          </w:p>
        </w:tc>
        <w:tc>
          <w:tcPr>
            <w:tcW w:w="60" w:type="dxa"/>
            <w:vAlign w:val="bottom"/>
            <w:tcBorders>
              <w:bottom w:val="single" w:sz="8" w:color="DEDEDE"/>
            </w:tcBorders>
            <w:vMerge w:val="continue"/>
          </w:tcPr>
          <w:p>
            <w:pPr>
              <w:spacing w:after="0"/>
              <w:rPr>
                <w:sz w:val="20"/>
                <w:szCs w:val="20"/>
                <w:color w:val="auto"/>
              </w:rPr>
            </w:pPr>
          </w:p>
        </w:tc>
        <w:tc>
          <w:tcPr>
            <w:tcW w:w="98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7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Net income per share attributable to common</w:t>
            </w:r>
          </w:p>
        </w:tc>
        <w:tc>
          <w:tcPr>
            <w:tcW w:w="200" w:type="dxa"/>
            <w:vAlign w:val="bottom"/>
            <w:vMerge w:val="restart"/>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80" w:type="dxa"/>
            <w:vAlign w:val="bottom"/>
            <w:vMerge w:val="restart"/>
            <w:shd w:val="clear" w:color="auto" w:fill="DEDEDE"/>
          </w:tcPr>
          <w:p>
            <w:pPr>
              <w:spacing w:after="0"/>
              <w:rPr>
                <w:sz w:val="17"/>
                <w:szCs w:val="17"/>
                <w:color w:val="auto"/>
              </w:rPr>
            </w:pPr>
          </w:p>
        </w:tc>
        <w:tc>
          <w:tcPr>
            <w:tcW w:w="1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80" w:type="dxa"/>
            <w:vAlign w:val="bottom"/>
            <w:vMerge w:val="restart"/>
            <w:shd w:val="clear" w:color="auto" w:fill="DEDEDE"/>
          </w:tcPr>
          <w:p>
            <w:pPr>
              <w:spacing w:after="0"/>
              <w:rPr>
                <w:sz w:val="17"/>
                <w:szCs w:val="17"/>
                <w:color w:val="auto"/>
              </w:rPr>
            </w:pPr>
          </w:p>
        </w:tc>
        <w:tc>
          <w:tcPr>
            <w:tcW w:w="160" w:type="dxa"/>
            <w:vAlign w:val="bottom"/>
            <w:vMerge w:val="restart"/>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60" w:type="dxa"/>
            <w:vAlign w:val="bottom"/>
            <w:vMerge w:val="restart"/>
            <w:shd w:val="clear" w:color="auto" w:fill="DEDEDE"/>
          </w:tcPr>
          <w:p>
            <w:pPr>
              <w:spacing w:after="0"/>
              <w:rPr>
                <w:sz w:val="17"/>
                <w:szCs w:val="17"/>
                <w:color w:val="auto"/>
              </w:rPr>
            </w:pPr>
          </w:p>
        </w:tc>
        <w:tc>
          <w:tcPr>
            <w:tcW w:w="1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80" w:type="dxa"/>
            <w:vAlign w:val="bottom"/>
            <w:gridSpan w:val="2"/>
            <w:vMerge w:val="restart"/>
            <w:shd w:val="clear" w:color="auto" w:fill="DEDEDE"/>
          </w:tcPr>
          <w:p>
            <w:pPr>
              <w:spacing w:after="0"/>
              <w:rPr>
                <w:sz w:val="17"/>
                <w:szCs w:val="17"/>
                <w:color w:val="auto"/>
              </w:rPr>
            </w:pPr>
          </w:p>
        </w:tc>
        <w:tc>
          <w:tcPr>
            <w:tcW w:w="160" w:type="dxa"/>
            <w:vAlign w:val="bottom"/>
            <w:vMerge w:val="restart"/>
            <w:shd w:val="clear" w:color="auto" w:fill="DEDEDE"/>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60" w:type="dxa"/>
            <w:vAlign w:val="bottom"/>
            <w:vMerge w:val="restart"/>
            <w:shd w:val="clear" w:color="auto" w:fill="DEDEDE"/>
          </w:tcPr>
          <w:p>
            <w:pPr>
              <w:spacing w:after="0"/>
              <w:rPr>
                <w:sz w:val="17"/>
                <w:szCs w:val="17"/>
                <w:color w:val="auto"/>
              </w:rPr>
            </w:pPr>
          </w:p>
        </w:tc>
        <w:tc>
          <w:tcPr>
            <w:tcW w:w="20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0" w:type="dxa"/>
            <w:vAlign w:val="bottom"/>
          </w:tcPr>
          <w:p>
            <w:pPr>
              <w:spacing w:after="0"/>
              <w:rPr>
                <w:sz w:val="1"/>
                <w:szCs w:val="1"/>
                <w:color w:val="auto"/>
              </w:rPr>
            </w:pPr>
          </w:p>
        </w:tc>
      </w:tr>
      <w:tr>
        <w:trPr>
          <w:trHeight w:val="251"/>
        </w:trPr>
        <w:tc>
          <w:tcPr>
            <w:tcW w:w="378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stockholders, basic</w:t>
            </w:r>
          </w:p>
        </w:tc>
        <w:tc>
          <w:tcPr>
            <w:tcW w:w="200" w:type="dxa"/>
            <w:vAlign w:val="bottom"/>
            <w:tcBorders>
              <w:bottom w:val="single" w:sz="8" w:color="auto"/>
            </w:tcBorders>
            <w:vMerge w:val="continue"/>
            <w:shd w:val="clear" w:color="auto" w:fill="DEDEDE"/>
          </w:tcPr>
          <w:p>
            <w:pPr>
              <w:spacing w:after="0"/>
              <w:rPr>
                <w:sz w:val="21"/>
                <w:szCs w:val="21"/>
                <w:color w:val="auto"/>
              </w:rPr>
            </w:pPr>
          </w:p>
        </w:tc>
        <w:tc>
          <w:tcPr>
            <w:tcW w:w="780" w:type="dxa"/>
            <w:vAlign w:val="bottom"/>
            <w:tcBorders>
              <w:bottom w:val="single" w:sz="8" w:color="auto"/>
            </w:tcBorders>
            <w:vMerge w:val="continue"/>
            <w:shd w:val="clear" w:color="auto" w:fill="DEDEDE"/>
          </w:tcPr>
          <w:p>
            <w:pPr>
              <w:spacing w:after="0"/>
              <w:rPr>
                <w:sz w:val="21"/>
                <w:szCs w:val="21"/>
                <w:color w:val="auto"/>
              </w:rPr>
            </w:pPr>
          </w:p>
        </w:tc>
        <w:tc>
          <w:tcPr>
            <w:tcW w:w="80" w:type="dxa"/>
            <w:vAlign w:val="bottom"/>
            <w:tcBorders>
              <w:bottom w:val="single" w:sz="8" w:color="DEDEDE"/>
            </w:tcBorders>
            <w:vMerge w:val="continue"/>
            <w:shd w:val="clear" w:color="auto" w:fill="DEDEDE"/>
          </w:tcPr>
          <w:p>
            <w:pPr>
              <w:spacing w:after="0"/>
              <w:rPr>
                <w:sz w:val="21"/>
                <w:szCs w:val="21"/>
                <w:color w:val="auto"/>
              </w:rPr>
            </w:pPr>
          </w:p>
        </w:tc>
        <w:tc>
          <w:tcPr>
            <w:tcW w:w="180" w:type="dxa"/>
            <w:vAlign w:val="bottom"/>
            <w:tcBorders>
              <w:bottom w:val="single" w:sz="8" w:color="auto"/>
            </w:tcBorders>
            <w:vMerge w:val="continue"/>
            <w:shd w:val="clear" w:color="auto" w:fill="DEDEDE"/>
          </w:tcPr>
          <w:p>
            <w:pPr>
              <w:spacing w:after="0"/>
              <w:rPr>
                <w:sz w:val="21"/>
                <w:szCs w:val="21"/>
                <w:color w:val="auto"/>
              </w:rPr>
            </w:pPr>
          </w:p>
        </w:tc>
        <w:tc>
          <w:tcPr>
            <w:tcW w:w="780" w:type="dxa"/>
            <w:vAlign w:val="bottom"/>
            <w:tcBorders>
              <w:bottom w:val="single" w:sz="8" w:color="auto"/>
            </w:tcBorders>
            <w:vMerge w:val="continue"/>
            <w:shd w:val="clear" w:color="auto" w:fill="DEDEDE"/>
          </w:tcPr>
          <w:p>
            <w:pPr>
              <w:spacing w:after="0"/>
              <w:rPr>
                <w:sz w:val="21"/>
                <w:szCs w:val="21"/>
                <w:color w:val="auto"/>
              </w:rPr>
            </w:pPr>
          </w:p>
        </w:tc>
        <w:tc>
          <w:tcPr>
            <w:tcW w:w="80" w:type="dxa"/>
            <w:vAlign w:val="bottom"/>
            <w:tcBorders>
              <w:bottom w:val="single" w:sz="8" w:color="DEDEDE"/>
            </w:tcBorders>
            <w:vMerge w:val="continue"/>
            <w:shd w:val="clear" w:color="auto" w:fill="DEDEDE"/>
          </w:tcPr>
          <w:p>
            <w:pPr>
              <w:spacing w:after="0"/>
              <w:rPr>
                <w:sz w:val="21"/>
                <w:szCs w:val="21"/>
                <w:color w:val="auto"/>
              </w:rPr>
            </w:pPr>
          </w:p>
        </w:tc>
        <w:tc>
          <w:tcPr>
            <w:tcW w:w="160" w:type="dxa"/>
            <w:vAlign w:val="bottom"/>
            <w:tcBorders>
              <w:bottom w:val="single" w:sz="8" w:color="auto"/>
            </w:tcBorders>
            <w:vMerge w:val="continue"/>
            <w:shd w:val="clear" w:color="auto" w:fill="DEDEDE"/>
          </w:tcPr>
          <w:p>
            <w:pPr>
              <w:spacing w:after="0"/>
              <w:rPr>
                <w:sz w:val="21"/>
                <w:szCs w:val="21"/>
                <w:color w:val="auto"/>
              </w:rPr>
            </w:pPr>
          </w:p>
        </w:tc>
        <w:tc>
          <w:tcPr>
            <w:tcW w:w="820" w:type="dxa"/>
            <w:vAlign w:val="bottom"/>
            <w:tcBorders>
              <w:bottom w:val="single" w:sz="8" w:color="auto"/>
            </w:tcBorders>
            <w:vMerge w:val="continue"/>
            <w:shd w:val="clear" w:color="auto" w:fill="DEDEDE"/>
          </w:tcPr>
          <w:p>
            <w:pPr>
              <w:spacing w:after="0"/>
              <w:rPr>
                <w:sz w:val="21"/>
                <w:szCs w:val="21"/>
                <w:color w:val="auto"/>
              </w:rPr>
            </w:pPr>
          </w:p>
        </w:tc>
        <w:tc>
          <w:tcPr>
            <w:tcW w:w="60" w:type="dxa"/>
            <w:vAlign w:val="bottom"/>
            <w:tcBorders>
              <w:bottom w:val="single" w:sz="8" w:color="DEDEDE"/>
            </w:tcBorders>
            <w:vMerge w:val="continue"/>
            <w:shd w:val="clear" w:color="auto" w:fill="DEDEDE"/>
          </w:tcPr>
          <w:p>
            <w:pPr>
              <w:spacing w:after="0"/>
              <w:rPr>
                <w:sz w:val="21"/>
                <w:szCs w:val="21"/>
                <w:color w:val="auto"/>
              </w:rPr>
            </w:pPr>
          </w:p>
        </w:tc>
        <w:tc>
          <w:tcPr>
            <w:tcW w:w="180" w:type="dxa"/>
            <w:vAlign w:val="bottom"/>
            <w:tcBorders>
              <w:bottom w:val="single" w:sz="8" w:color="auto"/>
            </w:tcBorders>
            <w:vMerge w:val="continue"/>
            <w:shd w:val="clear" w:color="auto" w:fill="DEDEDE"/>
          </w:tcPr>
          <w:p>
            <w:pPr>
              <w:spacing w:after="0"/>
              <w:rPr>
                <w:sz w:val="21"/>
                <w:szCs w:val="21"/>
                <w:color w:val="auto"/>
              </w:rPr>
            </w:pPr>
          </w:p>
        </w:tc>
        <w:tc>
          <w:tcPr>
            <w:tcW w:w="800" w:type="dxa"/>
            <w:vAlign w:val="bottom"/>
            <w:tcBorders>
              <w:bottom w:val="single" w:sz="8" w:color="auto"/>
            </w:tcBorders>
            <w:vMerge w:val="continue"/>
            <w:shd w:val="clear" w:color="auto" w:fill="DEDEDE"/>
          </w:tcPr>
          <w:p>
            <w:pPr>
              <w:spacing w:after="0"/>
              <w:rPr>
                <w:sz w:val="21"/>
                <w:szCs w:val="21"/>
                <w:color w:val="auto"/>
              </w:rPr>
            </w:pPr>
          </w:p>
        </w:tc>
        <w:tc>
          <w:tcPr>
            <w:tcW w:w="80" w:type="dxa"/>
            <w:vAlign w:val="bottom"/>
            <w:tcBorders>
              <w:bottom w:val="single" w:sz="8" w:color="DEDEDE"/>
            </w:tcBorders>
            <w:gridSpan w:val="2"/>
            <w:vMerge w:val="continue"/>
            <w:shd w:val="clear" w:color="auto" w:fill="DEDEDE"/>
          </w:tcPr>
          <w:p>
            <w:pPr>
              <w:spacing w:after="0"/>
              <w:rPr>
                <w:sz w:val="21"/>
                <w:szCs w:val="21"/>
                <w:color w:val="auto"/>
              </w:rPr>
            </w:pPr>
          </w:p>
        </w:tc>
        <w:tc>
          <w:tcPr>
            <w:tcW w:w="160" w:type="dxa"/>
            <w:vAlign w:val="bottom"/>
            <w:tcBorders>
              <w:bottom w:val="single" w:sz="8" w:color="auto"/>
            </w:tcBorders>
            <w:vMerge w:val="continue"/>
            <w:shd w:val="clear" w:color="auto" w:fill="DEDEDE"/>
          </w:tcPr>
          <w:p>
            <w:pPr>
              <w:spacing w:after="0"/>
              <w:rPr>
                <w:sz w:val="21"/>
                <w:szCs w:val="21"/>
                <w:color w:val="auto"/>
              </w:rPr>
            </w:pPr>
          </w:p>
        </w:tc>
        <w:tc>
          <w:tcPr>
            <w:tcW w:w="780" w:type="dxa"/>
            <w:vAlign w:val="bottom"/>
            <w:tcBorders>
              <w:bottom w:val="single" w:sz="8" w:color="auto"/>
            </w:tcBorders>
            <w:vMerge w:val="continue"/>
            <w:shd w:val="clear" w:color="auto" w:fill="DEDEDE"/>
          </w:tcPr>
          <w:p>
            <w:pPr>
              <w:spacing w:after="0"/>
              <w:rPr>
                <w:sz w:val="21"/>
                <w:szCs w:val="21"/>
                <w:color w:val="auto"/>
              </w:rPr>
            </w:pPr>
          </w:p>
        </w:tc>
        <w:tc>
          <w:tcPr>
            <w:tcW w:w="60" w:type="dxa"/>
            <w:vAlign w:val="bottom"/>
            <w:tcBorders>
              <w:bottom w:val="single" w:sz="8" w:color="DEDEDE"/>
            </w:tcBorders>
            <w:vMerge w:val="continue"/>
            <w:shd w:val="clear" w:color="auto" w:fill="DEDEDE"/>
          </w:tcPr>
          <w:p>
            <w:pPr>
              <w:spacing w:after="0"/>
              <w:rPr>
                <w:sz w:val="21"/>
                <w:szCs w:val="21"/>
                <w:color w:val="auto"/>
              </w:rPr>
            </w:pPr>
          </w:p>
        </w:tc>
        <w:tc>
          <w:tcPr>
            <w:tcW w:w="200" w:type="dxa"/>
            <w:vAlign w:val="bottom"/>
            <w:tcBorders>
              <w:bottom w:val="single" w:sz="8" w:color="auto"/>
            </w:tcBorders>
            <w:vMerge w:val="continue"/>
            <w:shd w:val="clear" w:color="auto" w:fill="DEDEDE"/>
          </w:tcPr>
          <w:p>
            <w:pPr>
              <w:spacing w:after="0"/>
              <w:rPr>
                <w:sz w:val="21"/>
                <w:szCs w:val="21"/>
                <w:color w:val="auto"/>
              </w:rPr>
            </w:pPr>
          </w:p>
        </w:tc>
        <w:tc>
          <w:tcPr>
            <w:tcW w:w="780" w:type="dxa"/>
            <w:vAlign w:val="bottom"/>
            <w:tcBorders>
              <w:bottom w:val="single" w:sz="8" w:color="auto"/>
            </w:tcBorders>
            <w:vMerge w:val="continue"/>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3780" w:type="dxa"/>
            <w:vAlign w:val="bottom"/>
          </w:tcPr>
          <w:p>
            <w:pPr>
              <w:ind w:left="60"/>
              <w:spacing w:after="0" w:line="181" w:lineRule="exact"/>
              <w:rPr>
                <w:sz w:val="20"/>
                <w:szCs w:val="20"/>
                <w:color w:val="auto"/>
              </w:rPr>
            </w:pPr>
            <w:r>
              <w:rPr>
                <w:rFonts w:ascii="Times New Roman" w:cs="Times New Roman" w:eastAsia="Times New Roman" w:hAnsi="Times New Roman"/>
                <w:sz w:val="17"/>
                <w:szCs w:val="17"/>
                <w:color w:val="auto"/>
              </w:rPr>
              <w:t>Net income per share attributable to common</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0" w:type="dxa"/>
            <w:vAlign w:val="bottom"/>
          </w:tcPr>
          <w:p>
            <w:pPr>
              <w:spacing w:after="0"/>
              <w:rPr>
                <w:sz w:val="1"/>
                <w:szCs w:val="1"/>
                <w:color w:val="auto"/>
              </w:rPr>
            </w:pPr>
          </w:p>
        </w:tc>
      </w:tr>
      <w:tr>
        <w:trPr>
          <w:trHeight w:val="212"/>
        </w:trPr>
        <w:tc>
          <w:tcPr>
            <w:tcW w:w="3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stockholders, diluted</w:t>
            </w:r>
          </w:p>
        </w:tc>
        <w:tc>
          <w:tcPr>
            <w:tcW w:w="2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-2160270</wp:posOffset>
            </wp:positionV>
            <wp:extent cx="3945255" cy="501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5">
                      <a:extLst>
                        <a:ext uri="{28A0092B-C50C-407E-A947-70E740481C1C}"/>
                      </a:extLst>
                    </a:blip>
                    <a:srcRect/>
                    <a:stretch>
                      <a:fillRect/>
                    </a:stretch>
                  </pic:blipFill>
                  <pic:spPr bwMode="auto">
                    <a:xfrm>
                      <a:off x="0" y="0"/>
                      <a:ext cx="3945255" cy="50165"/>
                    </a:xfrm>
                    <a:prstGeom prst="rect">
                      <a:avLst/>
                    </a:prstGeom>
                    <a:noFill/>
                  </pic:spPr>
                </pic:pic>
              </a:graphicData>
            </a:graphic>
          </wp:anchor>
        </w:drawing>
        <w:drawing>
          <wp:anchor simplePos="0" relativeHeight="251657728" behindDoc="1" locked="0" layoutInCell="0" allowOverlap="1">
            <wp:simplePos x="0" y="0"/>
            <wp:positionH relativeFrom="column">
              <wp:posOffset>2391410</wp:posOffset>
            </wp:positionH>
            <wp:positionV relativeFrom="paragraph">
              <wp:posOffset>-1586865</wp:posOffset>
            </wp:positionV>
            <wp:extent cx="3945255" cy="501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6">
                      <a:extLst>
                        <a:ext uri="{28A0092B-C50C-407E-A947-70E740481C1C}"/>
                      </a:extLst>
                    </a:blip>
                    <a:srcRect/>
                    <a:stretch>
                      <a:fillRect/>
                    </a:stretch>
                  </pic:blipFill>
                  <pic:spPr bwMode="auto">
                    <a:xfrm>
                      <a:off x="0" y="0"/>
                      <a:ext cx="3945255" cy="50165"/>
                    </a:xfrm>
                    <a:prstGeom prst="rect">
                      <a:avLst/>
                    </a:prstGeom>
                    <a:noFill/>
                  </pic:spPr>
                </pic:pic>
              </a:graphicData>
            </a:graphic>
          </wp:anchor>
        </w:drawing>
        <w:drawing>
          <wp:anchor simplePos="0" relativeHeight="251657728" behindDoc="1" locked="0" layoutInCell="0" allowOverlap="1">
            <wp:simplePos x="0" y="0"/>
            <wp:positionH relativeFrom="column">
              <wp:posOffset>2391410</wp:posOffset>
            </wp:positionH>
            <wp:positionV relativeFrom="paragraph">
              <wp:posOffset>-329565</wp:posOffset>
            </wp:positionV>
            <wp:extent cx="3945255" cy="501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7">
                      <a:extLst>
                        <a:ext uri="{28A0092B-C50C-407E-A947-70E740481C1C}"/>
                      </a:extLst>
                    </a:blip>
                    <a:srcRect/>
                    <a:stretch>
                      <a:fillRect/>
                    </a:stretch>
                  </pic:blipFill>
                  <pic:spPr bwMode="auto">
                    <a:xfrm>
                      <a:off x="0" y="0"/>
                      <a:ext cx="3945255" cy="50165"/>
                    </a:xfrm>
                    <a:prstGeom prst="rect">
                      <a:avLst/>
                    </a:prstGeom>
                    <a:noFill/>
                  </pic:spPr>
                </pic:pic>
              </a:graphicData>
            </a:graphic>
          </wp:anchor>
        </w:drawing>
        <w:drawing>
          <wp:anchor simplePos="0" relativeHeight="251657728" behindDoc="1" locked="0" layoutInCell="0" allowOverlap="1">
            <wp:simplePos x="0" y="0"/>
            <wp:positionH relativeFrom="column">
              <wp:posOffset>2391410</wp:posOffset>
            </wp:positionH>
            <wp:positionV relativeFrom="paragraph">
              <wp:posOffset>-43180</wp:posOffset>
            </wp:positionV>
            <wp:extent cx="3945255" cy="501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8">
                      <a:extLst>
                        <a:ext uri="{28A0092B-C50C-407E-A947-70E740481C1C}"/>
                      </a:extLst>
                    </a:blip>
                    <a:srcRect/>
                    <a:stretch>
                      <a:fillRect/>
                    </a:stretch>
                  </pic:blipFill>
                  <pic:spPr bwMode="auto">
                    <a:xfrm>
                      <a:off x="0" y="0"/>
                      <a:ext cx="3945255" cy="50165"/>
                    </a:xfrm>
                    <a:prstGeom prst="rect">
                      <a:avLst/>
                    </a:prstGeom>
                    <a:noFill/>
                  </pic:spPr>
                </pic:pic>
              </a:graphicData>
            </a:graphic>
          </wp:anchor>
        </w:drawing>
      </w:r>
    </w:p>
    <w:p>
      <w:pPr>
        <w:spacing w:after="0" w:line="220" w:lineRule="exact"/>
        <w:rPr>
          <w:sz w:val="20"/>
          <w:szCs w:val="20"/>
          <w:color w:val="auto"/>
        </w:rPr>
      </w:pPr>
    </w:p>
    <w:p>
      <w:pPr>
        <w:jc w:val="both"/>
        <w:ind w:firstLine="524"/>
        <w:spacing w:after="0" w:line="286" w:lineRule="auto"/>
        <w:rPr>
          <w:sz w:val="20"/>
          <w:szCs w:val="20"/>
          <w:color w:val="auto"/>
        </w:rPr>
      </w:pPr>
      <w:r>
        <w:rPr>
          <w:rFonts w:ascii="Times New Roman" w:cs="Times New Roman" w:eastAsia="Times New Roman" w:hAnsi="Times New Roman"/>
          <w:sz w:val="19"/>
          <w:szCs w:val="19"/>
          <w:color w:val="auto"/>
        </w:rPr>
        <w:t>The potential shares of common stock that were excluded from the computation of diluted net income per share attributable to common stockholders for the periods presented because including them would have been anti-dilutive are as follows: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Year Ended January 31,</w:t>
            </w: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28"/>
        </w:trPr>
        <w:tc>
          <w:tcPr>
            <w:tcW w:w="372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Pr>
          <w:p>
            <w:pPr>
              <w:spacing w:after="0"/>
              <w:rPr>
                <w:sz w:val="19"/>
                <w:szCs w:val="19"/>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20" w:type="dxa"/>
            <w:vAlign w:val="bottom"/>
          </w:tcPr>
          <w:p>
            <w:pPr>
              <w:spacing w:after="0"/>
              <w:rPr>
                <w:sz w:val="19"/>
                <w:szCs w:val="19"/>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20" w:type="dxa"/>
            <w:vAlign w:val="bottom"/>
          </w:tcPr>
          <w:p>
            <w:pPr>
              <w:spacing w:after="0"/>
              <w:rPr>
                <w:sz w:val="19"/>
                <w:szCs w:val="19"/>
                <w:color w:val="auto"/>
              </w:rPr>
            </w:pPr>
          </w:p>
        </w:tc>
      </w:tr>
      <w:tr>
        <w:trPr>
          <w:trHeight w:val="228"/>
        </w:trPr>
        <w:tc>
          <w:tcPr>
            <w:tcW w:w="3720" w:type="dxa"/>
            <w:vAlign w:val="bottom"/>
            <w:tcBorders>
              <w:bottom w:val="single" w:sz="8" w:color="DEDEDE"/>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60" w:type="dxa"/>
            <w:vAlign w:val="bottom"/>
            <w:tcBorders>
              <w:top w:val="single" w:sz="8" w:color="auto"/>
              <w:bottom w:val="single" w:sz="8" w:color="DEDEDE"/>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60" w:type="dxa"/>
            <w:vAlign w:val="bottom"/>
            <w:tcBorders>
              <w:bottom w:val="single" w:sz="8" w:color="DEDEDE"/>
            </w:tcBorders>
          </w:tcPr>
          <w:p>
            <w:pPr>
              <w:spacing w:after="0"/>
              <w:rPr>
                <w:sz w:val="19"/>
                <w:szCs w:val="19"/>
                <w:color w:val="auto"/>
              </w:rPr>
            </w:pPr>
          </w:p>
        </w:tc>
        <w:tc>
          <w:tcPr>
            <w:tcW w:w="9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60" w:type="dxa"/>
            <w:vAlign w:val="bottom"/>
            <w:tcBorders>
              <w:top w:val="single" w:sz="8" w:color="auto"/>
              <w:bottom w:val="single" w:sz="8" w:color="DEDEDE"/>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60" w:type="dxa"/>
            <w:vAlign w:val="bottom"/>
            <w:tcBorders>
              <w:bottom w:val="single" w:sz="8" w:color="DEDEDE"/>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60" w:type="dxa"/>
            <w:vAlign w:val="bottom"/>
            <w:tcBorders>
              <w:top w:val="single" w:sz="8" w:color="auto"/>
              <w:bottom w:val="single" w:sz="8" w:color="DEDEDE"/>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Class B</w:t>
            </w:r>
          </w:p>
        </w:tc>
      </w:tr>
      <w:tr>
        <w:trPr>
          <w:trHeight w:val="267"/>
        </w:trPr>
        <w:tc>
          <w:tcPr>
            <w:tcW w:w="372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Outstanding stock options</w:t>
            </w: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109,441</w:t>
            </w:r>
          </w:p>
        </w:tc>
        <w:tc>
          <w:tcPr>
            <w:tcW w:w="60" w:type="dxa"/>
            <w:vAlign w:val="bottom"/>
            <w:shd w:val="clear" w:color="auto" w:fill="DEDEDE"/>
          </w:tcPr>
          <w:p>
            <w:pPr>
              <w:spacing w:after="0"/>
              <w:rPr>
                <w:sz w:val="23"/>
                <w:szCs w:val="23"/>
                <w:color w:val="auto"/>
              </w:rPr>
            </w:pPr>
          </w:p>
        </w:tc>
        <w:tc>
          <w:tcPr>
            <w:tcW w:w="200" w:type="dxa"/>
            <w:vAlign w:val="bottom"/>
            <w:shd w:val="clear" w:color="auto" w:fill="DEDEDE"/>
          </w:tcPr>
          <w:p>
            <w:pPr>
              <w:spacing w:after="0"/>
              <w:rPr>
                <w:sz w:val="23"/>
                <w:szCs w:val="23"/>
                <w:color w:val="auto"/>
              </w:rPr>
            </w:pPr>
          </w:p>
        </w:tc>
        <w:tc>
          <w:tcPr>
            <w:tcW w:w="800" w:type="dxa"/>
            <w:vAlign w:val="bottom"/>
            <w:shd w:val="clear" w:color="auto" w:fill="DEDEDE"/>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88,019</w:t>
            </w:r>
          </w:p>
        </w:tc>
        <w:tc>
          <w:tcPr>
            <w:tcW w:w="60" w:type="dxa"/>
            <w:vAlign w:val="bottom"/>
            <w:shd w:val="clear" w:color="auto" w:fill="DEDEDE"/>
          </w:tcPr>
          <w:p>
            <w:pPr>
              <w:spacing w:after="0"/>
              <w:rPr>
                <w:sz w:val="23"/>
                <w:szCs w:val="23"/>
                <w:color w:val="auto"/>
              </w:rPr>
            </w:pPr>
          </w:p>
        </w:tc>
        <w:tc>
          <w:tcPr>
            <w:tcW w:w="200" w:type="dxa"/>
            <w:vAlign w:val="bottom"/>
            <w:shd w:val="clear" w:color="auto" w:fill="DEDEDE"/>
          </w:tcPr>
          <w:p>
            <w:pPr>
              <w:spacing w:after="0"/>
              <w:rPr>
                <w:sz w:val="23"/>
                <w:szCs w:val="23"/>
                <w:color w:val="auto"/>
              </w:rPr>
            </w:pPr>
          </w:p>
        </w:tc>
        <w:tc>
          <w:tcPr>
            <w:tcW w:w="820" w:type="dxa"/>
            <w:vAlign w:val="bottom"/>
            <w:shd w:val="clear" w:color="auto" w:fill="DEDEDE"/>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DEDEDE"/>
          </w:tcPr>
          <w:p>
            <w:pPr>
              <w:spacing w:after="0"/>
              <w:rPr>
                <w:sz w:val="23"/>
                <w:szCs w:val="23"/>
                <w:color w:val="auto"/>
              </w:rPr>
            </w:pPr>
          </w:p>
        </w:tc>
        <w:tc>
          <w:tcPr>
            <w:tcW w:w="1240" w:type="dxa"/>
            <w:vAlign w:val="bottom"/>
            <w:gridSpan w:val="3"/>
            <w:shd w:val="clear" w:color="auto" w:fill="DEDEDE"/>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DEDEDE"/>
          </w:tcPr>
          <w:p>
            <w:pPr>
              <w:ind w:left="580"/>
              <w:spacing w:after="0"/>
              <w:rPr>
                <w:sz w:val="20"/>
                <w:szCs w:val="20"/>
                <w:color w:val="auto"/>
              </w:rPr>
            </w:pPr>
            <w:r>
              <w:rPr>
                <w:rFonts w:ascii="Times New Roman" w:cs="Times New Roman" w:eastAsia="Times New Roman" w:hAnsi="Times New Roman"/>
                <w:sz w:val="17"/>
                <w:szCs w:val="17"/>
                <w:color w:val="auto"/>
              </w:rPr>
              <w:t>—</w:t>
            </w:r>
          </w:p>
        </w:tc>
      </w:tr>
      <w:tr>
        <w:trPr>
          <w:trHeight w:val="269"/>
        </w:trPr>
        <w:tc>
          <w:tcPr>
            <w:tcW w:w="3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Unvested RSUs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9,124,205</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9,228,633</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1,015,860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r>
      <w:tr>
        <w:trPr>
          <w:trHeight w:val="274"/>
        </w:trPr>
        <w:tc>
          <w:tcPr>
            <w:tcW w:w="3720" w:type="dxa"/>
            <w:vAlign w:val="bottom"/>
            <w:tcBorders>
              <w:bottom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17"/>
                <w:szCs w:val="17"/>
                <w:color w:val="auto"/>
              </w:rPr>
              <w:t>Purchase rights committed under the ESPP</w:t>
            </w: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1,789,166</w:t>
            </w:r>
          </w:p>
        </w:tc>
        <w:tc>
          <w:tcPr>
            <w:tcW w:w="60" w:type="dxa"/>
            <w:vAlign w:val="bottom"/>
            <w:tcBorders>
              <w:bottom w:val="single" w:sz="8" w:color="DEDEDE"/>
            </w:tcBorders>
            <w:shd w:val="clear" w:color="auto" w:fill="DEDEDE"/>
          </w:tcPr>
          <w:p>
            <w:pPr>
              <w:spacing w:after="0"/>
              <w:rPr>
                <w:sz w:val="23"/>
                <w:szCs w:val="23"/>
                <w:color w:val="auto"/>
              </w:rPr>
            </w:pPr>
          </w:p>
        </w:tc>
        <w:tc>
          <w:tcPr>
            <w:tcW w:w="200" w:type="dxa"/>
            <w:vAlign w:val="bottom"/>
            <w:tcBorders>
              <w:bottom w:val="single" w:sz="8" w:color="auto"/>
            </w:tcBorders>
            <w:shd w:val="clear" w:color="auto" w:fill="DEDEDE"/>
          </w:tcPr>
          <w:p>
            <w:pPr>
              <w:spacing w:after="0"/>
              <w:rPr>
                <w:sz w:val="23"/>
                <w:szCs w:val="23"/>
                <w:color w:val="auto"/>
              </w:rPr>
            </w:pPr>
          </w:p>
        </w:tc>
        <w:tc>
          <w:tcPr>
            <w:tcW w:w="800" w:type="dxa"/>
            <w:vAlign w:val="bottom"/>
            <w:tcBorders>
              <w:bottom w:val="single" w:sz="8" w:color="auto"/>
            </w:tcBorders>
            <w:shd w:val="clear" w:color="auto" w:fill="DEDEDE"/>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DEDEDE"/>
            </w:tcBorders>
            <w:shd w:val="clear" w:color="auto" w:fill="DEDEDE"/>
          </w:tcPr>
          <w:p>
            <w:pPr>
              <w:spacing w:after="0"/>
              <w:rPr>
                <w:sz w:val="23"/>
                <w:szCs w:val="23"/>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1,674,853</w:t>
            </w:r>
          </w:p>
        </w:tc>
        <w:tc>
          <w:tcPr>
            <w:tcW w:w="60" w:type="dxa"/>
            <w:vAlign w:val="bottom"/>
            <w:tcBorders>
              <w:bottom w:val="single" w:sz="8" w:color="DEDEDE"/>
            </w:tcBorders>
            <w:shd w:val="clear" w:color="auto" w:fill="DEDEDE"/>
          </w:tcPr>
          <w:p>
            <w:pPr>
              <w:spacing w:after="0"/>
              <w:rPr>
                <w:sz w:val="23"/>
                <w:szCs w:val="23"/>
                <w:color w:val="auto"/>
              </w:rPr>
            </w:pPr>
          </w:p>
        </w:tc>
        <w:tc>
          <w:tcPr>
            <w:tcW w:w="200" w:type="dxa"/>
            <w:vAlign w:val="bottom"/>
            <w:tcBorders>
              <w:bottom w:val="single" w:sz="8" w:color="auto"/>
            </w:tcBorders>
            <w:shd w:val="clear" w:color="auto" w:fill="DEDEDE"/>
          </w:tcPr>
          <w:p>
            <w:pPr>
              <w:spacing w:after="0"/>
              <w:rPr>
                <w:sz w:val="23"/>
                <w:szCs w:val="23"/>
                <w:color w:val="auto"/>
              </w:rPr>
            </w:pPr>
          </w:p>
        </w:tc>
        <w:tc>
          <w:tcPr>
            <w:tcW w:w="820" w:type="dxa"/>
            <w:vAlign w:val="bottom"/>
            <w:tcBorders>
              <w:bottom w:val="single" w:sz="8" w:color="auto"/>
            </w:tcBorders>
            <w:shd w:val="clear" w:color="auto" w:fill="DEDEDE"/>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DEDEDE"/>
            </w:tcBorders>
            <w:shd w:val="clear" w:color="auto" w:fill="DEDEDE"/>
          </w:tcPr>
          <w:p>
            <w:pPr>
              <w:spacing w:after="0"/>
              <w:rPr>
                <w:sz w:val="23"/>
                <w:szCs w:val="23"/>
                <w:color w:val="auto"/>
              </w:rPr>
            </w:pPr>
          </w:p>
        </w:tc>
        <w:tc>
          <w:tcPr>
            <w:tcW w:w="10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241,107</w:t>
            </w:r>
          </w:p>
        </w:tc>
        <w:tc>
          <w:tcPr>
            <w:tcW w:w="60" w:type="dxa"/>
            <w:vAlign w:val="bottom"/>
            <w:tcBorders>
              <w:bottom w:val="single" w:sz="8" w:color="DEDEDE"/>
            </w:tcBorders>
            <w:shd w:val="clear" w:color="auto" w:fill="DEDEDE"/>
          </w:tcPr>
          <w:p>
            <w:pPr>
              <w:spacing w:after="0"/>
              <w:rPr>
                <w:sz w:val="23"/>
                <w:szCs w:val="23"/>
                <w:color w:val="auto"/>
              </w:rPr>
            </w:pPr>
          </w:p>
        </w:tc>
        <w:tc>
          <w:tcPr>
            <w:tcW w:w="180" w:type="dxa"/>
            <w:vAlign w:val="bottom"/>
            <w:tcBorders>
              <w:bottom w:val="single" w:sz="8" w:color="auto"/>
            </w:tcBorders>
            <w:shd w:val="clear" w:color="auto" w:fill="DEDEDE"/>
          </w:tcPr>
          <w:p>
            <w:pPr>
              <w:spacing w:after="0"/>
              <w:rPr>
                <w:sz w:val="23"/>
                <w:szCs w:val="23"/>
                <w:color w:val="auto"/>
              </w:rPr>
            </w:pPr>
          </w:p>
        </w:tc>
        <w:tc>
          <w:tcPr>
            <w:tcW w:w="820" w:type="dxa"/>
            <w:vAlign w:val="bottom"/>
            <w:tcBorders>
              <w:bottom w:val="single" w:sz="8" w:color="auto"/>
            </w:tcBorders>
            <w:shd w:val="clear" w:color="auto" w:fill="DEDEDE"/>
          </w:tcPr>
          <w:p>
            <w:pPr>
              <w:ind w:left="580"/>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37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11,022,812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10,991,505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1,256,967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-43180</wp:posOffset>
            </wp:positionV>
            <wp:extent cx="3991610" cy="501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9">
                      <a:extLst>
                        <a:ext uri="{28A0092B-C50C-407E-A947-70E740481C1C}"/>
                      </a:extLst>
                    </a:blip>
                    <a:srcRect/>
                    <a:stretch>
                      <a:fillRect/>
                    </a:stretch>
                  </pic:blipFill>
                  <pic:spPr bwMode="auto">
                    <a:xfrm>
                      <a:off x="0" y="0"/>
                      <a:ext cx="3991610" cy="50165"/>
                    </a:xfrm>
                    <a:prstGeom prst="rect">
                      <a:avLst/>
                    </a:prstGeom>
                    <a:noFill/>
                  </pic:spPr>
                </pic:pic>
              </a:graphicData>
            </a:graphic>
          </wp:anchor>
        </w:drawing>
      </w:r>
    </w:p>
    <w:p>
      <w:pPr>
        <w:spacing w:after="0" w:line="220"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For the years ended January 31, 2024, 2023, and 2022, the table above does not include 405,156 of issued Class A common stock held by us that are reserved for the sole purpose of being transferred to nonprofit organizations.</w:t>
      </w:r>
    </w:p>
    <w:p>
      <w:pPr>
        <w:spacing w:after="0" w:line="157" w:lineRule="exact"/>
        <w:rPr>
          <w:sz w:val="20"/>
          <w:szCs w:val="20"/>
          <w:color w:val="auto"/>
        </w:rPr>
      </w:pPr>
    </w:p>
    <w:p>
      <w:pPr>
        <w:ind w:left="700" w:hanging="699"/>
        <w:spacing w:after="0"/>
        <w:tabs>
          <w:tab w:leader="none" w:pos="700" w:val="left"/>
        </w:tabs>
        <w:numPr>
          <w:ilvl w:val="0"/>
          <w:numId w:val="4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Subsequent Events</w:t>
      </w:r>
    </w:p>
    <w:p>
      <w:pPr>
        <w:spacing w:after="0" w:line="138" w:lineRule="exact"/>
        <w:rPr>
          <w:sz w:val="20"/>
          <w:szCs w:val="20"/>
          <w:color w:val="auto"/>
        </w:rPr>
      </w:pPr>
    </w:p>
    <w:p>
      <w:pPr>
        <w:ind w:firstLine="524"/>
        <w:spacing w:after="0" w:line="294" w:lineRule="auto"/>
        <w:rPr>
          <w:sz w:val="20"/>
          <w:szCs w:val="20"/>
          <w:color w:val="auto"/>
        </w:rPr>
      </w:pPr>
      <w:r>
        <w:rPr>
          <w:rFonts w:ascii="Times New Roman" w:cs="Times New Roman" w:eastAsia="Times New Roman" w:hAnsi="Times New Roman"/>
          <w:sz w:val="19"/>
          <w:szCs w:val="19"/>
          <w:color w:val="auto"/>
        </w:rPr>
        <w:t>We have evaluated subsequent events from the balance sheet date through March 1, 2024, the date at which the consolidated financial statements were available to be issued.</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98</w:t>
      </w:r>
    </w:p>
    <w:p>
      <w:pPr>
        <w:sectPr>
          <w:pgSz w:w="11880" w:h="15480" w:orient="portrait"/>
          <w:cols w:equalWidth="0" w:num="1">
            <w:col w:w="9960"/>
          </w:cols>
          <w:pgMar w:left="960" w:top="821" w:right="960" w:bottom="0" w:gutter="0" w:footer="0" w:header="0"/>
          <w:type w:val="continuous"/>
        </w:sectPr>
      </w:pPr>
    </w:p>
    <w:bookmarkStart w:id="102" w:name="page103"/>
    <w:bookmarkEnd w:id="102"/>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In February 2024, our Board of Directors authorized a stock repurchase program of up to $1.5 billion of our Class A common stock. Repurchases of our Class A common stock may be effected, from time to time, either on the open market (including pre-set trading plans), in privately negotiated transactions, and other transactions in accordance with applicable securities laws.</w:t>
      </w:r>
    </w:p>
    <w:p>
      <w:pPr>
        <w:spacing w:after="0" w:line="72"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 As of March 1, 2024, there have been no repurchases made.</w:t>
      </w:r>
    </w:p>
    <w:p>
      <w:pPr>
        <w:spacing w:after="0" w:line="185"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9A. 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Evaluation of Disclosure Controls and Procedures</w:t>
      </w:r>
    </w:p>
    <w:p>
      <w:pPr>
        <w:spacing w:after="0" w:line="138"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138"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Our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criteria established in Internal Control – Integrated Framework (2013) issued by the Committee of Sponsoring Organizations of the Treadway Commission. Management has concluded that its internal control over financial reporting was effective as of January 31, 2024 to provide reasonable assurance regarding the reliability of financial reporting and the preparation of financial statements in accordance with U.S. GAAP.</w:t>
      </w:r>
    </w:p>
    <w:p>
      <w:pPr>
        <w:spacing w:after="0" w:line="78"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The effectiveness of our internal control over financial reporting as of January 31, 2024 has been audited by KPMG LLP, an independent registered public accounting firm, as stated in their report, which is included in Item 8 of this Annual Report on Form 10-K.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Changes in Internal Control Over Financial Reporting</w:t>
      </w:r>
    </w:p>
    <w:p>
      <w:pPr>
        <w:spacing w:after="0" w:line="138"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There has been no change in our internal control over financial reporting (as defined in Rules 13a-15(d) and 15d-15(d) under the Exchange Act) that occurred during the quarter ended January 31, 2024 that has materially affected, or is reasonably likely to materially affect, our internal control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Inherent Limitations on Effectiveness of Disclosure Controls and Procedures</w:t>
      </w:r>
    </w:p>
    <w:p>
      <w:pPr>
        <w:spacing w:after="0" w:line="138" w:lineRule="exact"/>
        <w:rPr>
          <w:sz w:val="20"/>
          <w:szCs w:val="20"/>
          <w:color w:val="auto"/>
        </w:rPr>
      </w:pPr>
    </w:p>
    <w:p>
      <w:pPr>
        <w:jc w:val="both"/>
        <w:ind w:firstLine="524"/>
        <w:spacing w:after="0" w:line="259" w:lineRule="auto"/>
        <w:rPr>
          <w:sz w:val="20"/>
          <w:szCs w:val="20"/>
          <w:color w:val="auto"/>
        </w:rPr>
      </w:pPr>
      <w:r>
        <w:rPr>
          <w:rFonts w:ascii="Times New Roman" w:cs="Times New Roman" w:eastAsia="Times New Roman" w:hAnsi="Times New Roman"/>
          <w:sz w:val="19"/>
          <w:szCs w:val="19"/>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99</w:t>
      </w:r>
    </w:p>
    <w:p>
      <w:pPr>
        <w:sectPr>
          <w:pgSz w:w="11880" w:h="15480" w:orient="portrait"/>
          <w:cols w:equalWidth="0" w:num="1">
            <w:col w:w="9960"/>
          </w:cols>
          <w:pgMar w:left="960" w:top="821" w:right="96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9"/>
          <w:szCs w:val="19"/>
          <w:b w:val="1"/>
          <w:bCs w:val="1"/>
          <w:color w:val="auto"/>
        </w:rPr>
        <w:t>Item 9B. OTHER INFORMATION</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Trading Arrangements</w:t>
      </w:r>
    </w:p>
    <w:p>
      <w:pPr>
        <w:spacing w:after="0" w:line="109" w:lineRule="exact"/>
        <w:rPr>
          <w:sz w:val="20"/>
          <w:szCs w:val="20"/>
          <w:color w:val="auto"/>
        </w:rPr>
      </w:pPr>
    </w:p>
    <w:p>
      <w:pPr>
        <w:jc w:val="both"/>
        <w:ind w:firstLine="524"/>
        <w:spacing w:after="0" w:line="247" w:lineRule="auto"/>
        <w:rPr>
          <w:sz w:val="20"/>
          <w:szCs w:val="20"/>
          <w:color w:val="auto"/>
        </w:rPr>
      </w:pPr>
      <w:r>
        <w:rPr>
          <w:rFonts w:ascii="Times New Roman" w:cs="Times New Roman" w:eastAsia="Times New Roman" w:hAnsi="Times New Roman"/>
          <w:sz w:val="19"/>
          <w:szCs w:val="19"/>
          <w:color w:val="auto"/>
        </w:rPr>
        <w:t>During the Company’s last fiscal quarter, the Company’s directors and officers (as defined in Rule 16a-1(f) under the Exchange Act) adopted or terminated the contracts, instructions or written plans for the purchase or sale of the Company’s securities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6336030" cy="2323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0">
                      <a:extLst>
                        <a:ext uri="{28A0092B-C50C-407E-A947-70E740481C1C}"/>
                      </a:extLst>
                    </a:blip>
                    <a:srcRect/>
                    <a:stretch>
                      <a:fillRect/>
                    </a:stretch>
                  </pic:blipFill>
                  <pic:spPr bwMode="auto">
                    <a:xfrm>
                      <a:off x="0" y="0"/>
                      <a:ext cx="6336030" cy="232346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2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280" w:type="dxa"/>
            <w:vAlign w:val="bottom"/>
            <w:tcBorders>
              <w:top w:val="single" w:sz="8" w:color="auto"/>
              <w:right w:val="single" w:sz="8" w:color="auto"/>
            </w:tcBorders>
          </w:tcPr>
          <w:p>
            <w:pPr>
              <w:spacing w:after="0"/>
              <w:rPr>
                <w:sz w:val="20"/>
                <w:szCs w:val="20"/>
                <w:color w:val="auto"/>
              </w:rPr>
            </w:pPr>
          </w:p>
        </w:tc>
        <w:tc>
          <w:tcPr>
            <w:tcW w:w="188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rPr>
              <w:t>Type of Trading</w:t>
            </w:r>
          </w:p>
        </w:tc>
        <w:tc>
          <w:tcPr>
            <w:tcW w:w="134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2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rPr>
              <w:t>Arrangement</w:t>
            </w:r>
          </w:p>
        </w:tc>
        <w:tc>
          <w:tcPr>
            <w:tcW w:w="13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32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3220" w:type="dxa"/>
            <w:vAlign w:val="bottom"/>
            <w:tcBorders>
              <w:right w:val="single" w:sz="8" w:color="auto"/>
            </w:tcBorders>
          </w:tcPr>
          <w:p>
            <w:pPr>
              <w:ind w:left="820"/>
              <w:spacing w:after="0" w:line="213" w:lineRule="exact"/>
              <w:rPr>
                <w:sz w:val="20"/>
                <w:szCs w:val="20"/>
                <w:color w:val="auto"/>
              </w:rPr>
            </w:pPr>
            <w:r>
              <w:rPr>
                <w:rFonts w:ascii="Times New Roman" w:cs="Times New Roman" w:eastAsia="Times New Roman" w:hAnsi="Times New Roman"/>
                <w:sz w:val="19"/>
                <w:szCs w:val="19"/>
                <w:b w:val="1"/>
                <w:bCs w:val="1"/>
                <w:color w:val="auto"/>
              </w:rPr>
              <w:t>Name and Position</w:t>
            </w:r>
          </w:p>
        </w:tc>
        <w:tc>
          <w:tcPr>
            <w:tcW w:w="112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19"/>
                <w:szCs w:val="19"/>
                <w:b w:val="1"/>
                <w:bCs w:val="1"/>
                <w:color w:val="auto"/>
              </w:rPr>
              <w:t>Action</w:t>
            </w:r>
          </w:p>
        </w:tc>
        <w:tc>
          <w:tcPr>
            <w:tcW w:w="128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19"/>
                <w:szCs w:val="19"/>
                <w:b w:val="1"/>
                <w:bCs w:val="1"/>
                <w:color w:val="auto"/>
              </w:rPr>
              <w:t>Adoption/</w:t>
            </w:r>
          </w:p>
        </w:tc>
        <w:tc>
          <w:tcPr>
            <w:tcW w:w="92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19"/>
                <w:szCs w:val="19"/>
                <w:b w:val="1"/>
                <w:bCs w:val="1"/>
                <w:color w:val="auto"/>
                <w:w w:val="99"/>
              </w:rPr>
              <w:t>Rule</w:t>
            </w:r>
          </w:p>
        </w:tc>
        <w:tc>
          <w:tcPr>
            <w:tcW w:w="96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19"/>
                <w:szCs w:val="19"/>
                <w:b w:val="1"/>
                <w:bCs w:val="1"/>
                <w:color w:val="auto"/>
              </w:rPr>
              <w:t>Non-</w:t>
            </w:r>
          </w:p>
        </w:tc>
        <w:tc>
          <w:tcPr>
            <w:tcW w:w="134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19"/>
                <w:szCs w:val="19"/>
                <w:b w:val="1"/>
                <w:bCs w:val="1"/>
                <w:color w:val="auto"/>
              </w:rPr>
              <w:t>Total Shares</w:t>
            </w: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9"/>
                <w:szCs w:val="19"/>
                <w:b w:val="1"/>
                <w:bCs w:val="1"/>
                <w:color w:val="auto"/>
              </w:rPr>
              <w:t>Expiration</w:t>
            </w:r>
          </w:p>
        </w:tc>
        <w:tc>
          <w:tcPr>
            <w:tcW w:w="0" w:type="dxa"/>
            <w:vAlign w:val="bottom"/>
          </w:tcPr>
          <w:p>
            <w:pPr>
              <w:spacing w:after="0"/>
              <w:rPr>
                <w:sz w:val="1"/>
                <w:szCs w:val="1"/>
                <w:color w:val="auto"/>
              </w:rPr>
            </w:pPr>
          </w:p>
        </w:tc>
      </w:tr>
      <w:tr>
        <w:trPr>
          <w:trHeight w:val="217"/>
        </w:trPr>
        <w:tc>
          <w:tcPr>
            <w:tcW w:w="32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19"/>
                <w:szCs w:val="19"/>
                <w:b w:val="1"/>
                <w:bCs w:val="1"/>
                <w:color w:val="auto"/>
              </w:rPr>
              <w:t>Termination</w:t>
            </w:r>
          </w:p>
        </w:tc>
        <w:tc>
          <w:tcPr>
            <w:tcW w:w="92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19"/>
                <w:szCs w:val="19"/>
                <w:b w:val="1"/>
                <w:bCs w:val="1"/>
                <w:color w:val="auto"/>
              </w:rPr>
              <w:t>10b5-1*</w:t>
            </w:r>
          </w:p>
        </w:tc>
        <w:tc>
          <w:tcPr>
            <w:tcW w:w="96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19"/>
                <w:szCs w:val="19"/>
                <w:b w:val="1"/>
                <w:bCs w:val="1"/>
                <w:color w:val="auto"/>
                <w:w w:val="99"/>
              </w:rPr>
              <w:t>Rule</w:t>
            </w:r>
          </w:p>
        </w:tc>
        <w:tc>
          <w:tcPr>
            <w:tcW w:w="134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19"/>
                <w:szCs w:val="19"/>
                <w:b w:val="1"/>
                <w:bCs w:val="1"/>
                <w:color w:val="auto"/>
              </w:rPr>
              <w:t>of Class A</w:t>
            </w:r>
          </w:p>
        </w:tc>
        <w:tc>
          <w:tcPr>
            <w:tcW w:w="112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b w:val="1"/>
                <w:bCs w:val="1"/>
                <w:color w:val="auto"/>
                <w:w w:val="99"/>
              </w:rPr>
              <w:t>Date</w:t>
            </w:r>
          </w:p>
        </w:tc>
        <w:tc>
          <w:tcPr>
            <w:tcW w:w="0" w:type="dxa"/>
            <w:vAlign w:val="bottom"/>
          </w:tcPr>
          <w:p>
            <w:pPr>
              <w:spacing w:after="0"/>
              <w:rPr>
                <w:sz w:val="1"/>
                <w:szCs w:val="1"/>
                <w:color w:val="auto"/>
              </w:rPr>
            </w:pPr>
          </w:p>
        </w:tc>
      </w:tr>
      <w:tr>
        <w:trPr>
          <w:trHeight w:val="217"/>
        </w:trPr>
        <w:tc>
          <w:tcPr>
            <w:tcW w:w="32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19"/>
                <w:szCs w:val="19"/>
                <w:b w:val="1"/>
                <w:bCs w:val="1"/>
                <w:color w:val="auto"/>
                <w:w w:val="99"/>
              </w:rPr>
              <w:t>Date</w:t>
            </w:r>
          </w:p>
        </w:tc>
        <w:tc>
          <w:tcPr>
            <w:tcW w:w="9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19"/>
                <w:szCs w:val="19"/>
                <w:b w:val="1"/>
                <w:bCs w:val="1"/>
                <w:color w:val="auto"/>
              </w:rPr>
              <w:t>10b5-1**</w:t>
            </w:r>
          </w:p>
        </w:tc>
        <w:tc>
          <w:tcPr>
            <w:tcW w:w="134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19"/>
                <w:szCs w:val="19"/>
                <w:b w:val="1"/>
                <w:bCs w:val="1"/>
                <w:color w:val="auto"/>
              </w:rPr>
              <w:t>Common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19"/>
                <w:szCs w:val="19"/>
                <w:b w:val="1"/>
                <w:bCs w:val="1"/>
                <w:color w:val="auto"/>
              </w:rPr>
              <w:t>Stock to be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2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Sold***</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3"/>
        </w:trPr>
        <w:tc>
          <w:tcPr>
            <w:tcW w:w="3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Kelly Steckelberg, Chief Financial</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Adoption</w:t>
            </w:r>
          </w:p>
        </w:tc>
        <w:tc>
          <w:tcPr>
            <w:tcW w:w="12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11/24/2023</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X</w:t>
            </w:r>
          </w:p>
        </w:tc>
        <w:tc>
          <w:tcPr>
            <w:tcW w:w="96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Up to 241,100</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03/05/2025</w:t>
            </w:r>
          </w:p>
        </w:tc>
        <w:tc>
          <w:tcPr>
            <w:tcW w:w="0" w:type="dxa"/>
            <w:vAlign w:val="bottom"/>
          </w:tcPr>
          <w:p>
            <w:pPr>
              <w:spacing w:after="0"/>
              <w:rPr>
                <w:sz w:val="1"/>
                <w:szCs w:val="1"/>
                <w:color w:val="auto"/>
              </w:rPr>
            </w:pPr>
          </w:p>
        </w:tc>
      </w:tr>
      <w:tr>
        <w:trPr>
          <w:trHeight w:val="255"/>
        </w:trPr>
        <w:tc>
          <w:tcPr>
            <w:tcW w:w="3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Officer</w:t>
            </w:r>
          </w:p>
        </w:tc>
        <w:tc>
          <w:tcPr>
            <w:tcW w:w="1120" w:type="dxa"/>
            <w:vAlign w:val="bottom"/>
            <w:tcBorders>
              <w:bottom w:val="single" w:sz="8" w:color="auto"/>
              <w:right w:val="single" w:sz="8" w:color="auto"/>
            </w:tcBorders>
            <w:vMerge w:val="continue"/>
          </w:tcPr>
          <w:p>
            <w:pPr>
              <w:spacing w:after="0"/>
              <w:rPr>
                <w:sz w:val="22"/>
                <w:szCs w:val="22"/>
                <w:color w:val="auto"/>
              </w:rPr>
            </w:pPr>
          </w:p>
        </w:tc>
        <w:tc>
          <w:tcPr>
            <w:tcW w:w="1280" w:type="dxa"/>
            <w:vAlign w:val="bottom"/>
            <w:tcBorders>
              <w:bottom w:val="single" w:sz="8" w:color="auto"/>
              <w:right w:val="single" w:sz="8" w:color="auto"/>
            </w:tcBorders>
            <w:vMerge w:val="continue"/>
          </w:tcPr>
          <w:p>
            <w:pPr>
              <w:spacing w:after="0"/>
              <w:rPr>
                <w:sz w:val="22"/>
                <w:szCs w:val="22"/>
                <w:color w:val="auto"/>
              </w:rPr>
            </w:pPr>
          </w:p>
        </w:tc>
        <w:tc>
          <w:tcPr>
            <w:tcW w:w="920" w:type="dxa"/>
            <w:vAlign w:val="bottom"/>
            <w:tcBorders>
              <w:bottom w:val="single" w:sz="8" w:color="auto"/>
              <w:right w:val="single" w:sz="8" w:color="auto"/>
            </w:tcBorders>
            <w:vMerge w:val="continue"/>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1340" w:type="dxa"/>
            <w:vAlign w:val="bottom"/>
            <w:tcBorders>
              <w:bottom w:val="single" w:sz="8" w:color="auto"/>
              <w:right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60" w:right="600"/>
        <w:spacing w:after="0" w:line="277" w:lineRule="auto"/>
        <w:rPr>
          <w:sz w:val="20"/>
          <w:szCs w:val="20"/>
          <w:color w:val="auto"/>
        </w:rPr>
      </w:pPr>
      <w:r>
        <w:rPr>
          <w:rFonts w:ascii="Times New Roman" w:cs="Times New Roman" w:eastAsia="Times New Roman" w:hAnsi="Times New Roman"/>
          <w:sz w:val="19"/>
          <w:szCs w:val="19"/>
          <w:color w:val="auto"/>
        </w:rPr>
        <w:t>* Contract, instruction or written plan intended to satisfy the affirmative defense conditions of Rule 10b5-1(c) under the Exchange Act.</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“Non-Rule 10b5-1 trading arrangement” as defined in Item 408(c) of Regulation S-K under the Exchange Act.</w:t>
      </w:r>
    </w:p>
    <w:p>
      <w:pPr>
        <w:spacing w:after="0" w:line="73" w:lineRule="exact"/>
        <w:rPr>
          <w:sz w:val="20"/>
          <w:szCs w:val="20"/>
          <w:color w:val="auto"/>
        </w:rPr>
      </w:pPr>
    </w:p>
    <w:p>
      <w:pPr>
        <w:ind w:left="60" w:right="300"/>
        <w:spacing w:after="0" w:line="277" w:lineRule="auto"/>
        <w:rPr>
          <w:sz w:val="20"/>
          <w:szCs w:val="20"/>
          <w:color w:val="auto"/>
        </w:rPr>
      </w:pPr>
      <w:r>
        <w:rPr>
          <w:rFonts w:ascii="Times New Roman" w:cs="Times New Roman" w:eastAsia="Times New Roman" w:hAnsi="Times New Roman"/>
          <w:sz w:val="19"/>
          <w:szCs w:val="19"/>
          <w:color w:val="auto"/>
        </w:rPr>
        <w:t>*** Represents the maximum number of shares that may be sold pursuant to the 10b5-1 arrangement. The actual number of shares sold will be dependent on the satisfaction of certain conditions as set forth in the written plan.</w:t>
      </w:r>
    </w:p>
    <w:p>
      <w:pPr>
        <w:spacing w:after="0" w:line="328" w:lineRule="exact"/>
        <w:rPr>
          <w:sz w:val="20"/>
          <w:szCs w:val="20"/>
          <w:color w:val="auto"/>
        </w:rPr>
      </w:pPr>
    </w:p>
    <w:p>
      <w:pPr>
        <w:ind w:right="1220"/>
        <w:spacing w:after="0" w:line="319" w:lineRule="auto"/>
        <w:rPr>
          <w:sz w:val="20"/>
          <w:szCs w:val="20"/>
          <w:color w:val="auto"/>
        </w:rPr>
      </w:pPr>
      <w:r>
        <w:rPr>
          <w:rFonts w:ascii="Times New Roman" w:cs="Times New Roman" w:eastAsia="Times New Roman" w:hAnsi="Times New Roman"/>
          <w:sz w:val="19"/>
          <w:szCs w:val="19"/>
          <w:b w:val="1"/>
          <w:bCs w:val="1"/>
          <w:color w:val="auto"/>
        </w:rPr>
        <w:t xml:space="preserve">Item 9C. DISCLOSURE REGARDING FOREIGN JURISDICTIONS THAT PREVENT INSPECTIONS </w:t>
      </w:r>
      <w:r>
        <w:rPr>
          <w:rFonts w:ascii="Times New Roman" w:cs="Times New Roman" w:eastAsia="Times New Roman" w:hAnsi="Times New Roman"/>
          <w:sz w:val="19"/>
          <w:szCs w:val="19"/>
          <w:color w:val="auto"/>
        </w:rPr>
        <w:t>Not applicable.</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10. DIRECTORS, EXECUTIVE OFFICERS, AND CORPORATE GOVERNANCE</w:t>
      </w:r>
    </w:p>
    <w:p>
      <w:pPr>
        <w:spacing w:after="0" w:line="138"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We maintain a Code of Business Conduct and Ethics that incorporates our code of ethics applicable to all employees, including all directors and executive officers. Our Code of Business Conduct and Ethics is published on our Investor Relations website at investors.zoom.us under “Corporate Governance.”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75"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The remaining information required by this item is incorporated by reference to the definitive Proxy Statement for our 2024 Annual Meeting of Stockholders, which will be filed with the SEC no later than 120 days after January 31,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11. EXECUTIVE COMPENSATION</w:t>
      </w:r>
    </w:p>
    <w:p>
      <w:pPr>
        <w:spacing w:after="0" w:line="138"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The information required by this item is incorporated by reference to the definitive Proxy Statement for our 2024 Annual Meeting of Stockholders, which will be filed with the SEC no later than 120 days after January 31, 2024.</w:t>
      </w:r>
    </w:p>
    <w:p>
      <w:pPr>
        <w:spacing w:after="0" w:line="15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color w:val="auto"/>
        </w:rPr>
        <w:t>Item 12. SECURITY OWNERSHIP OF CERTAIN BENEFICIAL OWNERS AND MANAGEMENT AND RELATED STOCKHOLDER MATTERS</w:t>
      </w:r>
    </w:p>
    <w:p>
      <w:pPr>
        <w:spacing w:after="0" w:line="47"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The information required by this item is incorporated by reference to the definitive Proxy Statement for our 2024 Annual Meeting of Stockholders, which will be filed with the SEC no later than 120 days after January 31,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13. CERTAIN RELATIONSHIPS AND RELATED TRANSACTIONS, AND DIRECTOR INDEPENDENCE</w:t>
      </w:r>
    </w:p>
    <w:p>
      <w:pPr>
        <w:spacing w:after="0" w:line="138"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The information required by this item is incorporated by reference to the definitive Proxy Statement for our 2024 Annual Meeting of Stockholders, which will be filed with the SEC no later than 120 days after January 31,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14. PRINCIPAL ACCOUNTANT FEES AND SERVICES</w:t>
      </w:r>
    </w:p>
    <w:p>
      <w:pPr>
        <w:spacing w:after="0" w:line="138"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The information required by this item is incorporated by reference to the definitive Proxy Statement for our 2024 Annual Meeting of Stockholders, which will be filed with the SEC no later than 120 days after January 31, 2024.</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IV</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880" w:h="15480" w:orient="portrait"/>
          <w:cols w:equalWidth="0" w:num="1">
            <w:col w:w="9960"/>
          </w:cols>
          <w:pgMar w:left="960" w:top="815" w:right="960" w:bottom="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9"/>
          <w:szCs w:val="19"/>
          <w:b w:val="1"/>
          <w:bCs w:val="1"/>
          <w:color w:val="auto"/>
        </w:rPr>
        <w:t>Item 15. EXHIBITS AND FINANCIAL STATEMENT SCHEDULES</w:t>
      </w:r>
    </w:p>
    <w:p>
      <w:pPr>
        <w:spacing w:after="0" w:line="138" w:lineRule="exact"/>
        <w:rPr>
          <w:sz w:val="20"/>
          <w:szCs w:val="20"/>
          <w:color w:val="auto"/>
        </w:rPr>
      </w:pPr>
    </w:p>
    <w:p>
      <w:pPr>
        <w:ind w:left="780" w:hanging="255"/>
        <w:spacing w:after="0"/>
        <w:tabs>
          <w:tab w:leader="none" w:pos="78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documents are filed as a part of this Annual Report on Form 10-K:</w:t>
      </w:r>
    </w:p>
    <w:p>
      <w:pPr>
        <w:spacing w:after="0" w:line="130" w:lineRule="exact"/>
        <w:rPr>
          <w:rFonts w:ascii="Times New Roman" w:cs="Times New Roman" w:eastAsia="Times New Roman" w:hAnsi="Times New Roman"/>
          <w:sz w:val="19"/>
          <w:szCs w:val="19"/>
          <w:color w:val="auto"/>
        </w:rPr>
      </w:pPr>
    </w:p>
    <w:p>
      <w:pPr>
        <w:ind w:left="5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 Consolidated Financial Statements:</w:t>
      </w:r>
    </w:p>
    <w:p>
      <w:pPr>
        <w:spacing w:after="0" w:line="131"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Our Consolidated Financial Statements are listed in the “Index to Consolidated Financial Statements” under Part II, Item 8 of this Annual Report on Form 10-K.</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(2) Financial Statement Schedules:</w:t>
      </w:r>
    </w:p>
    <w:p>
      <w:pPr>
        <w:spacing w:after="0" w:line="131"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Schedule II: Valuation and Qualifying Accounts is filed as part of this Annual Report on Form 10-K and should be read in conjunction with the Consolidated Financial Statements and Notes thereto.</w:t>
      </w:r>
    </w:p>
    <w:p>
      <w:pPr>
        <w:spacing w:after="0" w:line="47"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9"/>
          <w:szCs w:val="19"/>
          <w:color w:val="auto"/>
        </w:rPr>
        <w:t>Schedules not listed above have been omitted because the information required to be set forth therein is not applicable or is shown in the financial statements or notes herein.</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(3) Exhibits</w:t>
      </w:r>
    </w:p>
    <w:p>
      <w:pPr>
        <w:spacing w:after="0" w:line="131" w:lineRule="exact"/>
        <w:rPr>
          <w:sz w:val="20"/>
          <w:szCs w:val="20"/>
          <w:color w:val="auto"/>
        </w:rPr>
      </w:pPr>
    </w:p>
    <w:p>
      <w:pPr>
        <w:jc w:val="both"/>
        <w:ind w:firstLine="524"/>
        <w:spacing w:after="0" w:line="275" w:lineRule="auto"/>
        <w:rPr>
          <w:sz w:val="20"/>
          <w:szCs w:val="20"/>
          <w:color w:val="auto"/>
        </w:rPr>
      </w:pPr>
      <w:r>
        <w:rPr>
          <w:rFonts w:ascii="Times New Roman" w:cs="Times New Roman" w:eastAsia="Times New Roman" w:hAnsi="Times New Roman"/>
          <w:sz w:val="19"/>
          <w:szCs w:val="19"/>
          <w:color w:val="auto"/>
        </w:rPr>
        <w:t>The documents listed in the following Exhibit Index of this Annual Report on Form 10-K are incorporated by reference or are filed with this Annual Report on Form 10-K, in each case as indicated therein (numbered in accordance with Item 601 of Regulation S-K).</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color w:val="auto"/>
        </w:rPr>
        <w:t>Exhibits</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8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480" w:type="dxa"/>
            <w:vAlign w:val="bottom"/>
            <w:tcBorders>
              <w:bottom w:val="single" w:sz="8" w:color="auto"/>
            </w:tcBorders>
          </w:tcPr>
          <w:p>
            <w:pPr>
              <w:spacing w:after="0"/>
              <w:rPr>
                <w:sz w:val="18"/>
                <w:szCs w:val="18"/>
                <w:color w:val="auto"/>
              </w:rPr>
            </w:pPr>
          </w:p>
        </w:tc>
      </w:tr>
      <w:tr>
        <w:trPr>
          <w:trHeight w:val="225"/>
        </w:trPr>
        <w:tc>
          <w:tcPr>
            <w:tcW w:w="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860" w:type="dxa"/>
            <w:vAlign w:val="bottom"/>
          </w:tcPr>
          <w:p>
            <w:pPr>
              <w:ind w:left="134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1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36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30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193"/>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Amended and Restated Certificate of Incorporation of</w:t>
            </w: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001-38865</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3.1</w:t>
            </w:r>
          </w:p>
        </w:tc>
        <w:tc>
          <w:tcPr>
            <w:tcW w:w="1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April 23, 2019</w:t>
            </w:r>
          </w:p>
        </w:tc>
      </w:tr>
      <w:tr>
        <w:trPr>
          <w:trHeight w:val="202"/>
        </w:trPr>
        <w:tc>
          <w:tcPr>
            <w:tcW w:w="780" w:type="dxa"/>
            <w:vAlign w:val="bottom"/>
          </w:tcPr>
          <w:p>
            <w:pPr>
              <w:spacing w:after="0"/>
              <w:rPr>
                <w:sz w:val="17"/>
                <w:szCs w:val="17"/>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Zoom Video Communications, Inc.</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5"/>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Amended and Restated Bylaws of Zoom Video</w:t>
            </w: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10-K</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001-38865</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3.2</w:t>
            </w:r>
          </w:p>
        </w:tc>
        <w:tc>
          <w:tcPr>
            <w:tcW w:w="1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March 3, 2023</w:t>
            </w:r>
          </w:p>
        </w:tc>
      </w:tr>
      <w:tr>
        <w:trPr>
          <w:trHeight w:val="202"/>
        </w:trPr>
        <w:tc>
          <w:tcPr>
            <w:tcW w:w="780" w:type="dxa"/>
            <w:vAlign w:val="bottom"/>
          </w:tcPr>
          <w:p>
            <w:pPr>
              <w:spacing w:after="0"/>
              <w:rPr>
                <w:sz w:val="17"/>
                <w:szCs w:val="17"/>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Communications, Inc.</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1"/>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Form of Class A Common Stock Certificate</w:t>
            </w: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S-1/A</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333-230444</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4.1</w:t>
            </w:r>
          </w:p>
        </w:tc>
        <w:tc>
          <w:tcPr>
            <w:tcW w:w="1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April 8, 2019</w:t>
            </w:r>
          </w:p>
        </w:tc>
      </w:tr>
      <w:tr>
        <w:trPr>
          <w:trHeight w:val="202"/>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Third Amended and Restated Investors’ Rights</w:t>
            </w: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S-1</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333-230444</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4.2</w:t>
            </w:r>
          </w:p>
        </w:tc>
        <w:tc>
          <w:tcPr>
            <w:tcW w:w="1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March 22, 2019</w:t>
            </w:r>
          </w:p>
        </w:tc>
      </w:tr>
      <w:tr>
        <w:trPr>
          <w:trHeight w:val="155"/>
        </w:trPr>
        <w:tc>
          <w:tcPr>
            <w:tcW w:w="780" w:type="dxa"/>
            <w:vAlign w:val="bottom"/>
          </w:tcPr>
          <w:p>
            <w:pPr>
              <w:spacing w:after="0"/>
              <w:rPr>
                <w:sz w:val="13"/>
                <w:szCs w:val="13"/>
                <w:color w:val="auto"/>
              </w:rPr>
            </w:pPr>
          </w:p>
        </w:tc>
        <w:tc>
          <w:tcPr>
            <w:tcW w:w="3860" w:type="dxa"/>
            <w:vAlign w:val="bottom"/>
          </w:tcPr>
          <w:p>
            <w:pPr>
              <w:ind w:left="240"/>
              <w:spacing w:after="0" w:line="155" w:lineRule="exact"/>
              <w:rPr>
                <w:sz w:val="20"/>
                <w:szCs w:val="20"/>
                <w:color w:val="auto"/>
              </w:rPr>
            </w:pPr>
            <w:r>
              <w:rPr>
                <w:rFonts w:ascii="Times New Roman" w:cs="Times New Roman" w:eastAsia="Times New Roman" w:hAnsi="Times New Roman"/>
                <w:sz w:val="16"/>
                <w:szCs w:val="16"/>
                <w:color w:val="auto"/>
              </w:rPr>
              <w:t>Agreement by and among the Registrant and certain of</w:t>
            </w:r>
          </w:p>
        </w:tc>
        <w:tc>
          <w:tcPr>
            <w:tcW w:w="1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02"/>
        </w:trPr>
        <w:tc>
          <w:tcPr>
            <w:tcW w:w="780" w:type="dxa"/>
            <w:vAlign w:val="bottom"/>
          </w:tcPr>
          <w:p>
            <w:pPr>
              <w:spacing w:after="0"/>
              <w:rPr>
                <w:sz w:val="17"/>
                <w:szCs w:val="17"/>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its stockholders, dated December 1, 2016</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Description of Securities</w:t>
            </w: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2"/>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Zoom Video Communications, Inc. Fourth Amended</w:t>
            </w: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S-1</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333-230444</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10.1</w:t>
            </w:r>
          </w:p>
        </w:tc>
        <w:tc>
          <w:tcPr>
            <w:tcW w:w="1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March 22, 2019</w:t>
            </w:r>
          </w:p>
        </w:tc>
      </w:tr>
      <w:tr>
        <w:trPr>
          <w:trHeight w:val="155"/>
        </w:trPr>
        <w:tc>
          <w:tcPr>
            <w:tcW w:w="780" w:type="dxa"/>
            <w:vAlign w:val="bottom"/>
          </w:tcPr>
          <w:p>
            <w:pPr>
              <w:spacing w:after="0"/>
              <w:rPr>
                <w:sz w:val="13"/>
                <w:szCs w:val="13"/>
                <w:color w:val="auto"/>
              </w:rPr>
            </w:pPr>
          </w:p>
        </w:tc>
        <w:tc>
          <w:tcPr>
            <w:tcW w:w="3860" w:type="dxa"/>
            <w:vAlign w:val="bottom"/>
          </w:tcPr>
          <w:p>
            <w:pPr>
              <w:ind w:left="240"/>
              <w:spacing w:after="0" w:line="155" w:lineRule="exact"/>
              <w:rPr>
                <w:sz w:val="20"/>
                <w:szCs w:val="20"/>
                <w:color w:val="auto"/>
              </w:rPr>
            </w:pPr>
            <w:r>
              <w:rPr>
                <w:rFonts w:ascii="Times New Roman" w:cs="Times New Roman" w:eastAsia="Times New Roman" w:hAnsi="Times New Roman"/>
                <w:sz w:val="16"/>
                <w:szCs w:val="16"/>
                <w:color w:val="auto"/>
              </w:rPr>
              <w:t>and Restated 2011 Global Share Plan, and forms of</w:t>
            </w:r>
          </w:p>
        </w:tc>
        <w:tc>
          <w:tcPr>
            <w:tcW w:w="1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02"/>
        </w:trPr>
        <w:tc>
          <w:tcPr>
            <w:tcW w:w="780" w:type="dxa"/>
            <w:vAlign w:val="bottom"/>
          </w:tcPr>
          <w:p>
            <w:pPr>
              <w:spacing w:after="0"/>
              <w:rPr>
                <w:sz w:val="17"/>
                <w:szCs w:val="17"/>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agreements thereunder</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Zoom Video Communications, Inc. 2019 Equity</w:t>
            </w: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10-Q</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001-38865</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10.2</w:t>
            </w:r>
          </w:p>
        </w:tc>
        <w:tc>
          <w:tcPr>
            <w:tcW w:w="1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November 23,</w:t>
            </w:r>
          </w:p>
        </w:tc>
      </w:tr>
      <w:tr>
        <w:trPr>
          <w:trHeight w:val="155"/>
        </w:trPr>
        <w:tc>
          <w:tcPr>
            <w:tcW w:w="780" w:type="dxa"/>
            <w:vAlign w:val="bottom"/>
          </w:tcPr>
          <w:p>
            <w:pPr>
              <w:spacing w:after="0"/>
              <w:rPr>
                <w:sz w:val="13"/>
                <w:szCs w:val="13"/>
                <w:color w:val="auto"/>
              </w:rPr>
            </w:pPr>
          </w:p>
        </w:tc>
        <w:tc>
          <w:tcPr>
            <w:tcW w:w="3860" w:type="dxa"/>
            <w:vAlign w:val="bottom"/>
          </w:tcPr>
          <w:p>
            <w:pPr>
              <w:ind w:left="240"/>
              <w:spacing w:after="0" w:line="155" w:lineRule="exact"/>
              <w:rPr>
                <w:sz w:val="20"/>
                <w:szCs w:val="20"/>
                <w:color w:val="auto"/>
              </w:rPr>
            </w:pPr>
            <w:r>
              <w:rPr>
                <w:rFonts w:ascii="Times New Roman" w:cs="Times New Roman" w:eastAsia="Times New Roman" w:hAnsi="Times New Roman"/>
                <w:sz w:val="16"/>
                <w:szCs w:val="16"/>
                <w:color w:val="auto"/>
              </w:rPr>
              <w:t>Incentive Plan, as amended, and forms of agreements</w:t>
            </w:r>
          </w:p>
        </w:tc>
        <w:tc>
          <w:tcPr>
            <w:tcW w:w="1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80" w:type="dxa"/>
            <w:vAlign w:val="bottom"/>
          </w:tcPr>
          <w:p>
            <w:pPr>
              <w:ind w:left="240"/>
              <w:spacing w:after="0" w:line="155" w:lineRule="exact"/>
              <w:rPr>
                <w:sz w:val="20"/>
                <w:szCs w:val="20"/>
                <w:color w:val="auto"/>
              </w:rPr>
            </w:pPr>
            <w:r>
              <w:rPr>
                <w:rFonts w:ascii="Times New Roman" w:cs="Times New Roman" w:eastAsia="Times New Roman" w:hAnsi="Times New Roman"/>
                <w:sz w:val="16"/>
                <w:szCs w:val="16"/>
                <w:color w:val="auto"/>
              </w:rPr>
              <w:t>2022</w:t>
            </w:r>
          </w:p>
        </w:tc>
      </w:tr>
      <w:tr>
        <w:trPr>
          <w:trHeight w:val="202"/>
        </w:trPr>
        <w:tc>
          <w:tcPr>
            <w:tcW w:w="780" w:type="dxa"/>
            <w:vAlign w:val="bottom"/>
          </w:tcPr>
          <w:p>
            <w:pPr>
              <w:spacing w:after="0"/>
              <w:rPr>
                <w:sz w:val="17"/>
                <w:szCs w:val="17"/>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thereunder</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Zoom Video Communications, Inc. 2019 Equity</w:t>
            </w: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10-Q</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001-38865</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10.3</w:t>
            </w:r>
          </w:p>
        </w:tc>
        <w:tc>
          <w:tcPr>
            <w:tcW w:w="1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September 3, 2020</w:t>
            </w:r>
          </w:p>
        </w:tc>
      </w:tr>
      <w:tr>
        <w:trPr>
          <w:trHeight w:val="155"/>
        </w:trPr>
        <w:tc>
          <w:tcPr>
            <w:tcW w:w="780" w:type="dxa"/>
            <w:vAlign w:val="bottom"/>
          </w:tcPr>
          <w:p>
            <w:pPr>
              <w:spacing w:after="0"/>
              <w:rPr>
                <w:sz w:val="13"/>
                <w:szCs w:val="13"/>
                <w:color w:val="auto"/>
              </w:rPr>
            </w:pPr>
          </w:p>
        </w:tc>
        <w:tc>
          <w:tcPr>
            <w:tcW w:w="3860" w:type="dxa"/>
            <w:vAlign w:val="bottom"/>
          </w:tcPr>
          <w:p>
            <w:pPr>
              <w:ind w:left="240"/>
              <w:spacing w:after="0" w:line="155" w:lineRule="exact"/>
              <w:rPr>
                <w:sz w:val="20"/>
                <w:szCs w:val="20"/>
                <w:color w:val="auto"/>
              </w:rPr>
            </w:pPr>
            <w:r>
              <w:rPr>
                <w:rFonts w:ascii="Times New Roman" w:cs="Times New Roman" w:eastAsia="Times New Roman" w:hAnsi="Times New Roman"/>
                <w:sz w:val="16"/>
                <w:szCs w:val="16"/>
                <w:color w:val="auto"/>
              </w:rPr>
              <w:t>Incentive Plan Non-Employee Director Global</w:t>
            </w:r>
          </w:p>
        </w:tc>
        <w:tc>
          <w:tcPr>
            <w:tcW w:w="1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02"/>
        </w:trPr>
        <w:tc>
          <w:tcPr>
            <w:tcW w:w="780" w:type="dxa"/>
            <w:vAlign w:val="bottom"/>
          </w:tcPr>
          <w:p>
            <w:pPr>
              <w:spacing w:after="0"/>
              <w:rPr>
                <w:sz w:val="17"/>
                <w:szCs w:val="17"/>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Stock Unit Award Grant Notice, as amended</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Zoom Video Communications, Inc. 2019 Equity</w:t>
            </w: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10-Q</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001-38865</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10.1</w:t>
            </w:r>
          </w:p>
        </w:tc>
        <w:tc>
          <w:tcPr>
            <w:tcW w:w="1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December 4, 2020</w:t>
            </w:r>
          </w:p>
        </w:tc>
      </w:tr>
      <w:tr>
        <w:trPr>
          <w:trHeight w:val="155"/>
        </w:trPr>
        <w:tc>
          <w:tcPr>
            <w:tcW w:w="780" w:type="dxa"/>
            <w:vAlign w:val="bottom"/>
          </w:tcPr>
          <w:p>
            <w:pPr>
              <w:spacing w:after="0"/>
              <w:rPr>
                <w:sz w:val="13"/>
                <w:szCs w:val="13"/>
                <w:color w:val="auto"/>
              </w:rPr>
            </w:pPr>
          </w:p>
        </w:tc>
        <w:tc>
          <w:tcPr>
            <w:tcW w:w="3860" w:type="dxa"/>
            <w:vAlign w:val="bottom"/>
          </w:tcPr>
          <w:p>
            <w:pPr>
              <w:ind w:left="240"/>
              <w:spacing w:after="0" w:line="155" w:lineRule="exact"/>
              <w:rPr>
                <w:sz w:val="20"/>
                <w:szCs w:val="20"/>
                <w:color w:val="auto"/>
              </w:rPr>
            </w:pPr>
            <w:r>
              <w:rPr>
                <w:rFonts w:ascii="Times New Roman" w:cs="Times New Roman" w:eastAsia="Times New Roman" w:hAnsi="Times New Roman"/>
                <w:sz w:val="16"/>
                <w:szCs w:val="16"/>
                <w:color w:val="auto"/>
              </w:rPr>
              <w:t>Incentive Plan Global Restricted Stock Unit Award</w:t>
            </w:r>
          </w:p>
        </w:tc>
        <w:tc>
          <w:tcPr>
            <w:tcW w:w="1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02"/>
        </w:trPr>
        <w:tc>
          <w:tcPr>
            <w:tcW w:w="780" w:type="dxa"/>
            <w:vAlign w:val="bottom"/>
          </w:tcPr>
          <w:p>
            <w:pPr>
              <w:spacing w:after="0"/>
              <w:rPr>
                <w:sz w:val="17"/>
                <w:szCs w:val="17"/>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 Notice for Executive Officers, as amended</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Zoom Video Communications, Inc. 2019 Employee</w:t>
            </w: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S-1/A</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333-230444</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10.3</w:t>
            </w:r>
          </w:p>
        </w:tc>
        <w:tc>
          <w:tcPr>
            <w:tcW w:w="1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April 8, 2019</w:t>
            </w:r>
          </w:p>
        </w:tc>
      </w:tr>
      <w:tr>
        <w:trPr>
          <w:trHeight w:val="202"/>
        </w:trPr>
        <w:tc>
          <w:tcPr>
            <w:tcW w:w="780" w:type="dxa"/>
            <w:vAlign w:val="bottom"/>
          </w:tcPr>
          <w:p>
            <w:pPr>
              <w:spacing w:after="0"/>
              <w:rPr>
                <w:sz w:val="17"/>
                <w:szCs w:val="17"/>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 Purchase Plan</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0"/>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9"/>
              </w:rPr>
              <w:t>Form of Indemnification Agreement entered into by and</w:t>
            </w: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S-1</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333-230444</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10.4</w:t>
            </w:r>
          </w:p>
        </w:tc>
        <w:tc>
          <w:tcPr>
            <w:tcW w:w="1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March 22, 2019</w:t>
            </w:r>
          </w:p>
        </w:tc>
      </w:tr>
      <w:tr>
        <w:trPr>
          <w:trHeight w:val="155"/>
        </w:trPr>
        <w:tc>
          <w:tcPr>
            <w:tcW w:w="780" w:type="dxa"/>
            <w:vAlign w:val="bottom"/>
          </w:tcPr>
          <w:p>
            <w:pPr>
              <w:spacing w:after="0"/>
              <w:rPr>
                <w:sz w:val="13"/>
                <w:szCs w:val="13"/>
                <w:color w:val="auto"/>
              </w:rPr>
            </w:pPr>
          </w:p>
        </w:tc>
        <w:tc>
          <w:tcPr>
            <w:tcW w:w="3860" w:type="dxa"/>
            <w:vAlign w:val="bottom"/>
          </w:tcPr>
          <w:p>
            <w:pPr>
              <w:ind w:left="240"/>
              <w:spacing w:after="0" w:line="155" w:lineRule="exact"/>
              <w:rPr>
                <w:sz w:val="20"/>
                <w:szCs w:val="20"/>
                <w:color w:val="auto"/>
              </w:rPr>
            </w:pPr>
            <w:r>
              <w:rPr>
                <w:rFonts w:ascii="Times New Roman" w:cs="Times New Roman" w:eastAsia="Times New Roman" w:hAnsi="Times New Roman"/>
                <w:sz w:val="16"/>
                <w:szCs w:val="16"/>
                <w:color w:val="auto"/>
              </w:rPr>
              <w:t>between the Registrant and each director and executive</w:t>
            </w:r>
          </w:p>
        </w:tc>
        <w:tc>
          <w:tcPr>
            <w:tcW w:w="1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02"/>
        </w:trPr>
        <w:tc>
          <w:tcPr>
            <w:tcW w:w="780" w:type="dxa"/>
            <w:vAlign w:val="bottom"/>
          </w:tcPr>
          <w:p>
            <w:pPr>
              <w:spacing w:after="0"/>
              <w:rPr>
                <w:sz w:val="17"/>
                <w:szCs w:val="17"/>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officer</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Zoom Video Communications, Inc. Non-Employee</w:t>
            </w: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10-K</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001-38865</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10.7</w:t>
            </w:r>
          </w:p>
        </w:tc>
        <w:tc>
          <w:tcPr>
            <w:tcW w:w="1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March 3, 2023</w:t>
            </w:r>
          </w:p>
        </w:tc>
      </w:tr>
      <w:tr>
        <w:trPr>
          <w:trHeight w:val="202"/>
        </w:trPr>
        <w:tc>
          <w:tcPr>
            <w:tcW w:w="780" w:type="dxa"/>
            <w:vAlign w:val="bottom"/>
          </w:tcPr>
          <w:p>
            <w:pPr>
              <w:spacing w:after="0"/>
              <w:rPr>
                <w:sz w:val="17"/>
                <w:szCs w:val="17"/>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Director Compensation Policy, as amended</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5"/>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Zoom Video Communications, Inc. 2019 Equity</w:t>
            </w: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10-Q</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001-38865</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10.2</w:t>
            </w:r>
          </w:p>
        </w:tc>
        <w:tc>
          <w:tcPr>
            <w:tcW w:w="1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September 13,</w:t>
            </w:r>
          </w:p>
        </w:tc>
      </w:tr>
      <w:tr>
        <w:trPr>
          <w:trHeight w:val="202"/>
        </w:trPr>
        <w:tc>
          <w:tcPr>
            <w:tcW w:w="780" w:type="dxa"/>
            <w:vAlign w:val="bottom"/>
          </w:tcPr>
          <w:p>
            <w:pPr>
              <w:spacing w:after="0"/>
              <w:rPr>
                <w:sz w:val="17"/>
                <w:szCs w:val="17"/>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Incentive Plan Global RSU Award Grant Notice</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2019</w:t>
            </w:r>
          </w:p>
        </w:tc>
      </w:tr>
      <w:tr>
        <w:trPr>
          <w:trHeight w:val="205"/>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Zoom Video Communications, Inc. 2019 Equity</w:t>
            </w: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10-Q</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001-38865</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10.3</w:t>
            </w:r>
          </w:p>
        </w:tc>
        <w:tc>
          <w:tcPr>
            <w:tcW w:w="1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September 13,</w:t>
            </w:r>
          </w:p>
        </w:tc>
      </w:tr>
      <w:tr>
        <w:trPr>
          <w:trHeight w:val="155"/>
        </w:trPr>
        <w:tc>
          <w:tcPr>
            <w:tcW w:w="780" w:type="dxa"/>
            <w:vAlign w:val="bottom"/>
          </w:tcPr>
          <w:p>
            <w:pPr>
              <w:spacing w:after="0"/>
              <w:rPr>
                <w:sz w:val="13"/>
                <w:szCs w:val="13"/>
                <w:color w:val="auto"/>
              </w:rPr>
            </w:pPr>
          </w:p>
        </w:tc>
        <w:tc>
          <w:tcPr>
            <w:tcW w:w="3860" w:type="dxa"/>
            <w:vAlign w:val="bottom"/>
          </w:tcPr>
          <w:p>
            <w:pPr>
              <w:ind w:left="240"/>
              <w:spacing w:after="0" w:line="155" w:lineRule="exact"/>
              <w:rPr>
                <w:sz w:val="20"/>
                <w:szCs w:val="20"/>
                <w:color w:val="auto"/>
              </w:rPr>
            </w:pPr>
            <w:r>
              <w:rPr>
                <w:rFonts w:ascii="Times New Roman" w:cs="Times New Roman" w:eastAsia="Times New Roman" w:hAnsi="Times New Roman"/>
                <w:sz w:val="16"/>
                <w:szCs w:val="16"/>
                <w:color w:val="auto"/>
              </w:rPr>
              <w:t>Incentive Plan Non-Employee Director Global RSU</w:t>
            </w:r>
          </w:p>
        </w:tc>
        <w:tc>
          <w:tcPr>
            <w:tcW w:w="1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80" w:type="dxa"/>
            <w:vAlign w:val="bottom"/>
          </w:tcPr>
          <w:p>
            <w:pPr>
              <w:ind w:left="240"/>
              <w:spacing w:after="0" w:line="155" w:lineRule="exact"/>
              <w:rPr>
                <w:sz w:val="20"/>
                <w:szCs w:val="20"/>
                <w:color w:val="auto"/>
              </w:rPr>
            </w:pPr>
            <w:r>
              <w:rPr>
                <w:rFonts w:ascii="Times New Roman" w:cs="Times New Roman" w:eastAsia="Times New Roman" w:hAnsi="Times New Roman"/>
                <w:sz w:val="16"/>
                <w:szCs w:val="16"/>
                <w:color w:val="auto"/>
              </w:rPr>
              <w:t>2019</w:t>
            </w:r>
          </w:p>
        </w:tc>
      </w:tr>
      <w:tr>
        <w:trPr>
          <w:trHeight w:val="202"/>
        </w:trPr>
        <w:tc>
          <w:tcPr>
            <w:tcW w:w="780" w:type="dxa"/>
            <w:vAlign w:val="bottom"/>
          </w:tcPr>
          <w:p>
            <w:pPr>
              <w:spacing w:after="0"/>
              <w:rPr>
                <w:sz w:val="17"/>
                <w:szCs w:val="17"/>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Award Grant Notice</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66"/>
        </w:trPr>
        <w:tc>
          <w:tcPr>
            <w:tcW w:w="78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10.10#</w:t>
            </w:r>
          </w:p>
        </w:tc>
        <w:tc>
          <w:tcPr>
            <w:tcW w:w="3860" w:type="dxa"/>
            <w:vAlign w:val="bottom"/>
          </w:tcPr>
          <w:p>
            <w:pPr>
              <w:ind w:left="240"/>
              <w:spacing w:after="0" w:line="167" w:lineRule="exact"/>
              <w:rPr>
                <w:sz w:val="20"/>
                <w:szCs w:val="20"/>
                <w:color w:val="auto"/>
              </w:rPr>
            </w:pPr>
            <w:r>
              <w:rPr>
                <w:rFonts w:ascii="Times New Roman" w:cs="Times New Roman" w:eastAsia="Times New Roman" w:hAnsi="Times New Roman"/>
                <w:sz w:val="16"/>
                <w:szCs w:val="16"/>
                <w:color w:val="auto"/>
              </w:rPr>
              <w:t>Confirmatory Offer Letter by and between the</w:t>
            </w:r>
          </w:p>
        </w:tc>
        <w:tc>
          <w:tcPr>
            <w:tcW w:w="1120" w:type="dxa"/>
            <w:vAlign w:val="bottom"/>
          </w:tcPr>
          <w:p>
            <w:pPr>
              <w:ind w:left="60"/>
              <w:spacing w:after="0" w:line="167" w:lineRule="exact"/>
              <w:rPr>
                <w:sz w:val="20"/>
                <w:szCs w:val="20"/>
                <w:color w:val="auto"/>
              </w:rPr>
            </w:pPr>
            <w:r>
              <w:rPr>
                <w:rFonts w:ascii="Times New Roman" w:cs="Times New Roman" w:eastAsia="Times New Roman" w:hAnsi="Times New Roman"/>
                <w:sz w:val="16"/>
                <w:szCs w:val="16"/>
                <w:color w:val="auto"/>
              </w:rPr>
              <w:t>S-1</w:t>
            </w:r>
          </w:p>
        </w:tc>
        <w:tc>
          <w:tcPr>
            <w:tcW w:w="1360" w:type="dxa"/>
            <w:vAlign w:val="bottom"/>
          </w:tcPr>
          <w:p>
            <w:pPr>
              <w:ind w:left="280"/>
              <w:spacing w:after="0" w:line="167" w:lineRule="exact"/>
              <w:rPr>
                <w:sz w:val="20"/>
                <w:szCs w:val="20"/>
                <w:color w:val="auto"/>
              </w:rPr>
            </w:pPr>
            <w:r>
              <w:rPr>
                <w:rFonts w:ascii="Times New Roman" w:cs="Times New Roman" w:eastAsia="Times New Roman" w:hAnsi="Times New Roman"/>
                <w:sz w:val="16"/>
                <w:szCs w:val="16"/>
                <w:color w:val="auto"/>
              </w:rPr>
              <w:t>333-230444</w:t>
            </w:r>
          </w:p>
        </w:tc>
        <w:tc>
          <w:tcPr>
            <w:tcW w:w="1300" w:type="dxa"/>
            <w:vAlign w:val="bottom"/>
          </w:tcPr>
          <w:p>
            <w:pPr>
              <w:ind w:left="260"/>
              <w:spacing w:after="0" w:line="167" w:lineRule="exact"/>
              <w:rPr>
                <w:sz w:val="20"/>
                <w:szCs w:val="20"/>
                <w:color w:val="auto"/>
              </w:rPr>
            </w:pPr>
            <w:r>
              <w:rPr>
                <w:rFonts w:ascii="Times New Roman" w:cs="Times New Roman" w:eastAsia="Times New Roman" w:hAnsi="Times New Roman"/>
                <w:sz w:val="16"/>
                <w:szCs w:val="16"/>
                <w:color w:val="auto"/>
              </w:rPr>
              <w:t>10.5</w:t>
            </w:r>
          </w:p>
        </w:tc>
        <w:tc>
          <w:tcPr>
            <w:tcW w:w="1480" w:type="dxa"/>
            <w:vAlign w:val="bottom"/>
          </w:tcPr>
          <w:p>
            <w:pPr>
              <w:ind w:left="240"/>
              <w:spacing w:after="0" w:line="167" w:lineRule="exact"/>
              <w:rPr>
                <w:sz w:val="20"/>
                <w:szCs w:val="20"/>
                <w:color w:val="auto"/>
              </w:rPr>
            </w:pPr>
            <w:r>
              <w:rPr>
                <w:rFonts w:ascii="Times New Roman" w:cs="Times New Roman" w:eastAsia="Times New Roman" w:hAnsi="Times New Roman"/>
                <w:sz w:val="16"/>
                <w:szCs w:val="16"/>
                <w:color w:val="auto"/>
              </w:rPr>
              <w:t>March 22, 2019</w:t>
            </w:r>
          </w:p>
        </w:tc>
      </w:tr>
      <w:tr>
        <w:trPr>
          <w:trHeight w:val="202"/>
        </w:trPr>
        <w:tc>
          <w:tcPr>
            <w:tcW w:w="780" w:type="dxa"/>
            <w:vAlign w:val="bottom"/>
          </w:tcPr>
          <w:p>
            <w:pPr>
              <w:spacing w:after="0"/>
              <w:rPr>
                <w:sz w:val="17"/>
                <w:szCs w:val="17"/>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Registrant and Eric S. Yuan, dated December 18, 2018</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5"/>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Confirmatory Offer Letter by and between the</w:t>
            </w: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S-1</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333-230444</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10.6</w:t>
            </w:r>
          </w:p>
        </w:tc>
        <w:tc>
          <w:tcPr>
            <w:tcW w:w="1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March 22, 2019</w:t>
            </w:r>
          </w:p>
        </w:tc>
      </w:tr>
      <w:tr>
        <w:trPr>
          <w:trHeight w:val="202"/>
        </w:trPr>
        <w:tc>
          <w:tcPr>
            <w:tcW w:w="780" w:type="dxa"/>
            <w:vAlign w:val="bottom"/>
          </w:tcPr>
          <w:p>
            <w:pPr>
              <w:spacing w:after="0"/>
              <w:rPr>
                <w:sz w:val="17"/>
                <w:szCs w:val="17"/>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Registrant and Aparna Bawa, dated December 18, 2018</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5"/>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Confirmatory Offer Letter by and between the</w:t>
            </w: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S-1</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333-230444</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10.8</w:t>
            </w:r>
          </w:p>
        </w:tc>
        <w:tc>
          <w:tcPr>
            <w:tcW w:w="1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March 22, 2019</w:t>
            </w:r>
          </w:p>
        </w:tc>
      </w:tr>
      <w:tr>
        <w:trPr>
          <w:trHeight w:val="155"/>
        </w:trPr>
        <w:tc>
          <w:tcPr>
            <w:tcW w:w="780" w:type="dxa"/>
            <w:vAlign w:val="bottom"/>
          </w:tcPr>
          <w:p>
            <w:pPr>
              <w:spacing w:after="0"/>
              <w:rPr>
                <w:sz w:val="13"/>
                <w:szCs w:val="13"/>
                <w:color w:val="auto"/>
              </w:rPr>
            </w:pPr>
          </w:p>
        </w:tc>
        <w:tc>
          <w:tcPr>
            <w:tcW w:w="3860" w:type="dxa"/>
            <w:vAlign w:val="bottom"/>
          </w:tcPr>
          <w:p>
            <w:pPr>
              <w:ind w:left="240"/>
              <w:spacing w:after="0" w:line="155" w:lineRule="exact"/>
              <w:rPr>
                <w:sz w:val="20"/>
                <w:szCs w:val="20"/>
                <w:color w:val="auto"/>
              </w:rPr>
            </w:pPr>
            <w:r>
              <w:rPr>
                <w:rFonts w:ascii="Times New Roman" w:cs="Times New Roman" w:eastAsia="Times New Roman" w:hAnsi="Times New Roman"/>
                <w:sz w:val="16"/>
                <w:szCs w:val="16"/>
                <w:color w:val="auto"/>
              </w:rPr>
              <w:t>Registrant and Kelly Steckelberg, dated December 18,</w:t>
            </w:r>
          </w:p>
        </w:tc>
        <w:tc>
          <w:tcPr>
            <w:tcW w:w="1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02"/>
        </w:trPr>
        <w:tc>
          <w:tcPr>
            <w:tcW w:w="780" w:type="dxa"/>
            <w:vAlign w:val="bottom"/>
          </w:tcPr>
          <w:p>
            <w:pPr>
              <w:spacing w:after="0"/>
              <w:rPr>
                <w:sz w:val="17"/>
                <w:szCs w:val="17"/>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2018</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Offer Letter by and between the Registrant and</w:t>
            </w: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10-Q</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001-38865</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10.1</w:t>
            </w:r>
          </w:p>
        </w:tc>
        <w:tc>
          <w:tcPr>
            <w:tcW w:w="1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September 3, 2020</w:t>
            </w:r>
          </w:p>
        </w:tc>
      </w:tr>
      <w:tr>
        <w:trPr>
          <w:trHeight w:val="202"/>
        </w:trPr>
        <w:tc>
          <w:tcPr>
            <w:tcW w:w="780" w:type="dxa"/>
            <w:vAlign w:val="bottom"/>
          </w:tcPr>
          <w:p>
            <w:pPr>
              <w:spacing w:after="0"/>
              <w:rPr>
                <w:sz w:val="17"/>
                <w:szCs w:val="17"/>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Velchamy Sankarlingam dated May 19, 2020</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200" w:lineRule="exact"/>
        <w:rPr>
          <w:sz w:val="20"/>
          <w:szCs w:val="20"/>
          <w:color w:val="auto"/>
        </w:rPr>
      </w:pP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880" w:h="15480" w:orient="portrait"/>
          <w:cols w:equalWidth="0" w:num="1">
            <w:col w:w="9960"/>
          </w:cols>
          <w:pgMar w:left="960" w:top="815" w:right="960" w:bottom="0" w:gutter="0" w:footer="0" w:header="0"/>
          <w:type w:val="continuous"/>
        </w:sectPr>
      </w:pPr>
    </w:p>
    <w:bookmarkStart w:id="105" w:name="page106"/>
    <w:bookmarkEnd w:id="105"/>
    <w:tbl>
      <w:tblPr>
        <w:tblLayout w:type="fixed"/>
        <w:tblInd w:w="59"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Offer Letter by and between the Registrant and Greg</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10-Q</w:t>
            </w:r>
          </w:p>
        </w:tc>
        <w:tc>
          <w:tcPr>
            <w:tcW w:w="15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001-38865</w:t>
            </w:r>
          </w:p>
        </w:tc>
        <w:tc>
          <w:tcPr>
            <w:tcW w:w="1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10.1</w:t>
            </w:r>
          </w:p>
        </w:tc>
        <w:tc>
          <w:tcPr>
            <w:tcW w:w="1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August 24, 2022</w:t>
            </w: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Tomb, dated May 31, 2020</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49"/>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Director Offer Letter by and between the Registrant and</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10-Q</w:t>
            </w:r>
          </w:p>
        </w:tc>
        <w:tc>
          <w:tcPr>
            <w:tcW w:w="15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001-38865</w:t>
            </w:r>
          </w:p>
        </w:tc>
        <w:tc>
          <w:tcPr>
            <w:tcW w:w="1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10.2</w:t>
            </w:r>
          </w:p>
        </w:tc>
        <w:tc>
          <w:tcPr>
            <w:tcW w:w="1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6"/>
              </w:rPr>
              <w:t>September 3, 2020</w:t>
            </w: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Lieut. General H.R. McMaster dated May 6, 2020</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49"/>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Director Offer Letter by and between the Registrant and</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10-K</w:t>
            </w:r>
          </w:p>
        </w:tc>
        <w:tc>
          <w:tcPr>
            <w:tcW w:w="15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001-38865</w:t>
            </w:r>
          </w:p>
        </w:tc>
        <w:tc>
          <w:tcPr>
            <w:tcW w:w="1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10.17</w:t>
            </w:r>
          </w:p>
        </w:tc>
        <w:tc>
          <w:tcPr>
            <w:tcW w:w="1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March 18, 2021</w:t>
            </w: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Janet Napolitano dated November 2, 2020</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49"/>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Director Offer Letter by and between the Registrant and</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10-Q</w:t>
            </w:r>
          </w:p>
        </w:tc>
        <w:tc>
          <w:tcPr>
            <w:tcW w:w="15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001-38865</w:t>
            </w:r>
          </w:p>
        </w:tc>
        <w:tc>
          <w:tcPr>
            <w:tcW w:w="1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10.2</w:t>
            </w:r>
          </w:p>
        </w:tc>
        <w:tc>
          <w:tcPr>
            <w:tcW w:w="1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May 25, 2022</w:t>
            </w: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William R. McDermott dated February 23, 2022</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49"/>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Director Offer Letter by and between the Registrant and</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10-K</w:t>
            </w:r>
          </w:p>
        </w:tc>
        <w:tc>
          <w:tcPr>
            <w:tcW w:w="15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001-38865</w:t>
            </w:r>
          </w:p>
        </w:tc>
        <w:tc>
          <w:tcPr>
            <w:tcW w:w="1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10.20</w:t>
            </w:r>
          </w:p>
        </w:tc>
        <w:tc>
          <w:tcPr>
            <w:tcW w:w="1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March 3, 2023</w:t>
            </w: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Cindy Hoots dated January 4, 2023</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49"/>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Lease Agreement dated August 1, 2016, as amended, by</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S-1</w:t>
            </w:r>
          </w:p>
        </w:tc>
        <w:tc>
          <w:tcPr>
            <w:tcW w:w="15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333-230444</w:t>
            </w:r>
          </w:p>
        </w:tc>
        <w:tc>
          <w:tcPr>
            <w:tcW w:w="1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10.9</w:t>
            </w:r>
          </w:p>
        </w:tc>
        <w:tc>
          <w:tcPr>
            <w:tcW w:w="1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March 22, 2019</w:t>
            </w:r>
          </w:p>
        </w:tc>
      </w:tr>
      <w:tr>
        <w:trPr>
          <w:trHeight w:val="155"/>
        </w:trPr>
        <w:tc>
          <w:tcPr>
            <w:tcW w:w="800" w:type="dxa"/>
            <w:vAlign w:val="bottom"/>
          </w:tcPr>
          <w:p>
            <w:pPr>
              <w:spacing w:after="0"/>
              <w:rPr>
                <w:sz w:val="13"/>
                <w:szCs w:val="13"/>
                <w:color w:val="auto"/>
              </w:rPr>
            </w:pPr>
          </w:p>
        </w:tc>
        <w:tc>
          <w:tcPr>
            <w:tcW w:w="3820" w:type="dxa"/>
            <w:vAlign w:val="bottom"/>
          </w:tcPr>
          <w:p>
            <w:pPr>
              <w:ind w:left="220"/>
              <w:spacing w:after="0" w:line="155" w:lineRule="exact"/>
              <w:rPr>
                <w:sz w:val="20"/>
                <w:szCs w:val="20"/>
                <w:color w:val="auto"/>
              </w:rPr>
            </w:pPr>
            <w:r>
              <w:rPr>
                <w:rFonts w:ascii="Times New Roman" w:cs="Times New Roman" w:eastAsia="Times New Roman" w:hAnsi="Times New Roman"/>
                <w:sz w:val="16"/>
                <w:szCs w:val="16"/>
                <w:color w:val="auto"/>
              </w:rPr>
              <w:t>and between the Registrant and KBSIII Almaden</w:t>
            </w: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Financial Plaza, LLC</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8"/>
              </w:rPr>
              <w:t>Fourth Amendment to Lease Agreement by and between</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10-Q</w:t>
            </w:r>
          </w:p>
        </w:tc>
        <w:tc>
          <w:tcPr>
            <w:tcW w:w="15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001-38865</w:t>
            </w:r>
          </w:p>
        </w:tc>
        <w:tc>
          <w:tcPr>
            <w:tcW w:w="1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10.5</w:t>
            </w:r>
          </w:p>
        </w:tc>
        <w:tc>
          <w:tcPr>
            <w:tcW w:w="1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September 13,</w:t>
            </w:r>
          </w:p>
        </w:tc>
      </w:tr>
      <w:tr>
        <w:trPr>
          <w:trHeight w:val="155"/>
        </w:trPr>
        <w:tc>
          <w:tcPr>
            <w:tcW w:w="800" w:type="dxa"/>
            <w:vAlign w:val="bottom"/>
          </w:tcPr>
          <w:p>
            <w:pPr>
              <w:spacing w:after="0"/>
              <w:rPr>
                <w:sz w:val="13"/>
                <w:szCs w:val="13"/>
                <w:color w:val="auto"/>
              </w:rPr>
            </w:pPr>
          </w:p>
        </w:tc>
        <w:tc>
          <w:tcPr>
            <w:tcW w:w="3820" w:type="dxa"/>
            <w:vAlign w:val="bottom"/>
          </w:tcPr>
          <w:p>
            <w:pPr>
              <w:ind w:left="220"/>
              <w:spacing w:after="0" w:line="155" w:lineRule="exact"/>
              <w:rPr>
                <w:sz w:val="20"/>
                <w:szCs w:val="20"/>
                <w:color w:val="auto"/>
              </w:rPr>
            </w:pPr>
            <w:r>
              <w:rPr>
                <w:rFonts w:ascii="Times New Roman" w:cs="Times New Roman" w:eastAsia="Times New Roman" w:hAnsi="Times New Roman"/>
                <w:sz w:val="16"/>
                <w:szCs w:val="16"/>
                <w:color w:val="auto"/>
              </w:rPr>
              <w:t>the Registrant and KBSIII Almaden Financial Plaza,</w:t>
            </w: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40" w:type="dxa"/>
            <w:vAlign w:val="bottom"/>
          </w:tcPr>
          <w:p>
            <w:pPr>
              <w:ind w:left="460"/>
              <w:spacing w:after="0" w:line="155" w:lineRule="exact"/>
              <w:rPr>
                <w:sz w:val="20"/>
                <w:szCs w:val="20"/>
                <w:color w:val="auto"/>
              </w:rPr>
            </w:pPr>
            <w:r>
              <w:rPr>
                <w:rFonts w:ascii="Times New Roman" w:cs="Times New Roman" w:eastAsia="Times New Roman" w:hAnsi="Times New Roman"/>
                <w:sz w:val="16"/>
                <w:szCs w:val="16"/>
                <w:color w:val="auto"/>
              </w:rPr>
              <w:t>2019</w:t>
            </w: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LLC</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Fifth Amendment to Lease Agreement by and between</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10-Q</w:t>
            </w:r>
          </w:p>
        </w:tc>
        <w:tc>
          <w:tcPr>
            <w:tcW w:w="15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001-38865</w:t>
            </w:r>
          </w:p>
        </w:tc>
        <w:tc>
          <w:tcPr>
            <w:tcW w:w="1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10.1</w:t>
            </w:r>
          </w:p>
        </w:tc>
        <w:tc>
          <w:tcPr>
            <w:tcW w:w="1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June 5, 2020</w:t>
            </w:r>
          </w:p>
        </w:tc>
      </w:tr>
      <w:tr>
        <w:trPr>
          <w:trHeight w:val="155"/>
        </w:trPr>
        <w:tc>
          <w:tcPr>
            <w:tcW w:w="800" w:type="dxa"/>
            <w:vAlign w:val="bottom"/>
          </w:tcPr>
          <w:p>
            <w:pPr>
              <w:spacing w:after="0"/>
              <w:rPr>
                <w:sz w:val="13"/>
                <w:szCs w:val="13"/>
                <w:color w:val="auto"/>
              </w:rPr>
            </w:pPr>
          </w:p>
        </w:tc>
        <w:tc>
          <w:tcPr>
            <w:tcW w:w="3820" w:type="dxa"/>
            <w:vAlign w:val="bottom"/>
          </w:tcPr>
          <w:p>
            <w:pPr>
              <w:ind w:left="220"/>
              <w:spacing w:after="0" w:line="155" w:lineRule="exact"/>
              <w:rPr>
                <w:sz w:val="20"/>
                <w:szCs w:val="20"/>
                <w:color w:val="auto"/>
              </w:rPr>
            </w:pPr>
            <w:r>
              <w:rPr>
                <w:rFonts w:ascii="Times New Roman" w:cs="Times New Roman" w:eastAsia="Times New Roman" w:hAnsi="Times New Roman"/>
                <w:sz w:val="16"/>
                <w:szCs w:val="16"/>
                <w:color w:val="auto"/>
              </w:rPr>
              <w:t>Zoom Video Communications, Inc. and KBSIII</w:t>
            </w: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Almaden Financial Plaza, LLC dated March 9, 2020</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Zoom Video Communications, Inc. Officer Incentive</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10-K</w:t>
            </w:r>
          </w:p>
        </w:tc>
        <w:tc>
          <w:tcPr>
            <w:tcW w:w="15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001-38865</w:t>
            </w:r>
          </w:p>
        </w:tc>
        <w:tc>
          <w:tcPr>
            <w:tcW w:w="1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10.21</w:t>
            </w:r>
          </w:p>
        </w:tc>
        <w:tc>
          <w:tcPr>
            <w:tcW w:w="1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March 7, 2022</w:t>
            </w: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Plan, as amended</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Purchase Agreement by and among the</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S-1/A</w:t>
            </w:r>
          </w:p>
        </w:tc>
        <w:tc>
          <w:tcPr>
            <w:tcW w:w="15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333-230444</w:t>
            </w:r>
          </w:p>
        </w:tc>
        <w:tc>
          <w:tcPr>
            <w:tcW w:w="1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10.11</w:t>
            </w:r>
          </w:p>
        </w:tc>
        <w:tc>
          <w:tcPr>
            <w:tcW w:w="1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April 8, 2019</w:t>
            </w:r>
          </w:p>
        </w:tc>
      </w:tr>
      <w:tr>
        <w:trPr>
          <w:trHeight w:val="155"/>
        </w:trPr>
        <w:tc>
          <w:tcPr>
            <w:tcW w:w="800" w:type="dxa"/>
            <w:vAlign w:val="bottom"/>
          </w:tcPr>
          <w:p>
            <w:pPr>
              <w:spacing w:after="0"/>
              <w:rPr>
                <w:sz w:val="13"/>
                <w:szCs w:val="13"/>
                <w:color w:val="auto"/>
              </w:rPr>
            </w:pPr>
          </w:p>
        </w:tc>
        <w:tc>
          <w:tcPr>
            <w:tcW w:w="3820" w:type="dxa"/>
            <w:vAlign w:val="bottom"/>
          </w:tcPr>
          <w:p>
            <w:pPr>
              <w:ind w:left="220"/>
              <w:spacing w:after="0" w:line="155" w:lineRule="exact"/>
              <w:rPr>
                <w:sz w:val="20"/>
                <w:szCs w:val="20"/>
                <w:color w:val="auto"/>
              </w:rPr>
            </w:pPr>
            <w:r>
              <w:rPr>
                <w:rFonts w:ascii="Times New Roman" w:cs="Times New Roman" w:eastAsia="Times New Roman" w:hAnsi="Times New Roman"/>
                <w:sz w:val="16"/>
                <w:szCs w:val="16"/>
                <w:color w:val="auto"/>
                <w:w w:val="99"/>
              </w:rPr>
              <w:t>Registrant, salesforce.com, inc. and Salesforce Ventures</w:t>
            </w: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LLC, dated as of April 5, 2019</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Zoom Video Communications, Inc. Severance and</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10-Q</w:t>
            </w:r>
          </w:p>
        </w:tc>
        <w:tc>
          <w:tcPr>
            <w:tcW w:w="15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001-38865</w:t>
            </w:r>
          </w:p>
        </w:tc>
        <w:tc>
          <w:tcPr>
            <w:tcW w:w="1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10.2</w:t>
            </w:r>
          </w:p>
        </w:tc>
        <w:tc>
          <w:tcPr>
            <w:tcW w:w="1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August 24, 2022</w:t>
            </w:r>
          </w:p>
        </w:tc>
      </w:tr>
      <w:tr>
        <w:trPr>
          <w:trHeight w:val="155"/>
        </w:trPr>
        <w:tc>
          <w:tcPr>
            <w:tcW w:w="800" w:type="dxa"/>
            <w:vAlign w:val="bottom"/>
          </w:tcPr>
          <w:p>
            <w:pPr>
              <w:spacing w:after="0"/>
              <w:rPr>
                <w:sz w:val="13"/>
                <w:szCs w:val="13"/>
                <w:color w:val="auto"/>
              </w:rPr>
            </w:pPr>
          </w:p>
        </w:tc>
        <w:tc>
          <w:tcPr>
            <w:tcW w:w="3820" w:type="dxa"/>
            <w:vAlign w:val="bottom"/>
          </w:tcPr>
          <w:p>
            <w:pPr>
              <w:ind w:left="220"/>
              <w:spacing w:after="0" w:line="155" w:lineRule="exact"/>
              <w:rPr>
                <w:sz w:val="20"/>
                <w:szCs w:val="20"/>
                <w:color w:val="auto"/>
              </w:rPr>
            </w:pPr>
            <w:r>
              <w:rPr>
                <w:rFonts w:ascii="Times New Roman" w:cs="Times New Roman" w:eastAsia="Times New Roman" w:hAnsi="Times New Roman"/>
                <w:sz w:val="16"/>
                <w:szCs w:val="16"/>
                <w:color w:val="auto"/>
              </w:rPr>
              <w:t>Change in Control Plan and form of Participation</w:t>
            </w: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Agreement thereunder</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56"/>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List of subsidiaries of the Registrant</w:t>
            </w:r>
          </w:p>
        </w:tc>
        <w:tc>
          <w:tcPr>
            <w:tcW w:w="9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02"/>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Consent of KPMG LLP, independent registered public</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accounting firm</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24.1</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Power of Attorney (reference is made to the signature</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page hereto)</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Certification of Chief Executive Officer pursuant to</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55"/>
        </w:trPr>
        <w:tc>
          <w:tcPr>
            <w:tcW w:w="800" w:type="dxa"/>
            <w:vAlign w:val="bottom"/>
          </w:tcPr>
          <w:p>
            <w:pPr>
              <w:spacing w:after="0"/>
              <w:rPr>
                <w:sz w:val="13"/>
                <w:szCs w:val="13"/>
                <w:color w:val="auto"/>
              </w:rPr>
            </w:pPr>
          </w:p>
        </w:tc>
        <w:tc>
          <w:tcPr>
            <w:tcW w:w="3820" w:type="dxa"/>
            <w:vAlign w:val="bottom"/>
          </w:tcPr>
          <w:p>
            <w:pPr>
              <w:ind w:left="220"/>
              <w:spacing w:after="0" w:line="155" w:lineRule="exact"/>
              <w:rPr>
                <w:sz w:val="20"/>
                <w:szCs w:val="20"/>
                <w:color w:val="auto"/>
              </w:rPr>
            </w:pPr>
            <w:r>
              <w:rPr>
                <w:rFonts w:ascii="Times New Roman" w:cs="Times New Roman" w:eastAsia="Times New Roman" w:hAnsi="Times New Roman"/>
                <w:sz w:val="16"/>
                <w:szCs w:val="16"/>
                <w:color w:val="auto"/>
              </w:rPr>
              <w:t>Exchange Act Rules 13a-14(a) and 15d-14(a), as</w:t>
            </w: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55"/>
        </w:trPr>
        <w:tc>
          <w:tcPr>
            <w:tcW w:w="800" w:type="dxa"/>
            <w:vAlign w:val="bottom"/>
          </w:tcPr>
          <w:p>
            <w:pPr>
              <w:spacing w:after="0"/>
              <w:rPr>
                <w:sz w:val="13"/>
                <w:szCs w:val="13"/>
                <w:color w:val="auto"/>
              </w:rPr>
            </w:pPr>
          </w:p>
        </w:tc>
        <w:tc>
          <w:tcPr>
            <w:tcW w:w="3820" w:type="dxa"/>
            <w:vAlign w:val="bottom"/>
          </w:tcPr>
          <w:p>
            <w:pPr>
              <w:ind w:left="220"/>
              <w:spacing w:after="0" w:line="155" w:lineRule="exact"/>
              <w:rPr>
                <w:sz w:val="20"/>
                <w:szCs w:val="20"/>
                <w:color w:val="auto"/>
              </w:rPr>
            </w:pPr>
            <w:r>
              <w:rPr>
                <w:rFonts w:ascii="Times New Roman" w:cs="Times New Roman" w:eastAsia="Times New Roman" w:hAnsi="Times New Roman"/>
                <w:sz w:val="16"/>
                <w:szCs w:val="16"/>
                <w:color w:val="auto"/>
              </w:rPr>
              <w:t>adopted pursuant to Section 302 of the Sarbanes-Oxley</w:t>
            </w: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Act of 2002</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0"/>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Certification of Chief Financial Officer pursuant to</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55"/>
        </w:trPr>
        <w:tc>
          <w:tcPr>
            <w:tcW w:w="800" w:type="dxa"/>
            <w:vAlign w:val="bottom"/>
          </w:tcPr>
          <w:p>
            <w:pPr>
              <w:spacing w:after="0"/>
              <w:rPr>
                <w:sz w:val="13"/>
                <w:szCs w:val="13"/>
                <w:color w:val="auto"/>
              </w:rPr>
            </w:pPr>
          </w:p>
        </w:tc>
        <w:tc>
          <w:tcPr>
            <w:tcW w:w="3820" w:type="dxa"/>
            <w:vAlign w:val="bottom"/>
          </w:tcPr>
          <w:p>
            <w:pPr>
              <w:ind w:left="220"/>
              <w:spacing w:after="0" w:line="155" w:lineRule="exact"/>
              <w:rPr>
                <w:sz w:val="20"/>
                <w:szCs w:val="20"/>
                <w:color w:val="auto"/>
              </w:rPr>
            </w:pPr>
            <w:r>
              <w:rPr>
                <w:rFonts w:ascii="Times New Roman" w:cs="Times New Roman" w:eastAsia="Times New Roman" w:hAnsi="Times New Roman"/>
                <w:sz w:val="16"/>
                <w:szCs w:val="16"/>
                <w:color w:val="auto"/>
              </w:rPr>
              <w:t>Exchange Act Rules 13a-14(a) and 15d-14(a), as</w:t>
            </w: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55"/>
        </w:trPr>
        <w:tc>
          <w:tcPr>
            <w:tcW w:w="800" w:type="dxa"/>
            <w:vAlign w:val="bottom"/>
          </w:tcPr>
          <w:p>
            <w:pPr>
              <w:spacing w:after="0"/>
              <w:rPr>
                <w:sz w:val="13"/>
                <w:szCs w:val="13"/>
                <w:color w:val="auto"/>
              </w:rPr>
            </w:pPr>
          </w:p>
        </w:tc>
        <w:tc>
          <w:tcPr>
            <w:tcW w:w="3820" w:type="dxa"/>
            <w:vAlign w:val="bottom"/>
          </w:tcPr>
          <w:p>
            <w:pPr>
              <w:ind w:left="220"/>
              <w:spacing w:after="0" w:line="155" w:lineRule="exact"/>
              <w:rPr>
                <w:sz w:val="20"/>
                <w:szCs w:val="20"/>
                <w:color w:val="auto"/>
              </w:rPr>
            </w:pPr>
            <w:r>
              <w:rPr>
                <w:rFonts w:ascii="Times New Roman" w:cs="Times New Roman" w:eastAsia="Times New Roman" w:hAnsi="Times New Roman"/>
                <w:sz w:val="16"/>
                <w:szCs w:val="16"/>
                <w:color w:val="auto"/>
              </w:rPr>
              <w:t>adopted pursuant to Section 302 of the Sarbanes-Oxley</w:t>
            </w: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Act of 2002</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0"/>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Certifications of Chief Executive Officer and Chief</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55"/>
        </w:trPr>
        <w:tc>
          <w:tcPr>
            <w:tcW w:w="800" w:type="dxa"/>
            <w:vAlign w:val="bottom"/>
          </w:tcPr>
          <w:p>
            <w:pPr>
              <w:spacing w:after="0"/>
              <w:rPr>
                <w:sz w:val="13"/>
                <w:szCs w:val="13"/>
                <w:color w:val="auto"/>
              </w:rPr>
            </w:pPr>
          </w:p>
        </w:tc>
        <w:tc>
          <w:tcPr>
            <w:tcW w:w="3820" w:type="dxa"/>
            <w:vAlign w:val="bottom"/>
          </w:tcPr>
          <w:p>
            <w:pPr>
              <w:ind w:left="220"/>
              <w:spacing w:after="0" w:line="155" w:lineRule="exact"/>
              <w:rPr>
                <w:sz w:val="20"/>
                <w:szCs w:val="20"/>
                <w:color w:val="auto"/>
              </w:rPr>
            </w:pPr>
            <w:r>
              <w:rPr>
                <w:rFonts w:ascii="Times New Roman" w:cs="Times New Roman" w:eastAsia="Times New Roman" w:hAnsi="Times New Roman"/>
                <w:sz w:val="16"/>
                <w:szCs w:val="16"/>
                <w:color w:val="auto"/>
                <w:w w:val="98"/>
              </w:rPr>
              <w:t>Financial Officer pursuant to 18 U.S.C. Section 1350, as</w:t>
            </w: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55"/>
        </w:trPr>
        <w:tc>
          <w:tcPr>
            <w:tcW w:w="800" w:type="dxa"/>
            <w:vAlign w:val="bottom"/>
          </w:tcPr>
          <w:p>
            <w:pPr>
              <w:spacing w:after="0"/>
              <w:rPr>
                <w:sz w:val="13"/>
                <w:szCs w:val="13"/>
                <w:color w:val="auto"/>
              </w:rPr>
            </w:pPr>
          </w:p>
        </w:tc>
        <w:tc>
          <w:tcPr>
            <w:tcW w:w="3820" w:type="dxa"/>
            <w:vAlign w:val="bottom"/>
          </w:tcPr>
          <w:p>
            <w:pPr>
              <w:ind w:left="220"/>
              <w:spacing w:after="0" w:line="155" w:lineRule="exact"/>
              <w:rPr>
                <w:sz w:val="20"/>
                <w:szCs w:val="20"/>
                <w:color w:val="auto"/>
              </w:rPr>
            </w:pPr>
            <w:r>
              <w:rPr>
                <w:rFonts w:ascii="Times New Roman" w:cs="Times New Roman" w:eastAsia="Times New Roman" w:hAnsi="Times New Roman"/>
                <w:sz w:val="16"/>
                <w:szCs w:val="16"/>
                <w:color w:val="auto"/>
              </w:rPr>
              <w:t>adopted pursuant to Section 906 of the Sarbanes-Oxley</w:t>
            </w: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Act of 2002</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46"/>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Zoom Video Communications, Inc. Clawback Policy</w:t>
            </w:r>
          </w:p>
        </w:tc>
        <w:tc>
          <w:tcPr>
            <w:tcW w:w="9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Instance Document</w:t>
            </w:r>
          </w:p>
        </w:tc>
        <w:tc>
          <w:tcPr>
            <w:tcW w:w="9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9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02"/>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Document</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Definition Linkbase</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Document</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51"/>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9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02"/>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2"/>
        </w:trPr>
        <w:tc>
          <w:tcPr>
            <w:tcW w:w="80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Document</w:t>
            </w: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49" w:lineRule="exact"/>
        <w:rPr>
          <w:sz w:val="20"/>
          <w:szCs w:val="20"/>
          <w:color w:val="auto"/>
        </w:rPr>
      </w:pPr>
    </w:p>
    <w:p>
      <w:pPr>
        <w:ind w:left="1079" w:right="5600" w:hanging="1028"/>
        <w:spacing w:after="0" w:line="256" w:lineRule="auto"/>
        <w:tabs>
          <w:tab w:leader="none" w:pos="1079"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w:t>
      </w:r>
    </w:p>
    <w:p>
      <w:pPr>
        <w:spacing w:after="0" w:line="286" w:lineRule="exact"/>
        <w:rPr>
          <w:rFonts w:ascii="Times New Roman" w:cs="Times New Roman" w:eastAsia="Times New Roman" w:hAnsi="Times New Roman"/>
          <w:sz w:val="16"/>
          <w:szCs w:val="16"/>
          <w:color w:val="auto"/>
        </w:rPr>
      </w:pPr>
    </w:p>
    <w:p>
      <w:pPr>
        <w:ind w:left="699" w:hanging="699"/>
        <w:spacing w:after="0"/>
        <w:tabs>
          <w:tab w:leader="none" w:pos="699"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 or arrangement.</w:t>
      </w:r>
    </w:p>
    <w:p>
      <w:pPr>
        <w:spacing w:after="0" w:line="119" w:lineRule="exact"/>
        <w:rPr>
          <w:sz w:val="20"/>
          <w:szCs w:val="20"/>
          <w:color w:val="auto"/>
        </w:rPr>
      </w:pPr>
    </w:p>
    <w:p>
      <w:pPr>
        <w:jc w:val="both"/>
        <w:ind w:left="699" w:hanging="699"/>
        <w:spacing w:after="0" w:line="251" w:lineRule="auto"/>
        <w:tabs>
          <w:tab w:leader="none" w:pos="699"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that accompany this Annual Report on Form 10-K are not deemed filed with the Securities and Exchange Commission and are not to be incorporated by reference into any filing of the Registrant under the Securities Act of 1933, as amended, or the Exchange Act, whether made before or after the date of this Annual Report on Form 10-K, irrespective of any general incorporation language contained in such filing.</w:t>
      </w:r>
    </w:p>
    <w:p>
      <w:pPr>
        <w:sectPr>
          <w:pgSz w:w="11880" w:h="15480" w:orient="portrait"/>
          <w:cols w:equalWidth="0" w:num="1">
            <w:col w:w="9959"/>
          </w:cols>
          <w:pgMar w:left="961" w:top="87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102</w:t>
      </w:r>
    </w:p>
    <w:p>
      <w:pPr>
        <w:sectPr>
          <w:pgSz w:w="11880" w:h="15480" w:orient="portrait"/>
          <w:cols w:equalWidth="0" w:num="1">
            <w:col w:w="9959"/>
          </w:cols>
          <w:pgMar w:left="961" w:top="879" w:right="96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9"/>
          <w:szCs w:val="19"/>
          <w:b w:val="1"/>
          <w:bCs w:val="1"/>
          <w:color w:val="auto"/>
        </w:rPr>
        <w:t>(b) Financial Statement Schedules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Schedule II: Valuation and Qualifying Accounts</w:t>
      </w:r>
    </w:p>
    <w:p>
      <w:pPr>
        <w:spacing w:after="0" w:line="138" w:lineRule="exact"/>
        <w:rPr>
          <w:sz w:val="20"/>
          <w:szCs w:val="20"/>
          <w:color w:val="auto"/>
        </w:rPr>
      </w:pPr>
    </w:p>
    <w:p>
      <w:pPr>
        <w:jc w:val="both"/>
        <w:ind w:right="240" w:firstLine="524"/>
        <w:spacing w:after="0" w:line="294" w:lineRule="auto"/>
        <w:rPr>
          <w:sz w:val="20"/>
          <w:szCs w:val="20"/>
          <w:color w:val="auto"/>
        </w:rPr>
      </w:pPr>
      <w:r>
        <w:rPr>
          <w:rFonts w:ascii="Times New Roman" w:cs="Times New Roman" w:eastAsia="Times New Roman" w:hAnsi="Times New Roman"/>
          <w:sz w:val="19"/>
          <w:szCs w:val="19"/>
          <w:color w:val="auto"/>
        </w:rPr>
        <w:t>The table below details the activity of the accounts receivable allowances and deferred tax asset valuation allowance for the fiscal years ended January 31, 2024, 2023, and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vMerge w:val="restart"/>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Write-offs or</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208"/>
        </w:trPr>
        <w:tc>
          <w:tcPr>
            <w:tcW w:w="3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w w:val="99"/>
              </w:rPr>
              <w:t>Beginning of Year</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End of Year</w:t>
            </w:r>
          </w:p>
        </w:tc>
        <w:tc>
          <w:tcPr>
            <w:tcW w:w="0" w:type="dxa"/>
            <w:vAlign w:val="bottom"/>
          </w:tcPr>
          <w:p>
            <w:pPr>
              <w:spacing w:after="0"/>
              <w:rPr>
                <w:sz w:val="1"/>
                <w:szCs w:val="1"/>
                <w:color w:val="auto"/>
              </w:rPr>
            </w:pPr>
          </w:p>
        </w:tc>
      </w:tr>
      <w:tr>
        <w:trPr>
          <w:trHeight w:val="332"/>
        </w:trPr>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gridSpan w:val="4"/>
          </w:tcPr>
          <w:p>
            <w:pPr>
              <w:jc w:val="right"/>
              <w:ind w:right="1135"/>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02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7"/>
                <w:szCs w:val="17"/>
                <w:b w:val="1"/>
                <w:bCs w:val="1"/>
                <w:color w:val="auto"/>
              </w:rPr>
              <w:t>Year ended January 31, 2024</w:t>
            </w:r>
          </w:p>
        </w:tc>
        <w:tc>
          <w:tcPr>
            <w:tcW w:w="220" w:type="dxa"/>
            <w:vAlign w:val="bottom"/>
            <w:shd w:val="clear" w:color="auto" w:fill="DEDEDE"/>
          </w:tcPr>
          <w:p>
            <w:pPr>
              <w:spacing w:after="0"/>
              <w:rPr>
                <w:sz w:val="24"/>
                <w:szCs w:val="24"/>
                <w:color w:val="auto"/>
              </w:rPr>
            </w:pPr>
          </w:p>
        </w:tc>
        <w:tc>
          <w:tcPr>
            <w:tcW w:w="15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14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146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receivable allowances</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33,206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52,730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(53,565)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32,371</w:t>
            </w:r>
          </w:p>
        </w:tc>
        <w:tc>
          <w:tcPr>
            <w:tcW w:w="0" w:type="dxa"/>
            <w:vAlign w:val="bottom"/>
          </w:tcPr>
          <w:p>
            <w:pPr>
              <w:spacing w:after="0"/>
              <w:rPr>
                <w:sz w:val="1"/>
                <w:szCs w:val="1"/>
                <w:color w:val="auto"/>
              </w:rPr>
            </w:pPr>
          </w:p>
        </w:tc>
      </w:tr>
      <w:tr>
        <w:trPr>
          <w:trHeight w:val="299"/>
        </w:trPr>
        <w:tc>
          <w:tcPr>
            <w:tcW w:w="302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7"/>
                <w:szCs w:val="17"/>
                <w:color w:val="auto"/>
              </w:rPr>
              <w:t>Deferred tax asset valuation allowance</w:t>
            </w:r>
          </w:p>
        </w:tc>
        <w:tc>
          <w:tcPr>
            <w:tcW w:w="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53,570</w:t>
            </w:r>
          </w:p>
        </w:tc>
        <w:tc>
          <w:tcPr>
            <w:tcW w:w="40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34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(18,220)</w:t>
            </w:r>
          </w:p>
        </w:tc>
        <w:tc>
          <w:tcPr>
            <w:tcW w:w="36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35,949</w:t>
            </w:r>
          </w:p>
        </w:tc>
        <w:tc>
          <w:tcPr>
            <w:tcW w:w="0" w:type="dxa"/>
            <w:vAlign w:val="bottom"/>
          </w:tcPr>
          <w:p>
            <w:pPr>
              <w:spacing w:after="0"/>
              <w:rPr>
                <w:sz w:val="1"/>
                <w:szCs w:val="1"/>
                <w:color w:val="auto"/>
              </w:rPr>
            </w:pPr>
          </w:p>
        </w:tc>
      </w:tr>
      <w:tr>
        <w:trPr>
          <w:trHeight w:val="284"/>
        </w:trPr>
        <w:tc>
          <w:tcPr>
            <w:tcW w:w="302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Year ended January 31, 2023</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02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7"/>
                <w:szCs w:val="17"/>
                <w:color w:val="auto"/>
              </w:rPr>
              <w:t>Accounts receivable allowances</w:t>
            </w:r>
          </w:p>
        </w:tc>
        <w:tc>
          <w:tcPr>
            <w:tcW w:w="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24,696</w:t>
            </w:r>
          </w:p>
        </w:tc>
        <w:tc>
          <w:tcPr>
            <w:tcW w:w="40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57,142</w:t>
            </w:r>
          </w:p>
        </w:tc>
        <w:tc>
          <w:tcPr>
            <w:tcW w:w="34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(48,632)</w:t>
            </w:r>
          </w:p>
        </w:tc>
        <w:tc>
          <w:tcPr>
            <w:tcW w:w="36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33,206</w:t>
            </w:r>
          </w:p>
        </w:tc>
        <w:tc>
          <w:tcPr>
            <w:tcW w:w="0" w:type="dxa"/>
            <w:vAlign w:val="bottom"/>
          </w:tcPr>
          <w:p>
            <w:pPr>
              <w:spacing w:after="0"/>
              <w:rPr>
                <w:sz w:val="1"/>
                <w:szCs w:val="1"/>
                <w:color w:val="auto"/>
              </w:rPr>
            </w:pPr>
          </w:p>
        </w:tc>
      </w:tr>
      <w:tr>
        <w:trPr>
          <w:trHeight w:val="284"/>
        </w:trPr>
        <w:tc>
          <w:tcPr>
            <w:tcW w:w="3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tax asset valuation allowance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40,965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53,570</w:t>
            </w:r>
          </w:p>
        </w:tc>
        <w:tc>
          <w:tcPr>
            <w:tcW w:w="0" w:type="dxa"/>
            <w:vAlign w:val="bottom"/>
          </w:tcPr>
          <w:p>
            <w:pPr>
              <w:spacing w:after="0"/>
              <w:rPr>
                <w:sz w:val="1"/>
                <w:szCs w:val="1"/>
                <w:color w:val="auto"/>
              </w:rPr>
            </w:pPr>
          </w:p>
        </w:tc>
      </w:tr>
      <w:tr>
        <w:trPr>
          <w:trHeight w:val="298"/>
        </w:trPr>
        <w:tc>
          <w:tcPr>
            <w:tcW w:w="302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7"/>
                <w:szCs w:val="17"/>
                <w:b w:val="1"/>
                <w:bCs w:val="1"/>
                <w:color w:val="auto"/>
              </w:rPr>
              <w:t>Year ended January 31, 2022</w:t>
            </w:r>
          </w:p>
        </w:tc>
        <w:tc>
          <w:tcPr>
            <w:tcW w:w="220" w:type="dxa"/>
            <w:vAlign w:val="bottom"/>
            <w:shd w:val="clear" w:color="auto" w:fill="DEDEDE"/>
          </w:tcPr>
          <w:p>
            <w:pPr>
              <w:spacing w:after="0"/>
              <w:rPr>
                <w:sz w:val="24"/>
                <w:szCs w:val="24"/>
                <w:color w:val="auto"/>
              </w:rPr>
            </w:pPr>
          </w:p>
        </w:tc>
        <w:tc>
          <w:tcPr>
            <w:tcW w:w="15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14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146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receivable allowances</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36,844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50,467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(62,615)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24,696</w:t>
            </w:r>
          </w:p>
        </w:tc>
        <w:tc>
          <w:tcPr>
            <w:tcW w:w="0" w:type="dxa"/>
            <w:vAlign w:val="bottom"/>
          </w:tcPr>
          <w:p>
            <w:pPr>
              <w:spacing w:after="0"/>
              <w:rPr>
                <w:sz w:val="1"/>
                <w:szCs w:val="1"/>
                <w:color w:val="auto"/>
              </w:rPr>
            </w:pPr>
          </w:p>
        </w:tc>
      </w:tr>
      <w:tr>
        <w:trPr>
          <w:trHeight w:val="298"/>
        </w:trPr>
        <w:tc>
          <w:tcPr>
            <w:tcW w:w="302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7"/>
                <w:szCs w:val="17"/>
                <w:color w:val="auto"/>
              </w:rPr>
              <w:t>Deferred tax asset valuation allowance</w:t>
            </w:r>
          </w:p>
        </w:tc>
        <w:tc>
          <w:tcPr>
            <w:tcW w:w="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335,051</w:t>
            </w:r>
          </w:p>
        </w:tc>
        <w:tc>
          <w:tcPr>
            <w:tcW w:w="40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5,511</w:t>
            </w:r>
          </w:p>
        </w:tc>
        <w:tc>
          <w:tcPr>
            <w:tcW w:w="34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(327,957)</w:t>
            </w:r>
          </w:p>
        </w:tc>
        <w:tc>
          <w:tcPr>
            <w:tcW w:w="36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12,605</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right="240" w:firstLine="524"/>
        <w:spacing w:after="0" w:line="275" w:lineRule="auto"/>
        <w:rPr>
          <w:sz w:val="20"/>
          <w:szCs w:val="20"/>
          <w:color w:val="auto"/>
        </w:rPr>
      </w:pPr>
      <w:r>
        <w:rPr>
          <w:rFonts w:ascii="Times New Roman" w:cs="Times New Roman" w:eastAsia="Times New Roman" w:hAnsi="Times New Roman"/>
          <w:sz w:val="19"/>
          <w:szCs w:val="19"/>
          <w:color w:val="auto"/>
        </w:rPr>
        <w:t>All other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None.</w:t>
      </w:r>
    </w:p>
    <w:p>
      <w:pPr>
        <w:sectPr>
          <w:pgSz w:w="11880" w:h="15480" w:orient="portrait"/>
          <w:cols w:equalWidth="0" w:num="1">
            <w:col w:w="10200"/>
          </w:cols>
          <w:pgMar w:left="960" w:top="81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103</w:t>
      </w:r>
    </w:p>
    <w:p>
      <w:pPr>
        <w:sectPr>
          <w:pgSz w:w="11880" w:h="15480" w:orient="portrait"/>
          <w:cols w:equalWidth="0" w:num="1">
            <w:col w:w="10200"/>
          </w:cols>
          <w:pgMar w:left="960" w:top="815" w:right="720" w:bottom="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54" w:lineRule="exact"/>
        <w:rPr>
          <w:sz w:val="20"/>
          <w:szCs w:val="20"/>
          <w:color w:val="auto"/>
        </w:rPr>
      </w:pPr>
    </w:p>
    <w:p>
      <w:pPr>
        <w:ind w:firstLine="524"/>
        <w:spacing w:after="0" w:line="294"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3780" w:type="dxa"/>
            <w:vAlign w:val="bottom"/>
          </w:tcPr>
          <w:p>
            <w:pPr>
              <w:spacing w:after="0"/>
              <w:rPr>
                <w:sz w:val="22"/>
                <w:szCs w:val="22"/>
                <w:color w:val="auto"/>
              </w:rPr>
            </w:pPr>
          </w:p>
        </w:tc>
        <w:tc>
          <w:tcPr>
            <w:tcW w:w="6100" w:type="dxa"/>
            <w:vAlign w:val="bottom"/>
            <w:gridSpan w:val="2"/>
          </w:tcPr>
          <w:p>
            <w:pPr>
              <w:ind w:left="2200"/>
              <w:spacing w:after="0"/>
              <w:rPr>
                <w:sz w:val="20"/>
                <w:szCs w:val="20"/>
                <w:color w:val="auto"/>
              </w:rPr>
            </w:pPr>
            <w:r>
              <w:rPr>
                <w:rFonts w:ascii="Times New Roman" w:cs="Times New Roman" w:eastAsia="Times New Roman" w:hAnsi="Times New Roman"/>
                <w:sz w:val="19"/>
                <w:szCs w:val="19"/>
                <w:b w:val="1"/>
                <w:bCs w:val="1"/>
                <w:color w:val="auto"/>
              </w:rPr>
              <w:t>ZOOM VIDEO COMMUNICATIONS, INC.</w:t>
            </w:r>
          </w:p>
        </w:tc>
      </w:tr>
      <w:tr>
        <w:trPr>
          <w:trHeight w:val="557"/>
        </w:trPr>
        <w:tc>
          <w:tcPr>
            <w:tcW w:w="3780" w:type="dxa"/>
            <w:vAlign w:val="bottom"/>
          </w:tcPr>
          <w:p>
            <w:pPr>
              <w:spacing w:after="0"/>
              <w:rPr>
                <w:sz w:val="20"/>
                <w:szCs w:val="20"/>
                <w:color w:val="auto"/>
              </w:rPr>
            </w:pPr>
            <w:r>
              <w:rPr>
                <w:rFonts w:ascii="Times New Roman" w:cs="Times New Roman" w:eastAsia="Times New Roman" w:hAnsi="Times New Roman"/>
                <w:sz w:val="19"/>
                <w:szCs w:val="19"/>
                <w:color w:val="auto"/>
              </w:rPr>
              <w:t>Date: March 1, 2024</w:t>
            </w:r>
          </w:p>
        </w:tc>
        <w:tc>
          <w:tcPr>
            <w:tcW w:w="262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By:</w:t>
            </w:r>
          </w:p>
        </w:tc>
        <w:tc>
          <w:tcPr>
            <w:tcW w:w="3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Eric S. Yuan</w:t>
            </w:r>
          </w:p>
        </w:tc>
      </w:tr>
      <w:tr>
        <w:trPr>
          <w:trHeight w:val="256"/>
        </w:trPr>
        <w:tc>
          <w:tcPr>
            <w:tcW w:w="37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Eric S. Yuan</w:t>
            </w:r>
          </w:p>
        </w:tc>
      </w:tr>
      <w:tr>
        <w:trPr>
          <w:trHeight w:val="277"/>
        </w:trPr>
        <w:tc>
          <w:tcPr>
            <w:tcW w:w="3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President and Chief Executive Officer</w:t>
            </w:r>
          </w:p>
        </w:tc>
      </w:tr>
      <w:tr>
        <w:trPr>
          <w:trHeight w:val="277"/>
        </w:trPr>
        <w:tc>
          <w:tcPr>
            <w:tcW w:w="3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(Principal Executive Officer)</w:t>
            </w:r>
          </w:p>
        </w:tc>
      </w:tr>
      <w:tr>
        <w:trPr>
          <w:trHeight w:val="554"/>
        </w:trPr>
        <w:tc>
          <w:tcPr>
            <w:tcW w:w="3780" w:type="dxa"/>
            <w:vAlign w:val="bottom"/>
          </w:tcPr>
          <w:p>
            <w:pPr>
              <w:spacing w:after="0"/>
              <w:rPr>
                <w:sz w:val="20"/>
                <w:szCs w:val="20"/>
                <w:color w:val="auto"/>
              </w:rPr>
            </w:pPr>
            <w:r>
              <w:rPr>
                <w:rFonts w:ascii="Times New Roman" w:cs="Times New Roman" w:eastAsia="Times New Roman" w:hAnsi="Times New Roman"/>
                <w:sz w:val="19"/>
                <w:szCs w:val="19"/>
                <w:color w:val="auto"/>
              </w:rPr>
              <w:t>Date: March 1, 2024</w:t>
            </w:r>
          </w:p>
        </w:tc>
        <w:tc>
          <w:tcPr>
            <w:tcW w:w="262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By:</w:t>
            </w:r>
          </w:p>
        </w:tc>
        <w:tc>
          <w:tcPr>
            <w:tcW w:w="3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Kelly Steckelberg</w:t>
            </w:r>
          </w:p>
        </w:tc>
      </w:tr>
      <w:tr>
        <w:trPr>
          <w:trHeight w:val="256"/>
        </w:trPr>
        <w:tc>
          <w:tcPr>
            <w:tcW w:w="37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Kelly Steckelberg</w:t>
            </w:r>
          </w:p>
        </w:tc>
      </w:tr>
    </w:tbl>
    <w:p>
      <w:pPr>
        <w:spacing w:after="0" w:line="2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5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9"/>
          <w:szCs w:val="19"/>
          <w:b w:val="1"/>
          <w:bCs w:val="1"/>
          <w:i w:val="1"/>
          <w:iCs w:val="1"/>
          <w:color w:val="auto"/>
        </w:rPr>
        <w:t>(Principal Financial Officer)</w:t>
      </w:r>
    </w:p>
    <w:p>
      <w:pPr>
        <w:sectPr>
          <w:pgSz w:w="11880" w:h="15480" w:orient="portrait"/>
          <w:cols w:equalWidth="0" w:num="1">
            <w:col w:w="9960"/>
          </w:cols>
          <w:pgMar w:left="960" w:top="128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880" w:h="15480" w:orient="portrait"/>
          <w:cols w:equalWidth="0" w:num="1">
            <w:col w:w="9960"/>
          </w:cols>
          <w:pgMar w:left="960" w:top="1280" w:right="960" w:bottom="0" w:gutter="0" w:footer="0" w:header="0"/>
          <w:type w:val="continuous"/>
        </w:sectPr>
      </w:pPr>
    </w:p>
    <w:bookmarkStart w:id="108" w:name="page109"/>
    <w:bookmarkEnd w:id="108"/>
    <w:p>
      <w:pPr>
        <w:ind w:left="3880"/>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35" w:lineRule="exact"/>
        <w:rPr>
          <w:sz w:val="20"/>
          <w:szCs w:val="20"/>
          <w:color w:val="auto"/>
        </w:rPr>
      </w:pPr>
    </w:p>
    <w:p>
      <w:pPr>
        <w:jc w:val="both"/>
        <w:ind w:right="540" w:firstLine="476"/>
        <w:spacing w:after="0" w:line="250" w:lineRule="auto"/>
        <w:rPr>
          <w:sz w:val="20"/>
          <w:szCs w:val="20"/>
          <w:color w:val="auto"/>
        </w:rPr>
      </w:pPr>
      <w:r>
        <w:rPr>
          <w:rFonts w:ascii="Times New Roman" w:cs="Times New Roman" w:eastAsia="Times New Roman" w:hAnsi="Times New Roman"/>
          <w:sz w:val="19"/>
          <w:szCs w:val="19"/>
          <w:color w:val="auto"/>
        </w:rPr>
        <w:t>Each person whose signature appears below constitutes and appoints Eric S. Yuan, Kelly Steckelberg, and Aparna Bawa,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88" w:lineRule="exact"/>
        <w:rPr>
          <w:sz w:val="20"/>
          <w:szCs w:val="20"/>
          <w:color w:val="auto"/>
        </w:rPr>
      </w:pPr>
    </w:p>
    <w:p>
      <w:pPr>
        <w:ind w:right="680" w:firstLine="476"/>
        <w:spacing w:after="0" w:line="283"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this report has been signed below by the following persons on behalf of the registrant and in the capacities and on the dates indicated.</w:t>
      </w:r>
    </w:p>
    <w:p>
      <w:pPr>
        <w:spacing w:after="0" w:line="237" w:lineRule="exact"/>
        <w:rPr>
          <w:sz w:val="20"/>
          <w:szCs w:val="20"/>
          <w:color w:val="auto"/>
        </w:rPr>
      </w:pPr>
    </w:p>
    <w:tbl>
      <w:tblPr>
        <w:tblLayout w:type="fixed"/>
        <w:tblInd w:w="480" w:type="dxa"/>
        <w:tblCellMar>
          <w:top w:w="0" w:type="dxa"/>
          <w:left w:w="0" w:type="dxa"/>
          <w:bottom w:w="0" w:type="dxa"/>
          <w:right w:w="0" w:type="dxa"/>
        </w:tblCellMar>
      </w:tblPr>
      <w:tr>
        <w:trPr>
          <w:trHeight w:val="253"/>
        </w:trPr>
        <w:tc>
          <w:tcPr>
            <w:tcW w:w="3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Signature</w:t>
            </w:r>
          </w:p>
        </w:tc>
        <w:tc>
          <w:tcPr>
            <w:tcW w:w="60" w:type="dxa"/>
            <w:vAlign w:val="bottom"/>
          </w:tcPr>
          <w:p>
            <w:pPr>
              <w:spacing w:after="0"/>
              <w:rPr>
                <w:sz w:val="22"/>
                <w:szCs w:val="22"/>
                <w:color w:val="auto"/>
              </w:rPr>
            </w:pPr>
          </w:p>
        </w:tc>
        <w:tc>
          <w:tcPr>
            <w:tcW w:w="432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Title</w:t>
            </w:r>
          </w:p>
        </w:tc>
        <w:tc>
          <w:tcPr>
            <w:tcW w:w="60" w:type="dxa"/>
            <w:vAlign w:val="bottom"/>
          </w:tcPr>
          <w:p>
            <w:pPr>
              <w:spacing w:after="0"/>
              <w:rPr>
                <w:sz w:val="22"/>
                <w:szCs w:val="2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Date</w:t>
            </w:r>
          </w:p>
        </w:tc>
        <w:tc>
          <w:tcPr>
            <w:tcW w:w="0" w:type="dxa"/>
            <w:vAlign w:val="bottom"/>
          </w:tcPr>
          <w:p>
            <w:pPr>
              <w:spacing w:after="0"/>
              <w:rPr>
                <w:sz w:val="1"/>
                <w:szCs w:val="1"/>
                <w:color w:val="auto"/>
              </w:rPr>
            </w:pPr>
          </w:p>
        </w:tc>
      </w:tr>
      <w:tr>
        <w:trPr>
          <w:trHeight w:val="31"/>
        </w:trPr>
        <w:tc>
          <w:tcPr>
            <w:tcW w:w="3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3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 Eric S. Yuan</w:t>
            </w:r>
          </w:p>
        </w:tc>
        <w:tc>
          <w:tcPr>
            <w:tcW w:w="60" w:type="dxa"/>
            <w:vAlign w:val="bottom"/>
          </w:tcPr>
          <w:p>
            <w:pPr>
              <w:spacing w:after="0"/>
              <w:rPr>
                <w:sz w:val="24"/>
                <w:szCs w:val="24"/>
                <w:color w:val="auto"/>
              </w:rPr>
            </w:pPr>
          </w:p>
        </w:tc>
        <w:tc>
          <w:tcPr>
            <w:tcW w:w="4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President, Chief Executive Officer and Director</w:t>
            </w:r>
          </w:p>
        </w:tc>
        <w:tc>
          <w:tcPr>
            <w:tcW w:w="6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1, 2024</w:t>
            </w:r>
          </w:p>
        </w:tc>
        <w:tc>
          <w:tcPr>
            <w:tcW w:w="0" w:type="dxa"/>
            <w:vAlign w:val="bottom"/>
          </w:tcPr>
          <w:p>
            <w:pPr>
              <w:spacing w:after="0"/>
              <w:rPr>
                <w:sz w:val="1"/>
                <w:szCs w:val="1"/>
                <w:color w:val="auto"/>
              </w:rPr>
            </w:pPr>
          </w:p>
        </w:tc>
      </w:tr>
      <w:tr>
        <w:trPr>
          <w:trHeight w:val="61"/>
        </w:trPr>
        <w:tc>
          <w:tcPr>
            <w:tcW w:w="32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320" w:type="dxa"/>
            <w:vAlign w:val="bottom"/>
            <w:vMerge w:val="restart"/>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(Principal Executive Officer)</w:t>
            </w:r>
          </w:p>
        </w:tc>
        <w:tc>
          <w:tcPr>
            <w:tcW w:w="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Eric S. Yuan</w:t>
            </w:r>
          </w:p>
        </w:tc>
        <w:tc>
          <w:tcPr>
            <w:tcW w:w="60" w:type="dxa"/>
            <w:vAlign w:val="bottom"/>
          </w:tcPr>
          <w:p>
            <w:pPr>
              <w:spacing w:after="0"/>
              <w:rPr>
                <w:sz w:val="15"/>
                <w:szCs w:val="15"/>
                <w:color w:val="auto"/>
              </w:rPr>
            </w:pPr>
          </w:p>
        </w:tc>
        <w:tc>
          <w:tcPr>
            <w:tcW w:w="43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2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Kelly Steckelberg</w:t>
            </w:r>
          </w:p>
        </w:tc>
        <w:tc>
          <w:tcPr>
            <w:tcW w:w="60" w:type="dxa"/>
            <w:vAlign w:val="bottom"/>
          </w:tcPr>
          <w:p>
            <w:pPr>
              <w:spacing w:after="0"/>
              <w:rPr>
                <w:sz w:val="24"/>
                <w:szCs w:val="24"/>
                <w:color w:val="auto"/>
              </w:rPr>
            </w:pPr>
          </w:p>
        </w:tc>
        <w:tc>
          <w:tcPr>
            <w:tcW w:w="4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Chief Financial Officer </w:t>
            </w:r>
            <w:r>
              <w:rPr>
                <w:rFonts w:ascii="Times New Roman" w:cs="Times New Roman" w:eastAsia="Times New Roman" w:hAnsi="Times New Roman"/>
                <w:sz w:val="19"/>
                <w:szCs w:val="19"/>
                <w:b w:val="1"/>
                <w:bCs w:val="1"/>
                <w:i w:val="1"/>
                <w:iCs w:val="1"/>
                <w:color w:val="auto"/>
              </w:rPr>
              <w:t>(Principal Financial Officer)</w:t>
            </w:r>
          </w:p>
        </w:tc>
        <w:tc>
          <w:tcPr>
            <w:tcW w:w="6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1, 2024</w:t>
            </w:r>
          </w:p>
        </w:tc>
        <w:tc>
          <w:tcPr>
            <w:tcW w:w="0" w:type="dxa"/>
            <w:vAlign w:val="bottom"/>
          </w:tcPr>
          <w:p>
            <w:pPr>
              <w:spacing w:after="0"/>
              <w:rPr>
                <w:sz w:val="1"/>
                <w:szCs w:val="1"/>
                <w:color w:val="auto"/>
              </w:rPr>
            </w:pPr>
          </w:p>
        </w:tc>
      </w:tr>
      <w:tr>
        <w:trPr>
          <w:trHeight w:val="256"/>
        </w:trPr>
        <w:tc>
          <w:tcPr>
            <w:tcW w:w="3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Kelly Steckelberg</w:t>
            </w:r>
          </w:p>
        </w:tc>
        <w:tc>
          <w:tcPr>
            <w:tcW w:w="6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3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 Shane Crehan</w:t>
            </w:r>
          </w:p>
        </w:tc>
        <w:tc>
          <w:tcPr>
            <w:tcW w:w="60" w:type="dxa"/>
            <w:vAlign w:val="bottom"/>
          </w:tcPr>
          <w:p>
            <w:pPr>
              <w:spacing w:after="0"/>
              <w:rPr>
                <w:sz w:val="24"/>
                <w:szCs w:val="24"/>
                <w:color w:val="auto"/>
              </w:rPr>
            </w:pPr>
          </w:p>
        </w:tc>
        <w:tc>
          <w:tcPr>
            <w:tcW w:w="4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Chief Accounting Officer </w:t>
            </w:r>
            <w:r>
              <w:rPr>
                <w:rFonts w:ascii="Times New Roman" w:cs="Times New Roman" w:eastAsia="Times New Roman" w:hAnsi="Times New Roman"/>
                <w:sz w:val="19"/>
                <w:szCs w:val="19"/>
                <w:b w:val="1"/>
                <w:bCs w:val="1"/>
                <w:i w:val="1"/>
                <w:iCs w:val="1"/>
                <w:color w:val="auto"/>
              </w:rPr>
              <w:t>(Principal Accounting</w:t>
            </w:r>
          </w:p>
        </w:tc>
        <w:tc>
          <w:tcPr>
            <w:tcW w:w="6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1, 2024</w:t>
            </w:r>
          </w:p>
        </w:tc>
        <w:tc>
          <w:tcPr>
            <w:tcW w:w="0" w:type="dxa"/>
            <w:vAlign w:val="bottom"/>
          </w:tcPr>
          <w:p>
            <w:pPr>
              <w:spacing w:after="0"/>
              <w:rPr>
                <w:sz w:val="1"/>
                <w:szCs w:val="1"/>
                <w:color w:val="auto"/>
              </w:rPr>
            </w:pPr>
          </w:p>
        </w:tc>
      </w:tr>
      <w:tr>
        <w:trPr>
          <w:trHeight w:val="64"/>
        </w:trPr>
        <w:tc>
          <w:tcPr>
            <w:tcW w:w="32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320" w:type="dxa"/>
            <w:vAlign w:val="bottom"/>
            <w:vMerge w:val="restart"/>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Officer)</w:t>
            </w:r>
          </w:p>
        </w:tc>
        <w:tc>
          <w:tcPr>
            <w:tcW w:w="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Shane Crehan</w:t>
            </w:r>
          </w:p>
        </w:tc>
        <w:tc>
          <w:tcPr>
            <w:tcW w:w="60" w:type="dxa"/>
            <w:vAlign w:val="bottom"/>
          </w:tcPr>
          <w:p>
            <w:pPr>
              <w:spacing w:after="0"/>
              <w:rPr>
                <w:sz w:val="15"/>
                <w:szCs w:val="15"/>
                <w:color w:val="auto"/>
              </w:rPr>
            </w:pPr>
          </w:p>
        </w:tc>
        <w:tc>
          <w:tcPr>
            <w:tcW w:w="43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32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320" w:type="dxa"/>
            <w:vAlign w:val="bottom"/>
          </w:tcPr>
          <w:p>
            <w:pPr>
              <w:spacing w:after="0"/>
              <w:rPr>
                <w:sz w:val="7"/>
                <w:szCs w:val="7"/>
                <w:color w:val="auto"/>
              </w:rPr>
            </w:pPr>
          </w:p>
        </w:tc>
        <w:tc>
          <w:tcPr>
            <w:tcW w:w="60" w:type="dxa"/>
            <w:vAlign w:val="bottom"/>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6"/>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Jonathan Chadwick</w:t>
            </w:r>
          </w:p>
        </w:tc>
        <w:tc>
          <w:tcPr>
            <w:tcW w:w="60" w:type="dxa"/>
            <w:vAlign w:val="bottom"/>
          </w:tcPr>
          <w:p>
            <w:pPr>
              <w:spacing w:after="0"/>
              <w:rPr>
                <w:sz w:val="24"/>
                <w:szCs w:val="24"/>
                <w:color w:val="auto"/>
              </w:rPr>
            </w:pPr>
          </w:p>
        </w:tc>
        <w:tc>
          <w:tcPr>
            <w:tcW w:w="4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1, 2024</w:t>
            </w:r>
          </w:p>
        </w:tc>
        <w:tc>
          <w:tcPr>
            <w:tcW w:w="0" w:type="dxa"/>
            <w:vAlign w:val="bottom"/>
          </w:tcPr>
          <w:p>
            <w:pPr>
              <w:spacing w:after="0"/>
              <w:rPr>
                <w:sz w:val="1"/>
                <w:szCs w:val="1"/>
                <w:color w:val="auto"/>
              </w:rPr>
            </w:pPr>
          </w:p>
        </w:tc>
      </w:tr>
      <w:tr>
        <w:trPr>
          <w:trHeight w:val="283"/>
        </w:trPr>
        <w:tc>
          <w:tcPr>
            <w:tcW w:w="3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Jonathan Chadwick</w:t>
            </w:r>
          </w:p>
        </w:tc>
        <w:tc>
          <w:tcPr>
            <w:tcW w:w="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Peter Gassner</w:t>
            </w:r>
          </w:p>
        </w:tc>
        <w:tc>
          <w:tcPr>
            <w:tcW w:w="60" w:type="dxa"/>
            <w:vAlign w:val="bottom"/>
          </w:tcPr>
          <w:p>
            <w:pPr>
              <w:spacing w:after="0"/>
              <w:rPr>
                <w:sz w:val="24"/>
                <w:szCs w:val="24"/>
                <w:color w:val="auto"/>
              </w:rPr>
            </w:pPr>
          </w:p>
        </w:tc>
        <w:tc>
          <w:tcPr>
            <w:tcW w:w="4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1, 2024</w:t>
            </w:r>
          </w:p>
        </w:tc>
        <w:tc>
          <w:tcPr>
            <w:tcW w:w="0" w:type="dxa"/>
            <w:vAlign w:val="bottom"/>
          </w:tcPr>
          <w:p>
            <w:pPr>
              <w:spacing w:after="0"/>
              <w:rPr>
                <w:sz w:val="1"/>
                <w:szCs w:val="1"/>
                <w:color w:val="auto"/>
              </w:rPr>
            </w:pPr>
          </w:p>
        </w:tc>
      </w:tr>
      <w:tr>
        <w:trPr>
          <w:trHeight w:val="283"/>
        </w:trPr>
        <w:tc>
          <w:tcPr>
            <w:tcW w:w="3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Peter Gassner</w:t>
            </w:r>
          </w:p>
        </w:tc>
        <w:tc>
          <w:tcPr>
            <w:tcW w:w="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Cindy Hoots</w:t>
            </w:r>
          </w:p>
        </w:tc>
        <w:tc>
          <w:tcPr>
            <w:tcW w:w="60" w:type="dxa"/>
            <w:vAlign w:val="bottom"/>
          </w:tcPr>
          <w:p>
            <w:pPr>
              <w:spacing w:after="0"/>
              <w:rPr>
                <w:sz w:val="24"/>
                <w:szCs w:val="24"/>
                <w:color w:val="auto"/>
              </w:rPr>
            </w:pPr>
          </w:p>
        </w:tc>
        <w:tc>
          <w:tcPr>
            <w:tcW w:w="4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1, 2024</w:t>
            </w:r>
          </w:p>
        </w:tc>
        <w:tc>
          <w:tcPr>
            <w:tcW w:w="0" w:type="dxa"/>
            <w:vAlign w:val="bottom"/>
          </w:tcPr>
          <w:p>
            <w:pPr>
              <w:spacing w:after="0"/>
              <w:rPr>
                <w:sz w:val="1"/>
                <w:szCs w:val="1"/>
                <w:color w:val="auto"/>
              </w:rPr>
            </w:pPr>
          </w:p>
        </w:tc>
      </w:tr>
      <w:tr>
        <w:trPr>
          <w:trHeight w:val="283"/>
        </w:trPr>
        <w:tc>
          <w:tcPr>
            <w:tcW w:w="3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Cindy Hoots</w:t>
            </w:r>
          </w:p>
        </w:tc>
        <w:tc>
          <w:tcPr>
            <w:tcW w:w="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William R. McDermott</w:t>
            </w:r>
          </w:p>
        </w:tc>
        <w:tc>
          <w:tcPr>
            <w:tcW w:w="60" w:type="dxa"/>
            <w:vAlign w:val="bottom"/>
          </w:tcPr>
          <w:p>
            <w:pPr>
              <w:spacing w:after="0"/>
              <w:rPr>
                <w:sz w:val="24"/>
                <w:szCs w:val="24"/>
                <w:color w:val="auto"/>
              </w:rPr>
            </w:pPr>
          </w:p>
        </w:tc>
        <w:tc>
          <w:tcPr>
            <w:tcW w:w="4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1, 2024</w:t>
            </w:r>
          </w:p>
        </w:tc>
        <w:tc>
          <w:tcPr>
            <w:tcW w:w="0" w:type="dxa"/>
            <w:vAlign w:val="bottom"/>
          </w:tcPr>
          <w:p>
            <w:pPr>
              <w:spacing w:after="0"/>
              <w:rPr>
                <w:sz w:val="1"/>
                <w:szCs w:val="1"/>
                <w:color w:val="auto"/>
              </w:rPr>
            </w:pPr>
          </w:p>
        </w:tc>
      </w:tr>
      <w:tr>
        <w:trPr>
          <w:trHeight w:val="283"/>
        </w:trPr>
        <w:tc>
          <w:tcPr>
            <w:tcW w:w="3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William R. McDermott</w:t>
            </w:r>
          </w:p>
        </w:tc>
        <w:tc>
          <w:tcPr>
            <w:tcW w:w="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Herbert Raymond McMaster</w:t>
            </w:r>
          </w:p>
        </w:tc>
        <w:tc>
          <w:tcPr>
            <w:tcW w:w="60" w:type="dxa"/>
            <w:vAlign w:val="bottom"/>
          </w:tcPr>
          <w:p>
            <w:pPr>
              <w:spacing w:after="0"/>
              <w:rPr>
                <w:sz w:val="24"/>
                <w:szCs w:val="24"/>
                <w:color w:val="auto"/>
              </w:rPr>
            </w:pPr>
          </w:p>
        </w:tc>
        <w:tc>
          <w:tcPr>
            <w:tcW w:w="4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1, 2024</w:t>
            </w:r>
          </w:p>
        </w:tc>
        <w:tc>
          <w:tcPr>
            <w:tcW w:w="0" w:type="dxa"/>
            <w:vAlign w:val="bottom"/>
          </w:tcPr>
          <w:p>
            <w:pPr>
              <w:spacing w:after="0"/>
              <w:rPr>
                <w:sz w:val="1"/>
                <w:szCs w:val="1"/>
                <w:color w:val="auto"/>
              </w:rPr>
            </w:pPr>
          </w:p>
        </w:tc>
      </w:tr>
      <w:tr>
        <w:trPr>
          <w:trHeight w:val="283"/>
        </w:trPr>
        <w:tc>
          <w:tcPr>
            <w:tcW w:w="3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Herbert Raymond McMaster</w:t>
            </w:r>
          </w:p>
        </w:tc>
        <w:tc>
          <w:tcPr>
            <w:tcW w:w="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Janet Napolitano</w:t>
            </w:r>
          </w:p>
        </w:tc>
        <w:tc>
          <w:tcPr>
            <w:tcW w:w="60" w:type="dxa"/>
            <w:vAlign w:val="bottom"/>
          </w:tcPr>
          <w:p>
            <w:pPr>
              <w:spacing w:after="0"/>
              <w:rPr>
                <w:sz w:val="24"/>
                <w:szCs w:val="24"/>
                <w:color w:val="auto"/>
              </w:rPr>
            </w:pPr>
          </w:p>
        </w:tc>
        <w:tc>
          <w:tcPr>
            <w:tcW w:w="4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1, 2024</w:t>
            </w:r>
          </w:p>
        </w:tc>
        <w:tc>
          <w:tcPr>
            <w:tcW w:w="0" w:type="dxa"/>
            <w:vAlign w:val="bottom"/>
          </w:tcPr>
          <w:p>
            <w:pPr>
              <w:spacing w:after="0"/>
              <w:rPr>
                <w:sz w:val="1"/>
                <w:szCs w:val="1"/>
                <w:color w:val="auto"/>
              </w:rPr>
            </w:pPr>
          </w:p>
        </w:tc>
      </w:tr>
      <w:tr>
        <w:trPr>
          <w:trHeight w:val="283"/>
        </w:trPr>
        <w:tc>
          <w:tcPr>
            <w:tcW w:w="3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Janet Napolitano</w:t>
            </w:r>
          </w:p>
        </w:tc>
        <w:tc>
          <w:tcPr>
            <w:tcW w:w="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Dan Scheinman</w:t>
            </w:r>
          </w:p>
        </w:tc>
        <w:tc>
          <w:tcPr>
            <w:tcW w:w="60" w:type="dxa"/>
            <w:vAlign w:val="bottom"/>
          </w:tcPr>
          <w:p>
            <w:pPr>
              <w:spacing w:after="0"/>
              <w:rPr>
                <w:sz w:val="24"/>
                <w:szCs w:val="24"/>
                <w:color w:val="auto"/>
              </w:rPr>
            </w:pPr>
          </w:p>
        </w:tc>
        <w:tc>
          <w:tcPr>
            <w:tcW w:w="4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1, 2024</w:t>
            </w:r>
          </w:p>
        </w:tc>
        <w:tc>
          <w:tcPr>
            <w:tcW w:w="0" w:type="dxa"/>
            <w:vAlign w:val="bottom"/>
          </w:tcPr>
          <w:p>
            <w:pPr>
              <w:spacing w:after="0"/>
              <w:rPr>
                <w:sz w:val="1"/>
                <w:szCs w:val="1"/>
                <w:color w:val="auto"/>
              </w:rPr>
            </w:pPr>
          </w:p>
        </w:tc>
      </w:tr>
      <w:tr>
        <w:trPr>
          <w:trHeight w:val="283"/>
        </w:trPr>
        <w:tc>
          <w:tcPr>
            <w:tcW w:w="3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Dan Scheinman</w:t>
            </w:r>
          </w:p>
        </w:tc>
        <w:tc>
          <w:tcPr>
            <w:tcW w:w="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Santiago Subotovsky</w:t>
            </w:r>
          </w:p>
        </w:tc>
        <w:tc>
          <w:tcPr>
            <w:tcW w:w="60" w:type="dxa"/>
            <w:vAlign w:val="bottom"/>
          </w:tcPr>
          <w:p>
            <w:pPr>
              <w:spacing w:after="0"/>
              <w:rPr>
                <w:sz w:val="24"/>
                <w:szCs w:val="24"/>
                <w:color w:val="auto"/>
              </w:rPr>
            </w:pPr>
          </w:p>
        </w:tc>
        <w:tc>
          <w:tcPr>
            <w:tcW w:w="4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1, 2024</w:t>
            </w:r>
          </w:p>
        </w:tc>
        <w:tc>
          <w:tcPr>
            <w:tcW w:w="0" w:type="dxa"/>
            <w:vAlign w:val="bottom"/>
          </w:tcPr>
          <w:p>
            <w:pPr>
              <w:spacing w:after="0"/>
              <w:rPr>
                <w:sz w:val="1"/>
                <w:szCs w:val="1"/>
                <w:color w:val="auto"/>
              </w:rPr>
            </w:pPr>
          </w:p>
        </w:tc>
      </w:tr>
      <w:tr>
        <w:trPr>
          <w:trHeight w:val="283"/>
        </w:trPr>
        <w:tc>
          <w:tcPr>
            <w:tcW w:w="3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Santiago Subotovsky</w:t>
            </w:r>
          </w:p>
        </w:tc>
        <w:tc>
          <w:tcPr>
            <w:tcW w:w="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500"/>
          </w:cols>
          <w:pgMar w:left="960" w:top="815"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105</w:t>
      </w:r>
    </w:p>
    <w:p>
      <w:pPr>
        <w:sectPr>
          <w:pgSz w:w="11880" w:h="15480" w:orient="portrait"/>
          <w:cols w:equalWidth="0" w:num="1">
            <w:col w:w="10500"/>
          </w:cols>
          <w:pgMar w:left="960" w:top="815" w:right="420" w:bottom="0" w:gutter="0" w:footer="0" w:header="0"/>
          <w:type w:val="continuous"/>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[This page intentionally left blank]</w:t>
      </w:r>
    </w:p>
    <w:p>
      <w:pPr>
        <w:sectPr>
          <w:pgSz w:w="11880" w:h="15480" w:orient="portrait"/>
          <w:cols w:equalWidth="0" w:num="1">
            <w:col w:w="9000"/>
          </w:cols>
          <w:pgMar w:left="1440" w:top="1440" w:right="1440" w:bottom="1440" w:gutter="0" w:footer="0" w:header="0"/>
        </w:sectPr>
      </w:pPr>
    </w:p>
    <w:bookmarkStart w:id="110" w:name="page111"/>
    <w:bookmarkEnd w:id="110"/>
    <w:p>
      <w:pPr>
        <w:jc w:val="both"/>
        <w:spacing w:after="0" w:line="296" w:lineRule="auto"/>
        <w:rPr>
          <w:sz w:val="20"/>
          <w:szCs w:val="20"/>
          <w:color w:val="auto"/>
        </w:rPr>
      </w:pPr>
      <w:r>
        <w:rPr>
          <w:rFonts w:ascii="Arial" w:cs="Arial" w:eastAsia="Arial" w:hAnsi="Arial"/>
          <w:sz w:val="19"/>
          <w:szCs w:val="19"/>
          <w:color w:val="auto"/>
        </w:rPr>
        <w:t>being forced to choose between fragmented best-of-breed technologies and single-vendor Frankensteins are over. Customers can come to Zoom for quality, interoperability and affordability.</w:t>
      </w:r>
    </w:p>
    <w:p>
      <w:pPr>
        <w:spacing w:after="0" w:line="206" w:lineRule="exact"/>
        <w:rPr>
          <w:sz w:val="20"/>
          <w:szCs w:val="20"/>
          <w:color w:val="auto"/>
        </w:rPr>
      </w:pPr>
    </w:p>
    <w:p>
      <w:pPr>
        <w:jc w:val="both"/>
        <w:ind w:firstLine="1"/>
        <w:spacing w:after="0" w:line="288" w:lineRule="auto"/>
        <w:rPr>
          <w:sz w:val="20"/>
          <w:szCs w:val="20"/>
          <w:color w:val="auto"/>
        </w:rPr>
      </w:pPr>
      <w:r>
        <w:rPr>
          <w:rFonts w:ascii="Arial" w:cs="Arial" w:eastAsia="Arial" w:hAnsi="Arial"/>
          <w:sz w:val="19"/>
          <w:szCs w:val="19"/>
          <w:color w:val="auto"/>
        </w:rPr>
        <w:t>In FY24, we increased prices for our monthly Online Pro subscribers for the first time in approximately a decade, and then rolled out similar price increases across other Online packages. Even as prices rose, our Online Average Monthly Churn settled at the lowest level we have ever reported in the second half of FY24 - a testament to customers’ love for our platform and the value we have added over the years.</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Our recent Zoom Workplace launch represents a further step in ensuring the whole is greater than the sum of the parts. It allows Contact Center agents to blind transfer calls to back-office co-workers over Zoom Phone. Ask Zoom AI Companion is designed to operate seamlessly across modalities. This is just the beginning, as we continue to more tightly integrate our expanding platform to help customers optimize in-person time and flexible work, drive employee engagement, and much more.</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4769B1"/>
        </w:rPr>
        <w:t>Driving efficiency in our operations</w:t>
      </w:r>
    </w:p>
    <w:p>
      <w:pPr>
        <w:spacing w:after="0" w:line="37" w:lineRule="exact"/>
        <w:rPr>
          <w:sz w:val="20"/>
          <w:szCs w:val="20"/>
          <w:color w:val="auto"/>
        </w:rPr>
      </w:pPr>
    </w:p>
    <w:p>
      <w:pPr>
        <w:jc w:val="both"/>
        <w:ind w:firstLine="1"/>
        <w:spacing w:after="0" w:line="284" w:lineRule="auto"/>
        <w:rPr>
          <w:sz w:val="20"/>
          <w:szCs w:val="20"/>
          <w:color w:val="auto"/>
        </w:rPr>
      </w:pPr>
      <w:r>
        <w:rPr>
          <w:rFonts w:ascii="Arial" w:cs="Arial" w:eastAsia="Arial" w:hAnsi="Arial"/>
          <w:sz w:val="19"/>
          <w:szCs w:val="19"/>
          <w:color w:val="auto"/>
        </w:rPr>
        <w:t>When the macro environment worsened in FY23, we were quick to refocus on driving efficiency through eliminating unnecessary spend and prioritizing investment in key growth drivers. At the very beginning of FY24 we underwent the extremely difficult but necessary task of reducing our team by 15%, and cutting management compensation. Making these tough but necessary decisions early on allowed us to refocus on our mission with greater agility. We continued to drive efficiency by migrating workloads from the public cloud to our colocated data centers, and found additional savings in consolidating vendor spend, prioritizing hiring and limiting travel. In FY24, we grew operating cash flow by 24% and achieved a GAAP gross margin of 76.2%, up roughly 130 basis points from FY23. As we continue to invest in top line growth and drive efficiency, we are looking at new opportunities to further increase sales productivity, balance go-to-market strategies, and lean into AI for internal productivity, among many other endeavors.</w:t>
      </w:r>
    </w:p>
    <w:p>
      <w:pPr>
        <w:spacing w:after="0" w:line="22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4769B1"/>
        </w:rPr>
        <w:t>Focusing on strategic M&amp;A and responsible capital allocation</w:t>
      </w:r>
    </w:p>
    <w:p>
      <w:pPr>
        <w:jc w:val="both"/>
        <w:spacing w:after="0" w:line="303" w:lineRule="auto"/>
        <w:rPr>
          <w:sz w:val="20"/>
          <w:szCs w:val="20"/>
          <w:color w:val="auto"/>
        </w:rPr>
      </w:pPr>
      <w:r>
        <w:rPr>
          <w:rFonts w:ascii="Arial" w:cs="Arial" w:eastAsia="Arial" w:hAnsi="Arial"/>
          <w:sz w:val="19"/>
          <w:szCs w:val="19"/>
          <w:color w:val="auto"/>
        </w:rPr>
        <w:t>We have always been very strategic in using shareholder capital to grow and better serve our customers. Our AI Companion is underpinned by</w:t>
      </w:r>
    </w:p>
    <w:p>
      <w:pPr>
        <w:spacing w:after="0" w:line="20" w:lineRule="exact"/>
        <w:rPr>
          <w:sz w:val="20"/>
          <w:szCs w:val="20"/>
          <w:color w:val="auto"/>
        </w:rPr>
      </w:pPr>
      <w:r>
        <w:rPr>
          <w:sz w:val="20"/>
          <w:szCs w:val="20"/>
          <w:color w:val="auto"/>
        </w:rPr>
        <w:br w:type="column"/>
      </w:r>
    </w:p>
    <w:p>
      <w:pPr>
        <w:jc w:val="both"/>
        <w:spacing w:after="0" w:line="285" w:lineRule="auto"/>
        <w:rPr>
          <w:sz w:val="20"/>
          <w:szCs w:val="20"/>
          <w:color w:val="auto"/>
        </w:rPr>
      </w:pPr>
      <w:r>
        <w:rPr>
          <w:rFonts w:ascii="Arial" w:cs="Arial" w:eastAsia="Arial" w:hAnsi="Arial"/>
          <w:sz w:val="19"/>
          <w:szCs w:val="19"/>
          <w:color w:val="auto"/>
        </w:rPr>
        <w:t>technology from our Kites acquisition in FY22. Bringing Solvvy and Workvivo under our roof has greatly expanded the funnel for the larger Zoom platform and enabled us to meet evolving customer needs across customer experience and employee engagement. In Q4, we upsold a Fortune 10 company and long-standing Zoom customer on Workvivo, while also upselling a global bank and early Workvivo customer on the broader Zoom platform. Workvivo’s recognition as a “leader” by Magic Quadrant in its first report on Intranet Packaged Solutions further solidifies its value as a strategic asset in our growing platform.</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On our Q4 FY24 earnings call we announced a $1.5 billion share buyback program, underscoring the confidence our board and management team have in the future of Zoom. Our ability to generate sustainable free cash flow puts us in a strong position to focus on long-term value creation for shareholders, including the aforementioned share buyback program, investing back into the business, and selective M&amp;A.</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4769B1"/>
        </w:rPr>
        <w:t>Reinforcing our strong culture and values</w:t>
      </w:r>
    </w:p>
    <w:p>
      <w:pPr>
        <w:spacing w:after="0" w:line="37"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Amid rapid technological change and macroeconomic turbulence, we take comfort in our enduring culture of delivering happiness and indelible core value of Care. We are immensely proud of the inestimable benefits our product provides for the global community: obviating unnecessary commutes, reducing emissions, mitigating geographic barriers to good jobs, and bridging the digital divide - to name a few. In the coming weeks, we will be issuing our FY24 Impact Report, which chronicles our ESG journey and specifies how Care is manifested in our ongoing actions and results.</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4769B1"/>
        </w:rPr>
        <w:t>Always looking forward</w:t>
      </w:r>
    </w:p>
    <w:p>
      <w:pPr>
        <w:spacing w:after="0" w:line="37" w:lineRule="exact"/>
        <w:rPr>
          <w:sz w:val="20"/>
          <w:szCs w:val="20"/>
          <w:color w:val="auto"/>
        </w:rPr>
      </w:pPr>
    </w:p>
    <w:p>
      <w:pPr>
        <w:jc w:val="both"/>
        <w:ind w:firstLine="1"/>
        <w:spacing w:after="0" w:line="287" w:lineRule="auto"/>
        <w:rPr>
          <w:sz w:val="20"/>
          <w:szCs w:val="20"/>
          <w:color w:val="auto"/>
        </w:rPr>
      </w:pPr>
      <w:r>
        <w:rPr>
          <w:rFonts w:ascii="Arial" w:cs="Arial" w:eastAsia="Arial" w:hAnsi="Arial"/>
          <w:sz w:val="19"/>
          <w:szCs w:val="19"/>
          <w:color w:val="auto"/>
        </w:rPr>
        <w:t>In FY24, we faced the macro challenges head on and became more disciplined and focused, while continuing to prioritize growth opportunities. As a result, we are much better positioned than we were one year ago. Our AI technology and talent are stronger, our platform moat is deeper, our contact center offering is more robust, and our go-to-market teams are primed with defined goals and sharpened expertise to drive growth and empower our customers.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Looking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50800</wp:posOffset>
            </wp:positionV>
            <wp:extent cx="785495" cy="267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1">
                      <a:extLst>
                        <a:ext uri="{28A0092B-C50C-407E-A947-70E740481C1C}"/>
                      </a:extLst>
                    </a:blip>
                    <a:srcRect/>
                    <a:stretch>
                      <a:fillRect/>
                    </a:stretch>
                  </pic:blipFill>
                  <pic:spPr bwMode="auto">
                    <a:xfrm>
                      <a:off x="0" y="0"/>
                      <a:ext cx="785495" cy="26797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Eric S. Yuan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Zoom Founder, CEO, and Stockholder</w:t>
      </w:r>
    </w:p>
    <w:p>
      <w:pPr>
        <w:spacing w:after="0" w:line="272" w:lineRule="exact"/>
        <w:rPr>
          <w:sz w:val="20"/>
          <w:szCs w:val="20"/>
          <w:color w:val="auto"/>
        </w:rPr>
      </w:pPr>
    </w:p>
    <w:p>
      <w:pPr>
        <w:ind w:left="2300"/>
        <w:spacing w:after="0"/>
        <w:rPr>
          <w:sz w:val="20"/>
          <w:szCs w:val="20"/>
          <w:color w:val="auto"/>
        </w:rPr>
      </w:pPr>
      <w:r>
        <w:rPr>
          <w:rFonts w:ascii="Arial" w:cs="Arial" w:eastAsia="Arial" w:hAnsi="Arial"/>
          <w:sz w:val="19"/>
          <w:szCs w:val="19"/>
          <w:color w:val="auto"/>
        </w:rPr>
        <w:t>(continued from front cover)</w:t>
      </w:r>
    </w:p>
    <w:p>
      <w:pPr>
        <w:sectPr>
          <w:pgSz w:w="11880" w:h="15480" w:orient="portrait"/>
          <w:cols w:equalWidth="0" w:num="2">
            <w:col w:w="4680" w:space="560"/>
            <w:col w:w="4680"/>
          </w:cols>
          <w:pgMar w:left="980" w:top="1018" w:right="980" w:bottom="83"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FFFFFF"/>
        </w:rPr>
        <w:t>Zoom Video Communications</w:t>
      </w: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9"/>
          <w:szCs w:val="19"/>
          <w:b w:val="1"/>
          <w:bCs w:val="1"/>
          <w:color w:val="FFFFFF"/>
        </w:rPr>
        <w:t>55 Almaden Boulevard, 6th Floor, San Jose, CA 95113</w:t>
      </w:r>
    </w:p>
    <w:p>
      <w:pPr>
        <w:spacing w:after="0" w:line="123" w:lineRule="exact"/>
        <w:rPr>
          <w:sz w:val="20"/>
          <w:szCs w:val="20"/>
          <w:color w:val="auto"/>
        </w:rPr>
      </w:pPr>
    </w:p>
    <w:p>
      <w:pPr>
        <w:ind w:left="4420"/>
        <w:spacing w:after="0"/>
        <w:rPr>
          <w:sz w:val="20"/>
          <w:szCs w:val="20"/>
          <w:color w:val="auto"/>
        </w:rPr>
      </w:pPr>
      <w:r>
        <w:rPr>
          <w:rFonts w:ascii="Arial" w:cs="Arial" w:eastAsia="Arial" w:hAnsi="Arial"/>
          <w:sz w:val="20"/>
          <w:szCs w:val="20"/>
          <w:color w:val="FFFFFF"/>
        </w:rPr>
        <w:t>zoom.us | 1-888-799-9666 | Investors@Zoom.us</w:t>
      </w:r>
    </w:p>
    <w:sectPr>
      <w:pgSz w:w="11880" w:h="15480" w:orient="portrait"/>
      <w:cols w:equalWidth="0" w:num="1">
        <w:col w:w="9380"/>
      </w:cols>
      <w:pgMar w:left="1440" w:top="1440" w:right="1060" w:bottom="4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2"/>
    </w:lvl>
  </w:abstractNum>
  <w:abstractNum w:abstractNumId="25">
    <w:nsid w:val="5577F8E1"/>
    <w:multiLevelType w:val="hybridMultilevel"/>
    <w:lvl w:ilvl="0">
      <w:lvlJc w:val="left"/>
      <w:lvlText w:val="%1."/>
      <w:numFmt w:val="decimal"/>
      <w:start w:val="3"/>
    </w:lvl>
  </w:abstractNum>
  <w:abstractNum w:abstractNumId="26">
    <w:nsid w:val="440BADFC"/>
    <w:multiLevelType w:val="hybridMultilevel"/>
    <w:lvl w:ilvl="0">
      <w:lvlJc w:val="left"/>
      <w:lvlText w:val="%1."/>
      <w:numFmt w:val="decimal"/>
      <w:start w:val="4"/>
    </w:lvl>
  </w:abstractNum>
  <w:abstractNum w:abstractNumId="27">
    <w:nsid w:val="5072367"/>
    <w:multiLevelType w:val="hybridMultilevel"/>
    <w:lvl w:ilvl="0">
      <w:lvlJc w:val="left"/>
      <w:lvlText w:val="%1."/>
      <w:numFmt w:val="decimal"/>
      <w:start w:val="5"/>
    </w:lvl>
  </w:abstractNum>
  <w:abstractNum w:abstractNumId="28">
    <w:nsid w:val="3804823E"/>
    <w:multiLevelType w:val="hybridMultilevel"/>
    <w:lvl w:ilvl="0">
      <w:lvlJc w:val="left"/>
      <w:lvlText w:val="%1."/>
      <w:numFmt w:val="decimal"/>
      <w:start w:val="2"/>
    </w:lvl>
  </w:abstractNum>
  <w:abstractNum w:abstractNumId="29">
    <w:nsid w:val="77465F01"/>
    <w:multiLevelType w:val="hybridMultilevel"/>
    <w:lvl w:ilvl="0">
      <w:lvlJc w:val="left"/>
      <w:lvlText w:val="%1."/>
      <w:numFmt w:val="decimal"/>
      <w:start w:val="3"/>
    </w:lvl>
  </w:abstractNum>
  <w:abstractNum w:abstractNumId="30">
    <w:nsid w:val="7724C67E"/>
    <w:multiLevelType w:val="hybridMultilevel"/>
    <w:lvl w:ilvl="0">
      <w:lvlJc w:val="left"/>
      <w:lvlText w:val="%1."/>
      <w:numFmt w:val="decimal"/>
      <w:start w:val="4"/>
    </w:lvl>
  </w:abstractNum>
  <w:abstractNum w:abstractNumId="31">
    <w:nsid w:val="5C482A97"/>
    <w:multiLevelType w:val="hybridMultilevel"/>
    <w:lvl w:ilvl="0">
      <w:lvlJc w:val="left"/>
      <w:lvlText w:val="%1."/>
      <w:numFmt w:val="decimal"/>
      <w:start w:val="5"/>
    </w:lvl>
  </w:abstractNum>
  <w:abstractNum w:abstractNumId="32">
    <w:nsid w:val="2463B9EA"/>
    <w:multiLevelType w:val="hybridMultilevel"/>
    <w:lvl w:ilvl="0">
      <w:lvlJc w:val="left"/>
      <w:lvlText w:val="%1."/>
      <w:numFmt w:val="decimal"/>
      <w:start w:val="7"/>
    </w:lvl>
  </w:abstractNum>
  <w:abstractNum w:abstractNumId="33">
    <w:nsid w:val="5E884ADC"/>
    <w:multiLevelType w:val="hybridMultilevel"/>
    <w:lvl w:ilvl="0">
      <w:lvlJc w:val="left"/>
      <w:lvlText w:val="%1."/>
      <w:numFmt w:val="decimal"/>
      <w:start w:val="8"/>
    </w:lvl>
  </w:abstractNum>
  <w:abstractNum w:abstractNumId="34">
    <w:nsid w:val="51EAD36B"/>
    <w:multiLevelType w:val="hybridMultilevel"/>
    <w:lvl w:ilvl="0">
      <w:lvlJc w:val="left"/>
      <w:lvlText w:val="%1."/>
      <w:numFmt w:val="decimal"/>
      <w:start w:val="9"/>
    </w:lvl>
  </w:abstractNum>
  <w:abstractNum w:abstractNumId="35">
    <w:nsid w:val="2D517796"/>
    <w:multiLevelType w:val="hybridMultilevel"/>
    <w:lvl w:ilvl="0">
      <w:lvlJc w:val="left"/>
      <w:lvlText w:val="%1."/>
      <w:numFmt w:val="decimal"/>
      <w:start w:val="10"/>
    </w:lvl>
  </w:abstractNum>
  <w:abstractNum w:abstractNumId="36">
    <w:nsid w:val="580BD78F"/>
    <w:multiLevelType w:val="hybridMultilevel"/>
    <w:lvl w:ilvl="0">
      <w:lvlJc w:val="left"/>
      <w:lvlText w:val="(%1)"/>
      <w:numFmt w:val="lowerLetter"/>
      <w:start w:val="2"/>
    </w:lvl>
  </w:abstractNum>
  <w:abstractNum w:abstractNumId="37">
    <w:nsid w:val="153EA438"/>
    <w:multiLevelType w:val="hybridMultilevel"/>
    <w:lvl w:ilvl="0">
      <w:lvlJc w:val="left"/>
      <w:lvlText w:val="%1."/>
      <w:numFmt w:val="decimal"/>
      <w:start w:val="11"/>
    </w:lvl>
  </w:abstractNum>
  <w:abstractNum w:abstractNumId="38">
    <w:nsid w:val="3855585C"/>
    <w:multiLevelType w:val="hybridMultilevel"/>
    <w:lvl w:ilvl="0">
      <w:lvlJc w:val="left"/>
      <w:lvlText w:val="%1."/>
      <w:numFmt w:val="decimal"/>
      <w:start w:val="12"/>
    </w:lvl>
  </w:abstractNum>
  <w:abstractNum w:abstractNumId="39">
    <w:nsid w:val="70A64E2A"/>
    <w:multiLevelType w:val="hybridMultilevel"/>
    <w:lvl w:ilvl="0">
      <w:lvlJc w:val="left"/>
      <w:lvlText w:val="%1."/>
      <w:numFmt w:val="decimal"/>
      <w:start w:val="13"/>
    </w:lvl>
  </w:abstractNum>
  <w:abstractNum w:abstractNumId="40">
    <w:nsid w:val="6A2342EC"/>
    <w:multiLevelType w:val="hybridMultilevel"/>
    <w:lvl w:ilvl="0">
      <w:lvlJc w:val="left"/>
      <w:lvlText w:val="%1."/>
      <w:numFmt w:val="decimal"/>
      <w:start w:val="14"/>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
      <w:numFmt w:val="bullet"/>
      <w:start w:val="1"/>
    </w:lvl>
    <w:lvl w:ilvl="1">
      <w:lvlJc w:val="left"/>
      <w:lvlText w:val="%2"/>
      <w:numFmt w:val="decimal"/>
      <w:start w:val="104"/>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2024-05-03T23:28:07Z</dcterms:created>
  <dcterms:modified xsi:type="dcterms:W3CDTF">2024-05-03T23:28:07Z</dcterms:modified>
</cp:coreProperties>
</file>