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43"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August 30, 2021</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Zoom Video Communications, Inc.</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19" w:lineRule="exact"/>
        <w:rPr>
          <w:sz w:val="24"/>
          <w:szCs w:val="24"/>
          <w:color w:val="auto"/>
        </w:rPr>
      </w:pPr>
    </w:p>
    <w:tbl>
      <w:tblPr>
        <w:tblLayout w:type="fixed"/>
        <w:tblInd w:w="1060" w:type="dxa"/>
        <w:tblCellMar>
          <w:top w:w="0" w:type="dxa"/>
          <w:left w:w="0" w:type="dxa"/>
          <w:bottom w:w="0" w:type="dxa"/>
          <w:right w:w="0" w:type="dxa"/>
        </w:tblCellMar>
      </w:tblPr>
      <w:tr>
        <w:trPr>
          <w:trHeight w:val="233"/>
        </w:trPr>
        <w:tc>
          <w:tcPr>
            <w:tcW w:w="2120" w:type="dxa"/>
            <w:vAlign w:val="bottom"/>
          </w:tcPr>
          <w:p>
            <w:pPr>
              <w:jc w:val="center"/>
              <w:ind w:right="403"/>
              <w:spacing w:after="0"/>
              <w:rPr>
                <w:sz w:val="20"/>
                <w:szCs w:val="20"/>
                <w:color w:val="auto"/>
              </w:rPr>
            </w:pPr>
            <w:r>
              <w:rPr>
                <w:rFonts w:ascii="Arial" w:cs="Arial" w:eastAsia="Arial" w:hAnsi="Arial"/>
                <w:sz w:val="19"/>
                <w:szCs w:val="19"/>
                <w:b w:val="1"/>
                <w:bCs w:val="1"/>
                <w:color w:val="auto"/>
                <w:w w:val="91"/>
              </w:rPr>
              <w:t>Delaware</w:t>
            </w:r>
          </w:p>
        </w:tc>
        <w:tc>
          <w:tcPr>
            <w:tcW w:w="5020" w:type="dxa"/>
            <w:vAlign w:val="bottom"/>
          </w:tcPr>
          <w:p>
            <w:pPr>
              <w:jc w:val="center"/>
              <w:ind w:right="77"/>
              <w:spacing w:after="0"/>
              <w:rPr>
                <w:sz w:val="20"/>
                <w:szCs w:val="20"/>
                <w:color w:val="auto"/>
              </w:rPr>
            </w:pPr>
            <w:r>
              <w:rPr>
                <w:rFonts w:ascii="Arial" w:cs="Arial" w:eastAsia="Arial" w:hAnsi="Arial"/>
                <w:sz w:val="19"/>
                <w:szCs w:val="19"/>
                <w:b w:val="1"/>
                <w:bCs w:val="1"/>
                <w:color w:val="auto"/>
                <w:w w:val="90"/>
              </w:rPr>
              <w:t>001-38865</w:t>
            </w:r>
          </w:p>
        </w:tc>
        <w:tc>
          <w:tcPr>
            <w:tcW w:w="1700" w:type="dxa"/>
            <w:vAlign w:val="bottom"/>
          </w:tcPr>
          <w:p>
            <w:pPr>
              <w:jc w:val="center"/>
              <w:ind w:left="543"/>
              <w:spacing w:after="0"/>
              <w:rPr>
                <w:sz w:val="20"/>
                <w:szCs w:val="20"/>
                <w:color w:val="auto"/>
              </w:rPr>
            </w:pPr>
            <w:r>
              <w:rPr>
                <w:rFonts w:ascii="Arial" w:cs="Arial" w:eastAsia="Arial" w:hAnsi="Arial"/>
                <w:sz w:val="19"/>
                <w:szCs w:val="19"/>
                <w:b w:val="1"/>
                <w:bCs w:val="1"/>
                <w:color w:val="auto"/>
                <w:w w:val="90"/>
              </w:rPr>
              <w:t>61-1648780</w:t>
            </w:r>
          </w:p>
        </w:tc>
        <w:tc>
          <w:tcPr>
            <w:tcW w:w="0" w:type="dxa"/>
            <w:vAlign w:val="bottom"/>
          </w:tcPr>
          <w:p>
            <w:pPr>
              <w:spacing w:after="0"/>
              <w:rPr>
                <w:sz w:val="1"/>
                <w:szCs w:val="1"/>
                <w:color w:val="auto"/>
              </w:rPr>
            </w:pPr>
          </w:p>
        </w:tc>
      </w:tr>
      <w:tr>
        <w:trPr>
          <w:trHeight w:val="139"/>
        </w:trPr>
        <w:tc>
          <w:tcPr>
            <w:tcW w:w="2120" w:type="dxa"/>
            <w:vAlign w:val="bottom"/>
          </w:tcPr>
          <w:p>
            <w:pPr>
              <w:jc w:val="center"/>
              <w:ind w:right="403"/>
              <w:spacing w:after="0" w:line="139" w:lineRule="exact"/>
              <w:rPr>
                <w:sz w:val="20"/>
                <w:szCs w:val="20"/>
                <w:color w:val="auto"/>
              </w:rPr>
            </w:pPr>
            <w:r>
              <w:rPr>
                <w:rFonts w:ascii="Arial" w:cs="Arial" w:eastAsia="Arial" w:hAnsi="Arial"/>
                <w:sz w:val="14"/>
                <w:szCs w:val="14"/>
                <w:b w:val="1"/>
                <w:bCs w:val="1"/>
                <w:color w:val="auto"/>
                <w:w w:val="90"/>
              </w:rPr>
              <w:t>(State or Other Jurisdiction</w:t>
            </w:r>
          </w:p>
        </w:tc>
        <w:tc>
          <w:tcPr>
            <w:tcW w:w="50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(Commission File Number)</w:t>
            </w:r>
          </w:p>
        </w:tc>
        <w:tc>
          <w:tcPr>
            <w:tcW w:w="1700" w:type="dxa"/>
            <w:vAlign w:val="bottom"/>
          </w:tcPr>
          <w:p>
            <w:pPr>
              <w:jc w:val="center"/>
              <w:ind w:left="543"/>
              <w:spacing w:after="0" w:line="13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9"/>
        </w:trPr>
        <w:tc>
          <w:tcPr>
            <w:tcW w:w="2120" w:type="dxa"/>
            <w:vAlign w:val="bottom"/>
          </w:tcPr>
          <w:p>
            <w:pPr>
              <w:jc w:val="center"/>
              <w:ind w:right="423"/>
              <w:spacing w:after="0"/>
              <w:rPr>
                <w:sz w:val="20"/>
                <w:szCs w:val="20"/>
                <w:color w:val="auto"/>
              </w:rPr>
            </w:pPr>
            <w:r>
              <w:rPr>
                <w:rFonts w:ascii="Arial" w:cs="Arial" w:eastAsia="Arial" w:hAnsi="Arial"/>
                <w:sz w:val="14"/>
                <w:szCs w:val="14"/>
                <w:b w:val="1"/>
                <w:bCs w:val="1"/>
                <w:color w:val="auto"/>
                <w:w w:val="91"/>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28"/>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Arial" w:cs="Arial" w:eastAsia="Arial" w:hAnsi="Arial"/>
                <w:sz w:val="19"/>
                <w:szCs w:val="19"/>
                <w:b w:val="1"/>
                <w:bCs w:val="1"/>
                <w:color w:val="auto"/>
                <w:w w:val="91"/>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20" w:type="dxa"/>
            <w:vAlign w:val="bottom"/>
          </w:tcPr>
          <w:p>
            <w:pPr>
              <w:spacing w:after="0"/>
              <w:rPr>
                <w:sz w:val="19"/>
                <w:szCs w:val="19"/>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89"/>
              </w:rPr>
              <w:t>San Jose, California 95113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94" w:lineRule="exact"/>
        <w:rPr>
          <w:sz w:val="24"/>
          <w:szCs w:val="24"/>
          <w:color w:val="auto"/>
        </w:rPr>
      </w:pPr>
    </w:p>
    <w:p>
      <w:pPr>
        <w:ind w:right="440"/>
        <w:spacing w:after="0" w:line="26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38"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The Nasdaq Global Select Market</w:t>
            </w:r>
          </w:p>
        </w:tc>
      </w:tr>
    </w:tbl>
    <w:p>
      <w:pPr>
        <w:spacing w:after="0" w:line="181" w:lineRule="exact"/>
        <w:rPr>
          <w:sz w:val="24"/>
          <w:szCs w:val="24"/>
          <w:color w:val="auto"/>
        </w:rPr>
      </w:pPr>
    </w:p>
    <w:p>
      <w:pPr>
        <w:ind w:right="18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7" w:lineRule="exact"/>
        <w:rPr>
          <w:sz w:val="24"/>
          <w:szCs w:val="24"/>
          <w:color w:val="auto"/>
        </w:rPr>
      </w:pPr>
    </w:p>
    <w:p>
      <w:pPr>
        <w:ind w:right="4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772160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7"/>
          <w:szCs w:val="17"/>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24" w:lineRule="exact"/>
        <w:rPr>
          <w:sz w:val="20"/>
          <w:szCs w:val="20"/>
          <w:color w:val="auto"/>
        </w:rPr>
      </w:pPr>
    </w:p>
    <w:p>
      <w:pPr>
        <w:ind w:right="320" w:firstLine="620"/>
        <w:spacing w:after="0" w:line="283" w:lineRule="auto"/>
        <w:rPr>
          <w:sz w:val="20"/>
          <w:szCs w:val="20"/>
          <w:color w:val="auto"/>
        </w:rPr>
      </w:pPr>
      <w:r>
        <w:rPr>
          <w:rFonts w:ascii="Arial" w:cs="Arial" w:eastAsia="Arial" w:hAnsi="Arial"/>
          <w:sz w:val="17"/>
          <w:szCs w:val="17"/>
          <w:color w:val="auto"/>
        </w:rPr>
        <w:t>On August 30, 2021, Zoom Video Communications, Inc. (the “Company”) issued a press release announcing its financial results for the three months ended July 31, 2021. A copy of the press release is furnished as Exhibit 99.1 to this report and is incorporated by reference.</w:t>
      </w:r>
    </w:p>
    <w:p>
      <w:pPr>
        <w:spacing w:after="0" w:line="159" w:lineRule="exact"/>
        <w:rPr>
          <w:sz w:val="20"/>
          <w:szCs w:val="20"/>
          <w:color w:val="auto"/>
        </w:rPr>
      </w:pPr>
    </w:p>
    <w:p>
      <w:pPr>
        <w:ind w:right="120" w:firstLine="620"/>
        <w:spacing w:after="0" w:line="263" w:lineRule="auto"/>
        <w:rPr>
          <w:sz w:val="20"/>
          <w:szCs w:val="20"/>
          <w:color w:val="auto"/>
        </w:rPr>
      </w:pPr>
      <w:r>
        <w:rPr>
          <w:rFonts w:ascii="Arial" w:cs="Arial" w:eastAsia="Arial" w:hAnsi="Arial"/>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520" w:type="dxa"/>
            <w:vAlign w:val="bottom"/>
            <w:gridSpan w:val="2"/>
          </w:tcPr>
          <w:p>
            <w:pPr>
              <w:spacing w:after="0"/>
              <w:rPr>
                <w:sz w:val="20"/>
                <w:szCs w:val="20"/>
                <w:color w:val="auto"/>
              </w:rPr>
            </w:pPr>
            <w:r>
              <w:rPr>
                <w:rFonts w:ascii="Arial" w:cs="Arial" w:eastAsia="Arial" w:hAnsi="Arial"/>
                <w:sz w:val="17"/>
                <w:szCs w:val="17"/>
                <w:color w:val="auto"/>
              </w:rPr>
              <w:t>(d)  Exhibits</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060" w:type="dxa"/>
            <w:vAlign w:val="bottom"/>
          </w:tcPr>
          <w:p>
            <w:pPr>
              <w:jc w:val="center"/>
              <w:ind w:right="114"/>
              <w:spacing w:after="0"/>
              <w:rPr>
                <w:sz w:val="20"/>
                <w:szCs w:val="20"/>
                <w:color w:val="auto"/>
              </w:rPr>
            </w:pPr>
            <w:r>
              <w:rPr>
                <w:rFonts w:ascii="Arial" w:cs="Arial" w:eastAsia="Arial" w:hAnsi="Arial"/>
                <w:sz w:val="17"/>
                <w:szCs w:val="17"/>
                <w:color w:val="auto"/>
                <w:w w:val="99"/>
              </w:rPr>
              <w:t>Exhibit No.</w:t>
            </w:r>
          </w:p>
        </w:tc>
        <w:tc>
          <w:tcPr>
            <w:tcW w:w="9720" w:type="dxa"/>
            <w:vAlign w:val="bottom"/>
            <w:gridSpan w:val="5"/>
          </w:tcPr>
          <w:p>
            <w:pPr>
              <w:ind w:left="240"/>
              <w:spacing w:after="0"/>
              <w:rPr>
                <w:sz w:val="20"/>
                <w:szCs w:val="20"/>
                <w:color w:val="auto"/>
              </w:rPr>
            </w:pPr>
            <w:r>
              <w:rPr>
                <w:rFonts w:ascii="Arial" w:cs="Arial" w:eastAsia="Arial" w:hAnsi="Arial"/>
                <w:sz w:val="17"/>
                <w:szCs w:val="17"/>
                <w:color w:val="auto"/>
              </w:rPr>
              <w:t>Description</w:t>
            </w:r>
          </w:p>
        </w:tc>
      </w:tr>
      <w:tr>
        <w:trPr>
          <w:trHeight w:val="20"/>
        </w:trPr>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460" w:type="dxa"/>
            <w:vAlign w:val="bottom"/>
          </w:tcPr>
          <w:p>
            <w:pPr>
              <w:spacing w:after="0"/>
              <w:rPr>
                <w:sz w:val="15"/>
                <w:szCs w:val="15"/>
                <w:color w:val="auto"/>
              </w:rPr>
            </w:pPr>
          </w:p>
        </w:tc>
        <w:tc>
          <w:tcPr>
            <w:tcW w:w="1060" w:type="dxa"/>
            <w:vAlign w:val="bottom"/>
          </w:tcPr>
          <w:p>
            <w:pPr>
              <w:jc w:val="right"/>
              <w:ind w:right="394"/>
              <w:spacing w:after="0" w:line="174" w:lineRule="exact"/>
              <w:rPr>
                <w:sz w:val="20"/>
                <w:szCs w:val="20"/>
                <w:color w:val="auto"/>
              </w:rPr>
            </w:pPr>
            <w:r>
              <w:rPr>
                <w:rFonts w:ascii="Arial" w:cs="Arial" w:eastAsia="Arial" w:hAnsi="Arial"/>
                <w:sz w:val="17"/>
                <w:szCs w:val="17"/>
                <w:color w:val="auto"/>
              </w:rPr>
              <w:t>99.1</w:t>
            </w:r>
          </w:p>
        </w:tc>
        <w:tc>
          <w:tcPr>
            <w:tcW w:w="9720" w:type="dxa"/>
            <w:vAlign w:val="bottom"/>
            <w:gridSpan w:val="5"/>
          </w:tcPr>
          <w:p>
            <w:pPr>
              <w:ind w:left="240"/>
              <w:spacing w:after="0" w:line="174" w:lineRule="exact"/>
              <w:rPr>
                <w:rFonts w:ascii="Arial" w:cs="Arial" w:eastAsia="Arial" w:hAnsi="Arial"/>
                <w:sz w:val="17"/>
                <w:szCs w:val="17"/>
                <w:color w:val="0000FF"/>
              </w:rPr>
            </w:pPr>
            <w:hyperlink w:anchor="page4">
              <w:r>
                <w:rPr>
                  <w:rFonts w:ascii="Arial" w:cs="Arial" w:eastAsia="Arial" w:hAnsi="Arial"/>
                  <w:sz w:val="17"/>
                  <w:szCs w:val="17"/>
                  <w:color w:val="0000FF"/>
                </w:rPr>
                <w:t>Press release dated August 30, 2021 of Zoom Video Communications, Inc.</w:t>
              </w:r>
            </w:hyperlink>
          </w:p>
        </w:tc>
      </w:tr>
      <w:tr>
        <w:trPr>
          <w:trHeight w:val="1187"/>
        </w:trPr>
        <w:tc>
          <w:tcPr>
            <w:tcW w:w="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700" w:type="dxa"/>
            <w:vAlign w:val="bottom"/>
            <w:tcBorders>
              <w:top w:val="single" w:sz="8" w:color="0000FF"/>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8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3400" w:type="dxa"/>
            <w:vAlign w:val="bottom"/>
          </w:tcPr>
          <w:p>
            <w:pPr>
              <w:spacing w:after="0"/>
              <w:rPr>
                <w:sz w:val="19"/>
                <w:szCs w:val="19"/>
                <w:color w:val="auto"/>
              </w:rPr>
            </w:pPr>
          </w:p>
        </w:tc>
        <w:tc>
          <w:tcPr>
            <w:tcW w:w="6680" w:type="dxa"/>
            <w:vAlign w:val="bottom"/>
            <w:gridSpan w:val="2"/>
          </w:tcPr>
          <w:p>
            <w:pPr>
              <w:ind w:left="1740"/>
              <w:spacing w:after="0"/>
              <w:rPr>
                <w:sz w:val="20"/>
                <w:szCs w:val="20"/>
                <w:color w:val="auto"/>
              </w:rPr>
            </w:pPr>
            <w:r>
              <w:rPr>
                <w:rFonts w:ascii="Arial" w:cs="Arial" w:eastAsia="Arial" w:hAnsi="Arial"/>
                <w:sz w:val="17"/>
                <w:szCs w:val="17"/>
                <w:b w:val="1"/>
                <w:bCs w:val="1"/>
                <w:color w:val="auto"/>
              </w:rPr>
              <w:t>Zoom Video Communications, Inc.</w:t>
            </w:r>
          </w:p>
        </w:tc>
      </w:tr>
      <w:tr>
        <w:trPr>
          <w:trHeight w:val="465"/>
        </w:trPr>
        <w:tc>
          <w:tcPr>
            <w:tcW w:w="3400" w:type="dxa"/>
            <w:vAlign w:val="bottom"/>
          </w:tcPr>
          <w:p>
            <w:pPr>
              <w:spacing w:after="0"/>
              <w:rPr>
                <w:sz w:val="20"/>
                <w:szCs w:val="20"/>
                <w:color w:val="auto"/>
              </w:rPr>
            </w:pPr>
            <w:r>
              <w:rPr>
                <w:rFonts w:ascii="Arial" w:cs="Arial" w:eastAsia="Arial" w:hAnsi="Arial"/>
                <w:sz w:val="17"/>
                <w:szCs w:val="17"/>
                <w:color w:val="auto"/>
              </w:rPr>
              <w:t>Dated: August 30, 2021</w:t>
            </w:r>
          </w:p>
        </w:tc>
        <w:tc>
          <w:tcPr>
            <w:tcW w:w="2020" w:type="dxa"/>
            <w:vAlign w:val="bottom"/>
          </w:tcPr>
          <w:p>
            <w:pPr>
              <w:ind w:left="1740"/>
              <w:spacing w:after="0"/>
              <w:rPr>
                <w:sz w:val="20"/>
                <w:szCs w:val="20"/>
                <w:color w:val="auto"/>
              </w:rPr>
            </w:pPr>
            <w:r>
              <w:rPr>
                <w:rFonts w:ascii="Arial" w:cs="Arial" w:eastAsia="Arial" w:hAnsi="Arial"/>
                <w:sz w:val="17"/>
                <w:szCs w:val="17"/>
                <w:color w:val="auto"/>
              </w:rPr>
              <w:t>By:</w:t>
            </w:r>
          </w:p>
        </w:tc>
        <w:tc>
          <w:tcPr>
            <w:tcW w:w="46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Kelly Steckelberg</w:t>
            </w:r>
          </w:p>
        </w:tc>
      </w:tr>
      <w:tr>
        <w:trPr>
          <w:trHeight w:val="213"/>
        </w:trPr>
        <w:tc>
          <w:tcPr>
            <w:tcW w:w="3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Arial" w:cs="Arial" w:eastAsia="Arial" w:hAnsi="Arial"/>
                <w:sz w:val="17"/>
                <w:szCs w:val="17"/>
                <w:color w:val="auto"/>
              </w:rPr>
              <w:t>Kelly Steckelberg</w:t>
            </w:r>
          </w:p>
        </w:tc>
      </w:tr>
      <w:tr>
        <w:trPr>
          <w:trHeight w:val="220"/>
        </w:trPr>
        <w:tc>
          <w:tcPr>
            <w:tcW w:w="3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60" w:type="dxa"/>
            <w:vAlign w:val="bottom"/>
          </w:tcPr>
          <w:p>
            <w:pPr>
              <w:ind w:left="620"/>
              <w:spacing w:after="0"/>
              <w:rPr>
                <w:sz w:val="20"/>
                <w:szCs w:val="20"/>
                <w:color w:val="auto"/>
              </w:rPr>
            </w:pPr>
            <w:r>
              <w:rPr>
                <w:rFonts w:ascii="Arial" w:cs="Arial" w:eastAsia="Arial" w:hAnsi="Arial"/>
                <w:sz w:val="17"/>
                <w:szCs w:val="17"/>
                <w:i w:val="1"/>
                <w:iCs w:val="1"/>
                <w:color w:val="auto"/>
              </w:rPr>
              <w:t>Chief Financial Officer</w:t>
            </w:r>
          </w:p>
        </w:tc>
      </w:tr>
    </w:tbl>
    <w:p>
      <w:pPr>
        <w:sectPr>
          <w:pgSz w:w="11900" w:h="16838" w:orient="portrait"/>
          <w:cols w:equalWidth="0" w:num="1">
            <w:col w:w="11340"/>
          </w:cols>
          <w:pgMar w:left="320" w:top="85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color w:val="auto"/>
        </w:rPr>
        <w:t>Exhibit 99.1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Zoom Reports Financial Results for the Second Quarter of Fiscal Year 2022</w:t>
      </w:r>
    </w:p>
    <w:p>
      <w:pPr>
        <w:spacing w:after="0" w:line="121" w:lineRule="exact"/>
        <w:rPr>
          <w:sz w:val="20"/>
          <w:szCs w:val="20"/>
          <w:color w:val="auto"/>
        </w:rPr>
      </w:pPr>
    </w:p>
    <w:p>
      <w:pPr>
        <w:ind w:left="920" w:hanging="296"/>
        <w:spacing w:after="0"/>
        <w:tabs>
          <w:tab w:leader="none" w:pos="9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Second quarter total revenue of $1,021.5 million, up 54% year over year</w:t>
      </w:r>
    </w:p>
    <w:p>
      <w:pPr>
        <w:spacing w:after="0" w:line="114" w:lineRule="exact"/>
        <w:rPr>
          <w:rFonts w:ascii="Arial" w:cs="Arial" w:eastAsia="Arial" w:hAnsi="Arial"/>
          <w:sz w:val="17"/>
          <w:szCs w:val="17"/>
          <w:b w:val="1"/>
          <w:b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Number of customers contributing more than $100,000 in TTM revenue up 131% year over year</w:t>
      </w:r>
    </w:p>
    <w:p>
      <w:pPr>
        <w:spacing w:after="0" w:line="114" w:lineRule="exact"/>
        <w:rPr>
          <w:rFonts w:ascii="Arial" w:cs="Arial" w:eastAsia="Arial" w:hAnsi="Arial"/>
          <w:sz w:val="17"/>
          <w:szCs w:val="17"/>
          <w:b w:val="1"/>
          <w:bCs w:val="1"/>
          <w:i w:val="1"/>
          <w:i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Second quarter GAAP operating margin of 28.8% and non-GAAP operating margin of 41.6%</w:t>
      </w:r>
    </w:p>
    <w:p>
      <w:pPr>
        <w:spacing w:after="0" w:line="21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b w:val="1"/>
          <w:bCs w:val="1"/>
          <w:color w:val="auto"/>
        </w:rPr>
        <w:t xml:space="preserve">SAN JOSE, California – </w:t>
      </w:r>
      <w:r>
        <w:rPr>
          <w:rFonts w:ascii="Arial" w:cs="Arial" w:eastAsia="Arial" w:hAnsi="Arial"/>
          <w:sz w:val="17"/>
          <w:szCs w:val="17"/>
          <w:color w:val="auto"/>
        </w:rPr>
        <w:t>August 30, 2021 – Zoom Video Communications, Inc. (NASDAQ: ZM) today announced financial results for the second fiscal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July 31, 2021.</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Q2, we achieved our first billion dollar revenue quarter while delivering strong profitability and cash flow,” said Zoom founder and CEO, Eric S. Yuan. “Q2 also marked several milestones on our expansion beyond the UC platform. We launched Zoom Apps, bringing over 50 apps directly into the Zoom experience, and Zoom Events, an all-in-one digital events service. Today we are a global brand counting over half a million customers with more than 10 employees, which we believe positions us extremely well to support organizations and individuals as they look to reimagine work, communications, and collaboration.”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Quarter Fiscal Year 2022 Financial Highlights:</w:t>
      </w:r>
    </w:p>
    <w:p>
      <w:pPr>
        <w:spacing w:after="0" w:line="218" w:lineRule="exact"/>
        <w:rPr>
          <w:sz w:val="20"/>
          <w:szCs w:val="20"/>
          <w:color w:val="auto"/>
        </w:rPr>
      </w:pPr>
    </w:p>
    <w:p>
      <w:pPr>
        <w:ind w:left="920" w:hanging="296"/>
        <w:spacing w:after="0"/>
        <w:tabs>
          <w:tab w:leader="none" w:pos="9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Total revenue for the second quarter was $1,021.5 million, up 54% year over year.</w:t>
      </w:r>
    </w:p>
    <w:p>
      <w:pPr>
        <w:spacing w:after="0" w:line="114" w:lineRule="exact"/>
        <w:rPr>
          <w:rFonts w:ascii="Arial" w:cs="Arial" w:eastAsia="Arial" w:hAnsi="Arial"/>
          <w:sz w:val="17"/>
          <w:szCs w:val="17"/>
          <w:b w:val="1"/>
          <w:bCs w:val="1"/>
          <w:color w:val="auto"/>
        </w:rPr>
      </w:pPr>
    </w:p>
    <w:p>
      <w:pPr>
        <w:ind w:left="940" w:right="80" w:hanging="316"/>
        <w:spacing w:after="0" w:line="263"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Income from Operations and Operating Margin: </w:t>
      </w:r>
      <w:r>
        <w:rPr>
          <w:rFonts w:ascii="Arial" w:cs="Arial" w:eastAsia="Arial" w:hAnsi="Arial"/>
          <w:sz w:val="17"/>
          <w:szCs w:val="17"/>
          <w:color w:val="auto"/>
        </w:rPr>
        <w:t>GAAP income from operations for the second quarter was $294.6 million, up from $188.1</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the second quarter of fiscal year 2021. After adjusting for stock-based compensation expense and related payroll taxes, acquisition-related expenses, and expenses related to charitable donation of common stock, non-GAAP income from operations for the second quarter was $424.7 million, up from $277.0 million in the second quarter of fiscal year 2021. For the second quarter, GAAP operating margin was 28.8% and non-GAAP operating margin was 41.6%.</w:t>
      </w:r>
    </w:p>
    <w:p>
      <w:pPr>
        <w:spacing w:after="0" w:line="169" w:lineRule="exact"/>
        <w:rPr>
          <w:rFonts w:ascii="Arial" w:cs="Arial" w:eastAsia="Arial" w:hAnsi="Arial"/>
          <w:sz w:val="17"/>
          <w:szCs w:val="17"/>
          <w:color w:val="auto"/>
        </w:rPr>
      </w:pPr>
    </w:p>
    <w:p>
      <w:pPr>
        <w:ind w:left="940" w:right="580" w:hanging="316"/>
        <w:spacing w:after="0" w:line="290" w:lineRule="auto"/>
        <w:tabs>
          <w:tab w:leader="none" w:pos="9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Income and Diluted Net Income Per Share: </w:t>
      </w:r>
      <w:r>
        <w:rPr>
          <w:rFonts w:ascii="Arial" w:cs="Arial" w:eastAsia="Arial" w:hAnsi="Arial"/>
          <w:sz w:val="17"/>
          <w:szCs w:val="17"/>
          <w:color w:val="auto"/>
        </w:rPr>
        <w:t>GAAP net income attributable to common stockholders for the second quarter was $316.9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or $1.04 per share, up from $185.7 million, or $0.63 per share in the second quarter of fiscal year 2021.</w:t>
      </w:r>
    </w:p>
    <w:p>
      <w:pPr>
        <w:spacing w:after="0" w:line="50" w:lineRule="exact"/>
        <w:rPr>
          <w:rFonts w:ascii="Arial" w:cs="Arial" w:eastAsia="Arial" w:hAnsi="Arial"/>
          <w:sz w:val="17"/>
          <w:szCs w:val="17"/>
          <w:b w:val="1"/>
          <w:bCs w:val="1"/>
          <w:color w:val="auto"/>
        </w:rPr>
      </w:pPr>
    </w:p>
    <w:p>
      <w:pPr>
        <w:ind w:left="940" w:right="8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Non-GAAP net income for the quarter was $415.1 million, after adjusting for stock-based compensation expense and related payroll taxes, acquisition-related expenses, gains on strategic investments, undistributed earnings attributable to participating securities, and expenses related to charitable donation of common stock. Non-GAAP net income per share was $1.36. In the second quarter of fiscal year 2021, non-GAAP net income was $274.8 million, or $0.92 per share.</w:t>
      </w:r>
    </w:p>
    <w:p>
      <w:pPr>
        <w:spacing w:after="0" w:line="170" w:lineRule="exact"/>
        <w:rPr>
          <w:rFonts w:ascii="Arial" w:cs="Arial" w:eastAsia="Arial" w:hAnsi="Arial"/>
          <w:sz w:val="17"/>
          <w:szCs w:val="17"/>
          <w:b w:val="1"/>
          <w:bCs w:val="1"/>
          <w:color w:val="auto"/>
        </w:rPr>
      </w:pPr>
    </w:p>
    <w:p>
      <w:pPr>
        <w:ind w:left="940" w:right="260" w:hanging="316"/>
        <w:spacing w:after="0" w:line="290" w:lineRule="auto"/>
        <w:tabs>
          <w:tab w:leader="none" w:pos="9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and Marketable Securities: </w:t>
      </w:r>
      <w:r>
        <w:rPr>
          <w:rFonts w:ascii="Arial" w:cs="Arial" w:eastAsia="Arial" w:hAnsi="Arial"/>
          <w:sz w:val="17"/>
          <w:szCs w:val="17"/>
          <w:color w:val="auto"/>
        </w:rPr>
        <w:t>Total cash, cash equivalents, and marketable securities, excluding restricted cash, as of July 31, 2021 was $5.1</w:t>
      </w:r>
      <w:r>
        <w:rPr>
          <w:rFonts w:ascii="Arial" w:cs="Arial" w:eastAsia="Arial" w:hAnsi="Arial"/>
          <w:sz w:val="17"/>
          <w:szCs w:val="17"/>
          <w:b w:val="1"/>
          <w:bCs w:val="1"/>
          <w:color w:val="auto"/>
        </w:rPr>
        <w:t xml:space="preserve"> </w:t>
      </w:r>
      <w:r>
        <w:rPr>
          <w:rFonts w:ascii="Arial" w:cs="Arial" w:eastAsia="Arial" w:hAnsi="Arial"/>
          <w:sz w:val="17"/>
          <w:szCs w:val="17"/>
          <w:color w:val="auto"/>
        </w:rPr>
        <w:t>billion.</w:t>
      </w:r>
    </w:p>
    <w:p>
      <w:pPr>
        <w:spacing w:after="0" w:line="44" w:lineRule="exact"/>
        <w:rPr>
          <w:rFonts w:ascii="Arial" w:cs="Arial" w:eastAsia="Arial" w:hAnsi="Arial"/>
          <w:sz w:val="17"/>
          <w:szCs w:val="17"/>
          <w:b w:val="1"/>
          <w:bCs w:val="1"/>
          <w:color w:val="auto"/>
        </w:rPr>
      </w:pPr>
    </w:p>
    <w:p>
      <w:pPr>
        <w:ind w:left="940" w:right="20" w:hanging="316"/>
        <w:spacing w:after="0" w:line="272"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Cash Flow: </w:t>
      </w:r>
      <w:r>
        <w:rPr>
          <w:rFonts w:ascii="Arial" w:cs="Arial" w:eastAsia="Arial" w:hAnsi="Arial"/>
          <w:sz w:val="17"/>
          <w:szCs w:val="17"/>
          <w:color w:val="auto"/>
        </w:rPr>
        <w:t>Net cash provided by operating activities was $468.0 million for the second quarter, compared to $401.3 million in the second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fiscal year 2021. Free cash flow, which is net cash provided by operating activities less purchases of property and equipment, was $455.0 million, compared to $373.4 million in the second quarter of fiscal year 2021.</w:t>
      </w:r>
    </w:p>
    <w:p>
      <w:pPr>
        <w:spacing w:after="0" w:line="162"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color w:val="auto"/>
        </w:rPr>
        <w:t xml:space="preserve">Customer Metrics: </w:t>
      </w:r>
      <w:r>
        <w:rPr>
          <w:rFonts w:ascii="Arial" w:cs="Arial" w:eastAsia="Arial" w:hAnsi="Arial"/>
          <w:sz w:val="17"/>
          <w:szCs w:val="17"/>
          <w:color w:val="auto"/>
        </w:rPr>
        <w:t>Drivers of total revenue included acquiring new customers and expanding across existing customers. At the end of the second quarter of fiscal</w:t>
      </w:r>
      <w:r>
        <w:rPr>
          <w:rFonts w:ascii="Arial" w:cs="Arial" w:eastAsia="Arial" w:hAnsi="Arial"/>
          <w:sz w:val="17"/>
          <w:szCs w:val="17"/>
          <w:b w:val="1"/>
          <w:bCs w:val="1"/>
          <w:color w:val="auto"/>
        </w:rPr>
        <w:t xml:space="preserve"> </w:t>
      </w:r>
      <w:r>
        <w:rPr>
          <w:rFonts w:ascii="Arial" w:cs="Arial" w:eastAsia="Arial" w:hAnsi="Arial"/>
          <w:sz w:val="17"/>
          <w:szCs w:val="17"/>
          <w:color w:val="auto"/>
        </w:rPr>
        <w:t>year 2022, Zoom had:</w:t>
      </w:r>
    </w:p>
    <w:p>
      <w:pPr>
        <w:spacing w:after="0" w:line="50" w:lineRule="exact"/>
        <w:rPr>
          <w:sz w:val="20"/>
          <w:szCs w:val="20"/>
          <w:color w:val="auto"/>
        </w:rPr>
      </w:pPr>
    </w:p>
    <w:p>
      <w:pPr>
        <w:ind w:left="920" w:hanging="296"/>
        <w:spacing w:after="0"/>
        <w:tabs>
          <w:tab w:leader="none" w:pos="9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2,278 customers contributing more than $100,000 in trailing 12 months revenue, up approximately 131% from the same quarter last fiscal year.</w:t>
      </w:r>
    </w:p>
    <w:p>
      <w:pPr>
        <w:spacing w:after="0" w:line="126" w:lineRule="exact"/>
        <w:rPr>
          <w:rFonts w:ascii="Arial" w:cs="Arial" w:eastAsia="Arial" w:hAnsi="Arial"/>
          <w:sz w:val="16"/>
          <w:szCs w:val="16"/>
          <w:b w:val="1"/>
          <w:bCs w:val="1"/>
          <w:color w:val="auto"/>
        </w:rPr>
      </w:pPr>
    </w:p>
    <w:p>
      <w:pPr>
        <w:ind w:left="920" w:hanging="29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Approximately 504,900 customers with more than 10 employees, up approximately 36% from the same quarter last fiscal year.</w:t>
      </w:r>
    </w:p>
    <w:p>
      <w:pPr>
        <w:spacing w:after="0" w:line="114" w:lineRule="exact"/>
        <w:rPr>
          <w:rFonts w:ascii="Arial" w:cs="Arial" w:eastAsia="Arial" w:hAnsi="Arial"/>
          <w:sz w:val="17"/>
          <w:szCs w:val="17"/>
          <w:color w:val="auto"/>
        </w:rPr>
      </w:pPr>
    </w:p>
    <w:p>
      <w:pPr>
        <w:ind w:left="920" w:hanging="296"/>
        <w:spacing w:after="0"/>
        <w:tabs>
          <w:tab w:leader="none" w:pos="9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 trailing 12-month net dollar expansion rate in customers with more than 10 employees above 130% for the 13th consecutive quarter.</w:t>
      </w:r>
    </w:p>
    <w:p>
      <w:pPr>
        <w:sectPr>
          <w:pgSz w:w="11900" w:h="16838" w:orient="portrait"/>
          <w:cols w:equalWidth="0" w:num="1">
            <w:col w:w="11240"/>
          </w:cols>
          <w:pgMar w:left="320" w:top="109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 xml:space="preserve">Financial Outlook: </w:t>
      </w:r>
      <w:r>
        <w:rPr>
          <w:rFonts w:ascii="Arial" w:cs="Arial" w:eastAsia="Arial" w:hAnsi="Arial"/>
          <w:sz w:val="17"/>
          <w:szCs w:val="17"/>
          <w:color w:val="auto"/>
        </w:rPr>
        <w:t>Zoom is providing the following guidance for its third quarter fiscal year 2022 and its full fiscal year 2022.</w:t>
      </w:r>
    </w:p>
    <w:p>
      <w:pPr>
        <w:spacing w:after="0" w:line="121" w:lineRule="exact"/>
        <w:rPr>
          <w:sz w:val="20"/>
          <w:szCs w:val="20"/>
          <w:color w:val="auto"/>
        </w:rPr>
      </w:pPr>
    </w:p>
    <w:p>
      <w:pPr>
        <w:ind w:left="940" w:right="40" w:hanging="316"/>
        <w:spacing w:after="0" w:line="268" w:lineRule="auto"/>
        <w:tabs>
          <w:tab w:leader="none" w:pos="936"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Third Quarter Fiscal Year 2022: Total revenue is expected to be between $1.015 billion and $1.020 billion and non-GAAP income from operations is expected to be between $340.0 million and $345.0 million. Non-GAAP diluted EPS is expected to be between $1.07 and $1.08 with approximately 309 million non-GAAP weighted average shares outstanding.</w:t>
      </w:r>
    </w:p>
    <w:p>
      <w:pPr>
        <w:spacing w:after="0" w:line="68" w:lineRule="exact"/>
        <w:rPr>
          <w:rFonts w:ascii="Arial" w:cs="Arial" w:eastAsia="Arial" w:hAnsi="Arial"/>
          <w:sz w:val="17"/>
          <w:szCs w:val="17"/>
          <w:b w:val="1"/>
          <w:bCs w:val="1"/>
          <w:color w:val="auto"/>
        </w:rPr>
      </w:pPr>
    </w:p>
    <w:p>
      <w:pPr>
        <w:ind w:left="940" w:right="100" w:hanging="316"/>
        <w:spacing w:after="0" w:line="268"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Full Fiscal Year 2022: Total revenue is expected to be between $4.005 billion and $4.015 billion. Non-GAAP income from operations is expected to be between $1.500 billion and $1.510 billion. Non-GAAP diluted EPS is expected to be between $4.75 and $4.79 with approximately 308 million non-GAAP weighted average shares outstanding.</w:t>
      </w:r>
    </w:p>
    <w:p>
      <w:pPr>
        <w:spacing w:after="0" w:line="17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financial presentation and other information can be accessed through Zoom’s investor relations website at investors.zoom.us.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 Video Earnings Call</w:t>
      </w:r>
    </w:p>
    <w:p>
      <w:pPr>
        <w:spacing w:after="0" w:line="121"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Zoom will host a Zoom Video Webinar for investors on August 30, 2021 at 2:00 p.m. Pacific Time / 5:00 p.m. Eastern Time to discuss the company’s financial results and business highlights. Investors are invited to join the Zoom Video Webinar by visiting: https://investors.zoom.us/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Zoom</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Zoom is for you. We help you express ideas, connect to others, and build toward a future limited only by your imagination. Our frictionless communications platform is the only one that started with video as its foundation, and we have set the standard for innovation ever since. That is why we are an intuitive, scalable, and secure choice for large enterprises, small businesses, and individuals alike. Founded in 2011, Zoom is publicly traded (NASDAQ:ZM) and headquartered in San Jose, California. Visit zoom.com and follow @zoom.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30"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This press release contains express and implied “forward-looking statements” within the meaning of the Private Securities Litigation Reform Act of 1995, including statements regarding our financial outlook for the third quarter of fiscal year 2022 and full fiscal year 2022, Zoom’s growth strategy and business aspirations to support organizations and people on multiple fronts as they look to reimagine work, communications and collaboration.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once the impact of the COVID-19 pandemic tapers, particularly as a vaccine becomes widely available, and users return to work or school or are otherwise no longer subject to shelter-in-place mandates,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and failures in internet infrastructure or interference with broadband access which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April 30, 2021.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ectPr>
          <w:pgSz w:w="11900" w:h="16838" w:orient="portrait"/>
          <w:cols w:equalWidth="0" w:num="1">
            <w:col w:w="11240"/>
          </w:cols>
          <w:pgMar w:left="320" w:top="1064"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7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Non-GAAP Income From Operations and Non-GAAP Operating Margins. Zoom defines non-GAAP income from operations as income from operations excluding stock-based compensation expense and related payroll taxes, expenses related to charitable donation of common stock, acquisition-related expenses, and litigation settlements, net. Zoom excludes stock-based compensation expense and expenses related to charitable donation of common stock because they are non-cash in nature and excluding these expenses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5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expenses related to charitable donation of common stock, acquisition-related expenses, litigation settlements, net, gains on strategic investments, and undistributed earnings attributable to participating securities. Zoom excludes gains on strategic investments because given the size and volatility in the ongoing adjustments to the valuation of our strategic investments, we believe that excluding these gains or losses facilitates a more meaningful evaluation of our operational performance.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67"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42"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Metrics</w:t>
      </w:r>
    </w:p>
    <w:p>
      <w:pPr>
        <w:spacing w:after="0" w:line="121" w:lineRule="exact"/>
        <w:rPr>
          <w:sz w:val="20"/>
          <w:szCs w:val="20"/>
          <w:color w:val="auto"/>
        </w:rPr>
      </w:pPr>
    </w:p>
    <w:p>
      <w:pPr>
        <w:ind w:right="340"/>
        <w:spacing w:after="0" w:line="283" w:lineRule="auto"/>
        <w:rPr>
          <w:sz w:val="20"/>
          <w:szCs w:val="20"/>
          <w:color w:val="auto"/>
        </w:rPr>
      </w:pPr>
      <w:r>
        <w:rPr>
          <w:rFonts w:ascii="Arial" w:cs="Arial" w:eastAsia="Arial" w:hAnsi="Arial"/>
          <w:sz w:val="17"/>
          <w:szCs w:val="17"/>
          <w:color w:val="auto"/>
        </w:rPr>
        <w:t>Zoom defines a customer as a separate and distinct buying entity, which can be a single paid host or an organization of any size (including a distinct unit of an organization) that has multiple paid hosts.</w:t>
      </w:r>
    </w:p>
    <w:p>
      <w:pPr>
        <w:spacing w:after="0" w:line="5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Zoom calculates net dollar expansion rate as of a period end by starting with the annual recurring revenue (“ARR”) from all customers with more than 10 employees as of 12 months prior (“Prior Period ARR”). Zoom defines ARR as the annualized revenue run rate of subscription agreements from all customers at a point in time. We then calculate the ARR from these customers as of the current period end (“Current Period ARR”), which includes any upsells, contraction, and attrition. Zoom</w:t>
      </w:r>
    </w:p>
    <w:p>
      <w:pPr>
        <w:sectPr>
          <w:pgSz w:w="11900" w:h="16838" w:orient="portrait"/>
          <w:cols w:equalWidth="0" w:num="1">
            <w:col w:w="11240"/>
          </w:cols>
          <w:pgMar w:left="320" w:top="1064" w:right="339" w:bottom="1440" w:gutter="0" w:footer="0" w:header="0"/>
        </w:sectPr>
      </w:pPr>
    </w:p>
    <w:bookmarkStart w:id="6" w:name="page7"/>
    <w:bookmarkEnd w:id="6"/>
    <w:p>
      <w:pPr>
        <w:spacing w:after="0" w:line="283" w:lineRule="auto"/>
        <w:rPr>
          <w:sz w:val="20"/>
          <w:szCs w:val="20"/>
          <w:color w:val="auto"/>
        </w:rPr>
      </w:pPr>
      <w:r>
        <w:rPr>
          <w:rFonts w:ascii="Arial" w:cs="Arial" w:eastAsia="Arial" w:hAnsi="Arial"/>
          <w:sz w:val="17"/>
          <w:szCs w:val="17"/>
          <w:color w:val="auto"/>
        </w:rPr>
        <w:t>divides the Current Period ARR by the Prior Period ARR to arrive at the net dollar expansion rate. For the trailing 12 months calculation, Zoom takes an average of the net dollar expansion rate over the trailing 12 months.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Press Relations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Colleen Rodriguez</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Global Public Relations Lead for Zoom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press@zoom.us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Tom McCallum</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 for Zoom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investors@zoom.us</w:t>
      </w:r>
    </w:p>
    <w:p>
      <w:pPr>
        <w:sectPr>
          <w:pgSz w:w="11900" w:h="16838" w:orient="portrait"/>
          <w:cols w:equalWidth="0" w:num="1">
            <w:col w:w="11100"/>
          </w:cols>
          <w:pgMar w:left="320" w:top="967"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200"/>
              <w:spacing w:after="0" w:line="128" w:lineRule="exact"/>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1"/>
                <w:szCs w:val="11"/>
                <w:color w:val="auto"/>
              </w:rPr>
            </w:pPr>
          </w:p>
        </w:tc>
        <w:tc>
          <w:tcPr>
            <w:tcW w:w="1200" w:type="dxa"/>
            <w:vAlign w:val="bottom"/>
          </w:tcPr>
          <w:p>
            <w:pPr>
              <w:jc w:val="right"/>
              <w:ind w:right="275"/>
              <w:spacing w:after="0" w:line="128"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1"/>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1,931,370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2,240,303</w:t>
            </w: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Marketable securities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3,174,029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2,004,410</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395,266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294,703</w:t>
            </w: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Deferred contract acquisition costs, current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162,126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136,630</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116,819</w:t>
            </w:r>
          </w:p>
        </w:tc>
        <w:tc>
          <w:tcPr>
            <w:tcW w:w="0" w:type="dxa"/>
            <w:vAlign w:val="bottom"/>
          </w:tcPr>
          <w:p>
            <w:pPr>
              <w:spacing w:after="0"/>
              <w:rPr>
                <w:sz w:val="1"/>
                <w:szCs w:val="1"/>
                <w:color w:val="auto"/>
              </w:rPr>
            </w:pPr>
          </w:p>
        </w:tc>
      </w:tr>
      <w:tr>
        <w:trPr>
          <w:trHeight w:val="213"/>
        </w:trPr>
        <w:tc>
          <w:tcPr>
            <w:tcW w:w="8280" w:type="dxa"/>
            <w:vAlign w:val="bottom"/>
          </w:tcPr>
          <w:p>
            <w:pPr>
              <w:ind w:left="52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5,835,079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4,792,865</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contract acquisition costs, noncurrent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157,262</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193,852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149,924</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97,649</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Strategic investments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137,795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18,668</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24,340</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 noncurrent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57,285</w:t>
            </w:r>
          </w:p>
        </w:tc>
        <w:tc>
          <w:tcPr>
            <w:tcW w:w="0" w:type="dxa"/>
            <w:vAlign w:val="bottom"/>
          </w:tcPr>
          <w:p>
            <w:pPr>
              <w:spacing w:after="0"/>
              <w:rPr>
                <w:sz w:val="1"/>
                <w:szCs w:val="1"/>
                <w:color w:val="auto"/>
              </w:rPr>
            </w:pP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6,508,593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5,297,993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49,762</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8,664</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393,018</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revenue, current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1,154,449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858,284</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1,686,373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1,259,966</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Deferred revenue, noncurrent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23,579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25,211</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90,415</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 noncurrent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61,634</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1,850,845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1,437,226</w:t>
            </w:r>
          </w:p>
        </w:tc>
        <w:tc>
          <w:tcPr>
            <w:tcW w:w="0" w:type="dxa"/>
            <w:vAlign w:val="bottom"/>
          </w:tcPr>
          <w:p>
            <w:pPr>
              <w:spacing w:after="0"/>
              <w:rPr>
                <w:sz w:val="1"/>
                <w:szCs w:val="1"/>
                <w:color w:val="auto"/>
              </w:rPr>
            </w:pPr>
          </w:p>
        </w:tc>
      </w:tr>
      <w:tr>
        <w:trPr>
          <w:trHeight w:val="238"/>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3,440,222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3,187,168</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Retained earnings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1,217,083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672,468</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4,657,748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3,860,767</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6,508,593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5,297,993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Note: The amount of unbilled accounts receivable included within accounts receivable, net on the condensed consolidated balance sheets was $35.4 million and $24.6 million as of July 31, 2021 and January 31, 2021, respectively.</w:t>
      </w:r>
    </w:p>
    <w:p>
      <w:pPr>
        <w:sectPr>
          <w:pgSz w:w="11900" w:h="16838" w:orient="portrait"/>
          <w:cols w:equalWidth="0" w:num="1">
            <w:col w:w="11240"/>
          </w:cols>
          <w:pgMar w:left="320" w:top="85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Six Months Ended July 31,</w:t>
            </w:r>
          </w:p>
        </w:tc>
      </w:tr>
      <w:tr>
        <w:trPr>
          <w:trHeight w:val="179"/>
        </w:trPr>
        <w:tc>
          <w:tcPr>
            <w:tcW w:w="52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4"/>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1,021,495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663,520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1,977,732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991,687</w:t>
            </w:r>
          </w:p>
        </w:tc>
      </w:tr>
      <w:tr>
        <w:trPr>
          <w:trHeight w:val="22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261,256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192,271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526,250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295,978</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760,239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471,249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1,451,482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695,709</w:t>
            </w:r>
          </w:p>
        </w:tc>
      </w:tr>
      <w:tr>
        <w:trPr>
          <w:trHeight w:val="200"/>
        </w:trPr>
        <w:tc>
          <w:tcPr>
            <w:tcW w:w="52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69,123</w:t>
            </w:r>
          </w:p>
        </w:tc>
      </w:tr>
      <w:tr>
        <w:trPr>
          <w:trHeight w:val="220"/>
        </w:trPr>
        <w:tc>
          <w:tcPr>
            <w:tcW w:w="520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271,179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159,173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516,846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280,729</w:t>
            </w:r>
          </w:p>
        </w:tc>
      </w:tr>
      <w:tr>
        <w:trPr>
          <w:trHeight w:val="220"/>
        </w:trPr>
        <w:tc>
          <w:tcPr>
            <w:tcW w:w="5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266,235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134,368</w:t>
            </w:r>
          </w:p>
        </w:tc>
      </w:tr>
      <w:tr>
        <w:trPr>
          <w:trHeight w:val="213"/>
        </w:trPr>
        <w:tc>
          <w:tcPr>
            <w:tcW w:w="520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465,636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283,145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930,567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484,220</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520,915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211,489</w:t>
            </w:r>
          </w:p>
        </w:tc>
      </w:tr>
      <w:tr>
        <w:trPr>
          <w:trHeight w:val="220"/>
        </w:trPr>
        <w:tc>
          <w:tcPr>
            <w:tcW w:w="5200" w:type="dxa"/>
            <w:vAlign w:val="bottom"/>
          </w:tcPr>
          <w:p>
            <w:pPr>
              <w:ind w:left="20"/>
              <w:spacing w:after="0"/>
              <w:rPr>
                <w:sz w:val="20"/>
                <w:szCs w:val="20"/>
                <w:color w:val="auto"/>
              </w:rPr>
            </w:pPr>
            <w:r>
              <w:rPr>
                <w:rFonts w:ascii="Arial" w:cs="Arial" w:eastAsia="Arial" w:hAnsi="Arial"/>
                <w:sz w:val="17"/>
                <w:szCs w:val="17"/>
                <w:color w:val="auto"/>
              </w:rPr>
              <w:t>Gains on strategic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32,076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32,076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2,538</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5,333</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323,884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190,185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552,815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219,360</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6,296</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317,084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185,989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544,615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213,064</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Undistributed earnings attributable to participating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316,930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185,742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544,306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212,759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5200" w:type="dxa"/>
            <w:vAlign w:val="bottom"/>
          </w:tcPr>
          <w:p>
            <w:pPr>
              <w:ind w:left="20"/>
              <w:spacing w:after="0"/>
              <w:rPr>
                <w:sz w:val="20"/>
                <w:szCs w:val="20"/>
                <w:color w:val="auto"/>
              </w:rPr>
            </w:pPr>
            <w:r>
              <w:rPr>
                <w:rFonts w:ascii="Arial" w:cs="Arial" w:eastAsia="Arial" w:hAnsi="Arial"/>
                <w:sz w:val="17"/>
                <w:szCs w:val="17"/>
                <w:color w:val="auto"/>
              </w:rPr>
              <w:t>Net income per share attributable to common stockholders: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00" w:type="dxa"/>
            <w:vAlign w:val="bottom"/>
          </w:tcPr>
          <w:p>
            <w:pPr>
              <w:ind w:left="20"/>
              <w:spacing w:after="0" w:line="191" w:lineRule="exact"/>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0.63</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035" cy="246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24638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p>
      <w:pPr>
        <w:spacing w:after="0" w:line="13" w:lineRule="exact"/>
        <w:rPr>
          <w:sz w:val="20"/>
          <w:szCs w:val="20"/>
          <w:color w:val="auto"/>
        </w:rPr>
      </w:pPr>
    </w:p>
    <w:p>
      <w:pPr>
        <w:ind w:left="20" w:right="440"/>
        <w:spacing w:after="0" w:line="237" w:lineRule="auto"/>
        <w:rPr>
          <w:sz w:val="20"/>
          <w:szCs w:val="20"/>
          <w:color w:val="auto"/>
        </w:rPr>
      </w:pPr>
      <w:r>
        <w:rPr>
          <w:rFonts w:ascii="Arial" w:cs="Arial" w:eastAsia="Arial" w:hAnsi="Arial"/>
          <w:sz w:val="17"/>
          <w:szCs w:val="17"/>
          <w:color w:val="auto"/>
        </w:rPr>
        <w:t>Weighted-average shares used in computing net income per share attributable to common stockholders: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Arial" w:cs="Arial" w:eastAsia="Arial" w:hAnsi="Arial"/>
          <w:sz w:val="17"/>
          <w:szCs w:val="17"/>
          <w:color w:val="auto"/>
        </w:rPr>
        <w:t>295,712,675</w:t>
      </w:r>
      <w:r>
        <w:rPr>
          <w:sz w:val="20"/>
          <w:szCs w:val="20"/>
          <w:color w:val="auto"/>
        </w:rPr>
        <w:tab/>
      </w:r>
      <w:r>
        <w:rPr>
          <w:rFonts w:ascii="Arial" w:cs="Arial" w:eastAsia="Arial" w:hAnsi="Arial"/>
          <w:sz w:val="17"/>
          <w:szCs w:val="17"/>
          <w:color w:val="auto"/>
        </w:rPr>
        <w:t>282,850,805</w:t>
      </w:r>
      <w:r>
        <w:rPr>
          <w:sz w:val="20"/>
          <w:szCs w:val="20"/>
          <w:color w:val="auto"/>
        </w:rPr>
        <w:tab/>
      </w:r>
      <w:r>
        <w:rPr>
          <w:rFonts w:ascii="Arial" w:cs="Arial" w:eastAsia="Arial" w:hAnsi="Arial"/>
          <w:sz w:val="17"/>
          <w:szCs w:val="17"/>
          <w:color w:val="auto"/>
        </w:rPr>
        <w:t>294,769,619</w:t>
      </w:r>
      <w:r>
        <w:rPr>
          <w:sz w:val="20"/>
          <w:szCs w:val="20"/>
          <w:color w:val="auto"/>
        </w:rPr>
        <w:tab/>
      </w:r>
      <w:r>
        <w:rPr>
          <w:rFonts w:ascii="Arial" w:cs="Arial" w:eastAsia="Arial" w:hAnsi="Arial"/>
          <w:sz w:val="15"/>
          <w:szCs w:val="15"/>
          <w:color w:val="auto"/>
        </w:rPr>
        <w:t>281,394,901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15240</wp:posOffset>
            </wp:positionV>
            <wp:extent cx="713803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88595"/>
                    </a:xfrm>
                    <a:prstGeom prst="rect">
                      <a:avLst/>
                    </a:prstGeom>
                    <a:noFill/>
                  </pic:spPr>
                </pic:pic>
              </a:graphicData>
            </a:graphic>
          </wp:anchor>
        </w:drawing>
      </w:r>
    </w:p>
    <w:p>
      <w:pPr>
        <w:spacing w:after="0" w:line="56"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Arial" w:cs="Arial" w:eastAsia="Arial" w:hAnsi="Arial"/>
          <w:sz w:val="17"/>
          <w:szCs w:val="17"/>
          <w:color w:val="auto"/>
        </w:rPr>
        <w:t>305,861,051</w:t>
      </w:r>
      <w:r>
        <w:rPr>
          <w:sz w:val="20"/>
          <w:szCs w:val="20"/>
          <w:color w:val="auto"/>
        </w:rPr>
        <w:tab/>
      </w:r>
      <w:r>
        <w:rPr>
          <w:rFonts w:ascii="Arial" w:cs="Arial" w:eastAsia="Arial" w:hAnsi="Arial"/>
          <w:sz w:val="17"/>
          <w:szCs w:val="17"/>
          <w:color w:val="auto"/>
        </w:rPr>
        <w:t>297,162,309</w:t>
      </w:r>
      <w:r>
        <w:rPr>
          <w:sz w:val="20"/>
          <w:szCs w:val="20"/>
          <w:color w:val="auto"/>
        </w:rPr>
        <w:tab/>
      </w:r>
      <w:r>
        <w:rPr>
          <w:rFonts w:ascii="Arial" w:cs="Arial" w:eastAsia="Arial" w:hAnsi="Arial"/>
          <w:sz w:val="17"/>
          <w:szCs w:val="17"/>
          <w:color w:val="auto"/>
        </w:rPr>
        <w:t>305,652,628</w:t>
      </w:r>
      <w:r>
        <w:rPr>
          <w:sz w:val="20"/>
          <w:szCs w:val="20"/>
          <w:color w:val="auto"/>
        </w:rPr>
        <w:tab/>
      </w:r>
      <w:r>
        <w:rPr>
          <w:rFonts w:ascii="Arial" w:cs="Arial" w:eastAsia="Arial" w:hAnsi="Arial"/>
          <w:sz w:val="15"/>
          <w:szCs w:val="15"/>
          <w:color w:val="auto"/>
        </w:rPr>
        <w:t>296,408,229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39370</wp:posOffset>
            </wp:positionV>
            <wp:extent cx="3839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9845" cy="8255"/>
                    </a:xfrm>
                    <a:prstGeom prst="rect">
                      <a:avLst/>
                    </a:prstGeom>
                    <a:noFill/>
                  </pic:spPr>
                </pic:pic>
              </a:graphicData>
            </a:graphic>
          </wp:anchor>
        </w:drawing>
      </w:r>
    </w:p>
    <w:p>
      <w:pPr>
        <w:sectPr>
          <w:pgSz w:w="11900" w:h="16838" w:orient="portrait"/>
          <w:cols w:equalWidth="0" w:num="2">
            <w:col w:w="4980" w:space="720"/>
            <w:col w:w="5540"/>
          </w:cols>
          <w:pgMar w:left="320" w:top="858"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80" w:type="dxa"/>
            <w:vAlign w:val="bottom"/>
            <w:gridSpan w:val="4"/>
          </w:tcPr>
          <w:p>
            <w:pPr>
              <w:jc w:val="right"/>
              <w:ind w:right="643"/>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79"/>
        </w:trPr>
        <w:tc>
          <w:tcPr>
            <w:tcW w:w="5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317,084</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185,989</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544,615</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213,064</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102,142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56,855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201,111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85,632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40,781</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Gains on strategic investments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(2,538)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Charitable donation of common stock</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23,312</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10,537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14,959</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12,028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11,814</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Non-cash operating lease cost</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4,359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4,597</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(196,926)</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(57,370)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(53,729)</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(213,790)</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42,368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43,960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10,871</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202,066</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85,740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196,287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296,636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519,149</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Operating lease liabilities,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197"/>
        </w:trPr>
        <w:tc>
          <w:tcPr>
            <w:tcW w:w="5100" w:type="dxa"/>
            <w:vAlign w:val="bottom"/>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468,012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401,346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1,001,314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660,311</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(669,136)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(277,336)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(2,094,587)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(484,882)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Maturities of marketable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500,859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791,906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287,338</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Sales of marketable securities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119,569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119,569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36,897</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(35,253)</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Purchases of strategic investments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(80,400)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(86,900)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acquisition, net of cash acquired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(26,486)</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Purchase of intangible assets</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197"/>
        </w:trPr>
        <w:tc>
          <w:tcPr>
            <w:tcW w:w="5100" w:type="dxa"/>
            <w:vAlign w:val="bottom"/>
          </w:tcPr>
          <w:p>
            <w:pPr>
              <w:ind w:left="7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(144,204)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(172,527)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(1,364,182)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(235,561)</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w w:val="89"/>
              </w:rPr>
              <w:t>Proceeds from issuance of common stock for employee stock purchase plan</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37,846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20,760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37,846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20,760</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3"/>
              </w:rPr>
              <w:t>Proceeds from employee equity transactions to be remitted to employees</w:t>
            </w: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28,884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18,900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234,465</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tax authorities, net</w:t>
            </w: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4,653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17,417</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10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71,383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44,516</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65,104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272,642</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395,191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697,392</w:t>
            </w:r>
          </w:p>
        </w:tc>
        <w:tc>
          <w:tcPr>
            <w:tcW w:w="0" w:type="dxa"/>
            <w:vAlign w:val="bottom"/>
          </w:tcPr>
          <w:p>
            <w:pPr>
              <w:spacing w:after="0"/>
              <w:rPr>
                <w:sz w:val="1"/>
                <w:szCs w:val="1"/>
                <w:color w:val="auto"/>
              </w:rPr>
            </w:pPr>
          </w:p>
        </w:tc>
      </w:tr>
      <w:tr>
        <w:trPr>
          <w:trHeight w:val="204"/>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1,600,161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758,139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2,293,116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334,082</w:t>
            </w:r>
          </w:p>
        </w:tc>
        <w:tc>
          <w:tcPr>
            <w:tcW w:w="0" w:type="dxa"/>
            <w:vAlign w:val="bottom"/>
          </w:tcPr>
          <w:p>
            <w:pPr>
              <w:spacing w:after="0"/>
              <w:rPr>
                <w:sz w:val="1"/>
                <w:szCs w:val="1"/>
                <w:color w:val="auto"/>
              </w:rPr>
            </w:pPr>
          </w:p>
        </w:tc>
      </w:tr>
      <w:tr>
        <w:trPr>
          <w:trHeight w:val="22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1,995,352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1,031,474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1,995,352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1,031,474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1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July 31,</w:t>
            </w:r>
          </w:p>
        </w:tc>
        <w:tc>
          <w:tcPr>
            <w:tcW w:w="28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79"/>
        </w:trPr>
        <w:tc>
          <w:tcPr>
            <w:tcW w:w="53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income from operations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520,915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211,489</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 and related payroll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91,848</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Litigation settlements, net</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4,942</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Charitable donation of common stock</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23,312</w:t>
            </w:r>
          </w:p>
        </w:tc>
        <w:tc>
          <w:tcPr>
            <w:tcW w:w="0" w:type="dxa"/>
            <w:vAlign w:val="bottom"/>
          </w:tcPr>
          <w:p>
            <w:pPr>
              <w:spacing w:after="0"/>
              <w:rPr>
                <w:sz w:val="1"/>
                <w:szCs w:val="1"/>
                <w:color w:val="auto"/>
              </w:rPr>
            </w:pPr>
          </w:p>
        </w:tc>
      </w:tr>
      <w:tr>
        <w:trPr>
          <w:trHeight w:val="23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income from operations</w:t>
            </w: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424,665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276,960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331,591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net income attributable to common stockholders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212,759</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 and related payroll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91,848</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Litigation settlements, net</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Gains on strategic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Acquisition-related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16,604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4,942</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Charitable donation of common stock</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23,312</w:t>
            </w:r>
          </w:p>
        </w:tc>
        <w:tc>
          <w:tcPr>
            <w:tcW w:w="0" w:type="dxa"/>
            <w:vAlign w:val="bottom"/>
          </w:tcPr>
          <w:p>
            <w:pPr>
              <w:spacing w:after="0"/>
              <w:rPr>
                <w:sz w:val="1"/>
                <w:szCs w:val="1"/>
                <w:color w:val="auto"/>
              </w:rPr>
            </w:pPr>
          </w:p>
        </w:tc>
      </w:tr>
      <w:tr>
        <w:trPr>
          <w:trHeight w:val="22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Undistributed earnings attributable to participating securities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3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net income</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415,070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274,845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817,176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333,166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share - basic and diluted: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GAAP net income per share - basic</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Non-GAAP net income per share - basic</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20" w:type="dxa"/>
            <w:vAlign w:val="bottom"/>
          </w:tcPr>
          <w:p>
            <w:pPr>
              <w:ind w:left="220"/>
              <w:spacing w:after="0" w:line="191" w:lineRule="exact"/>
              <w:rPr>
                <w:sz w:val="20"/>
                <w:szCs w:val="20"/>
                <w:color w:val="auto"/>
              </w:rPr>
            </w:pPr>
            <w:r>
              <w:rPr>
                <w:rFonts w:ascii="Arial" w:cs="Arial" w:eastAsia="Arial" w:hAnsi="Arial"/>
                <w:sz w:val="17"/>
                <w:szCs w:val="17"/>
                <w:color w:val="auto"/>
              </w:rPr>
              <w:t>GAAP net income per share - diluted</w:t>
            </w: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0.63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Non-GAAP net income per share - diluted</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5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GAAP and non-GAAP weighted-average shares used to compute net</w:t>
            </w: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295,712,675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282,850,805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294,769,619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281,394,901</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per share - basic</w:t>
            </w:r>
          </w:p>
        </w:tc>
        <w:tc>
          <w:tcPr>
            <w:tcW w:w="3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320" w:type="dxa"/>
            <w:vAlign w:val="bottom"/>
          </w:tcPr>
          <w:p>
            <w:pPr>
              <w:ind w:left="20"/>
              <w:spacing w:after="0" w:line="168" w:lineRule="exact"/>
              <w:rPr>
                <w:sz w:val="20"/>
                <w:szCs w:val="20"/>
                <w:color w:val="auto"/>
              </w:rPr>
            </w:pPr>
            <w:r>
              <w:rPr>
                <w:rFonts w:ascii="Arial" w:cs="Arial" w:eastAsia="Arial" w:hAnsi="Arial"/>
                <w:sz w:val="17"/>
                <w:szCs w:val="17"/>
                <w:color w:val="auto"/>
              </w:rPr>
              <w:t>GAAP and non-GAAP weighted-average shares used to compute net</w:t>
            </w: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305,861,051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297,162,309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305,652,628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296,408,229</w:t>
            </w:r>
          </w:p>
        </w:tc>
        <w:tc>
          <w:tcPr>
            <w:tcW w:w="0" w:type="dxa"/>
            <w:vAlign w:val="bottom"/>
          </w:tcPr>
          <w:p>
            <w:pPr>
              <w:spacing w:after="0"/>
              <w:rPr>
                <w:sz w:val="1"/>
                <w:szCs w:val="1"/>
                <w:color w:val="auto"/>
              </w:rPr>
            </w:pPr>
          </w:p>
        </w:tc>
      </w:tr>
      <w:tr>
        <w:trPr>
          <w:trHeight w:val="219"/>
        </w:trPr>
        <w:tc>
          <w:tcPr>
            <w:tcW w:w="5320" w:type="dxa"/>
            <w:vAlign w:val="bottom"/>
          </w:tcPr>
          <w:p>
            <w:pPr>
              <w:ind w:left="20"/>
              <w:spacing w:after="0"/>
              <w:rPr>
                <w:sz w:val="20"/>
                <w:szCs w:val="20"/>
                <w:color w:val="auto"/>
              </w:rPr>
            </w:pPr>
            <w:r>
              <w:rPr>
                <w:rFonts w:ascii="Arial" w:cs="Arial" w:eastAsia="Arial" w:hAnsi="Arial"/>
                <w:sz w:val="17"/>
                <w:szCs w:val="17"/>
                <w:color w:val="auto"/>
              </w:rPr>
              <w:t>income per share - diluted</w:t>
            </w: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468,012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401,346</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1,001,314</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660,311</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Purchases of property and equipment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(35,253)</w:t>
            </w:r>
          </w:p>
        </w:tc>
        <w:tc>
          <w:tcPr>
            <w:tcW w:w="0" w:type="dxa"/>
            <w:vAlign w:val="bottom"/>
          </w:tcPr>
          <w:p>
            <w:pPr>
              <w:spacing w:after="0"/>
              <w:rPr>
                <w:sz w:val="1"/>
                <w:szCs w:val="1"/>
                <w:color w:val="auto"/>
              </w:rPr>
            </w:pPr>
          </w:p>
        </w:tc>
      </w:tr>
      <w:tr>
        <w:trPr>
          <w:trHeight w:val="23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Free cash flow (non-GAAP)</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455,037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373,365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909,265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625,058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20" w:type="dxa"/>
            <w:vAlign w:val="bottom"/>
          </w:tcPr>
          <w:p>
            <w:pPr>
              <w:ind w:left="20"/>
              <w:spacing w:after="0" w:line="191" w:lineRule="exact"/>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(144,204)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(172,527)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(1,364,182)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(235,561)</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272,642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2021-08-30T15:10:03Z</dcterms:created>
  <dcterms:modified xsi:type="dcterms:W3CDTF">2021-08-30T15:10:03Z</dcterms:modified>
</cp:coreProperties>
</file>