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35444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60" w:type="dxa"/>
            <w:vAlign w:val="bottom"/>
          </w:tcPr>
          <w:p>
            <w:pPr>
              <w:spacing w:after="0"/>
              <w:rPr>
                <w:sz w:val="21"/>
                <w:szCs w:val="21"/>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Subotovsky Santiago</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ind w:left="60"/>
              <w:spacing w:after="0" w:line="185"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4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8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31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01/21/2020</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14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2"/>
        <w:spacing w:after="0"/>
        <w:tabs>
          <w:tab w:leader="none" w:pos="512" w:val="left"/>
          <w:tab w:leader="none" w:pos="215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2"/>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2" w:lineRule="exact"/>
        <w:rPr>
          <w:sz w:val="20"/>
          <w:szCs w:val="20"/>
          <w:color w:val="auto"/>
        </w:rPr>
      </w:pPr>
    </w:p>
    <w:p>
      <w:pPr>
        <w:sectPr>
          <w:pgSz w:w="11900" w:h="16838" w:orient="portrait"/>
          <w:cols w:equalWidth="0" w:num="2">
            <w:col w:w="7980" w:space="68"/>
            <w:col w:w="3472"/>
          </w:cols>
          <w:pgMar w:left="240" w:top="224" w:right="139" w:bottom="0" w:gutter="0" w:footer="0" w:header="0"/>
          <w:type w:val="continuous"/>
        </w:sectPr>
      </w:pP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SAN MATEO</w:t>
            </w:r>
          </w:p>
        </w:tc>
        <w:tc>
          <w:tcPr>
            <w:tcW w:w="980" w:type="dxa"/>
            <w:vAlign w:val="bottom"/>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94402</w:t>
            </w: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0"/>
          <w:szCs w:val="20"/>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jc w:val="center"/>
              <w:ind w:left="647"/>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25"/>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jc w:val="center"/>
              <w:ind w:left="667"/>
              <w:spacing w:after="0"/>
              <w:rPr>
                <w:sz w:val="20"/>
                <w:szCs w:val="20"/>
                <w:color w:val="auto"/>
              </w:rPr>
            </w:pPr>
            <w:r>
              <w:rPr>
                <w:rFonts w:ascii="Arial" w:cs="Arial" w:eastAsia="Arial" w:hAnsi="Arial"/>
                <w:sz w:val="17"/>
                <w:szCs w:val="17"/>
                <w:color w:val="0000FF"/>
                <w:w w:val="91"/>
              </w:rPr>
              <w:t>01/21/2020</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780" w:type="dxa"/>
            <w:vAlign w:val="bottom"/>
            <w:gridSpan w:val="2"/>
            <w:vMerge w:val="restart"/>
          </w:tcPr>
          <w:p>
            <w:pPr>
              <w:jc w:val="center"/>
              <w:ind w:left="150"/>
              <w:spacing w:after="0"/>
              <w:rPr>
                <w:sz w:val="20"/>
                <w:szCs w:val="20"/>
                <w:color w:val="auto"/>
              </w:rPr>
            </w:pPr>
            <w:r>
              <w:rPr>
                <w:rFonts w:ascii="Arial" w:cs="Arial" w:eastAsia="Arial" w:hAnsi="Arial"/>
                <w:sz w:val="17"/>
                <w:szCs w:val="17"/>
                <w:color w:val="0000FF"/>
                <w:w w:val="91"/>
              </w:rPr>
              <w:t>501,412</w:t>
            </w: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501,412</w:t>
            </w:r>
          </w:p>
        </w:tc>
        <w:tc>
          <w:tcPr>
            <w:tcW w:w="320" w:type="dxa"/>
            <w:vAlign w:val="bottom"/>
          </w:tcPr>
          <w:p>
            <w:pPr>
              <w:spacing w:after="0"/>
              <w:rPr>
                <w:sz w:val="22"/>
                <w:szCs w:val="22"/>
                <w:color w:val="auto"/>
              </w:rPr>
            </w:pPr>
          </w:p>
        </w:tc>
        <w:tc>
          <w:tcPr>
            <w:tcW w:w="64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jc w:val="center"/>
              <w:ind w:left="667"/>
              <w:spacing w:after="0"/>
              <w:rPr>
                <w:sz w:val="20"/>
                <w:szCs w:val="20"/>
                <w:color w:val="auto"/>
              </w:rPr>
            </w:pPr>
            <w:r>
              <w:rPr>
                <w:rFonts w:ascii="Arial" w:cs="Arial" w:eastAsia="Arial" w:hAnsi="Arial"/>
                <w:sz w:val="17"/>
                <w:szCs w:val="17"/>
                <w:color w:val="0000FF"/>
                <w:w w:val="91"/>
              </w:rPr>
              <w:t>01/21/2020</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jc w:val="center"/>
              <w:ind w:right="20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(1)(2)</w:t>
            </w:r>
          </w:p>
        </w:tc>
        <w:tc>
          <w:tcPr>
            <w:tcW w:w="780" w:type="dxa"/>
            <w:vAlign w:val="bottom"/>
            <w:gridSpan w:val="2"/>
            <w:vMerge w:val="restart"/>
          </w:tcPr>
          <w:p>
            <w:pPr>
              <w:jc w:val="center"/>
              <w:ind w:left="150"/>
              <w:spacing w:after="0"/>
              <w:rPr>
                <w:sz w:val="20"/>
                <w:szCs w:val="20"/>
                <w:color w:val="auto"/>
              </w:rPr>
            </w:pPr>
            <w:r>
              <w:rPr>
                <w:rFonts w:ascii="Arial" w:cs="Arial" w:eastAsia="Arial" w:hAnsi="Arial"/>
                <w:sz w:val="17"/>
                <w:szCs w:val="17"/>
                <w:color w:val="0000FF"/>
                <w:w w:val="91"/>
              </w:rPr>
              <w:t>501,412</w:t>
            </w: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40" w:type="dxa"/>
            <w:vAlign w:val="bottom"/>
            <w:gridSpan w:val="2"/>
            <w:vMerge w:val="restart"/>
          </w:tcPr>
          <w:p>
            <w:pPr>
              <w:jc w:val="center"/>
              <w:ind w:left="489"/>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jc w:val="center"/>
              <w:ind w:left="667"/>
              <w:spacing w:after="0"/>
              <w:rPr>
                <w:sz w:val="20"/>
                <w:szCs w:val="20"/>
                <w:color w:val="auto"/>
              </w:rPr>
            </w:pPr>
            <w:r>
              <w:rPr>
                <w:rFonts w:ascii="Arial" w:cs="Arial" w:eastAsia="Arial" w:hAnsi="Arial"/>
                <w:sz w:val="17"/>
                <w:szCs w:val="17"/>
                <w:color w:val="0000FF"/>
                <w:w w:val="91"/>
              </w:rPr>
              <w:t>01/21/2020</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(4)(5)</w:t>
            </w:r>
          </w:p>
        </w:tc>
        <w:tc>
          <w:tcPr>
            <w:tcW w:w="740" w:type="dxa"/>
            <w:vAlign w:val="bottom"/>
            <w:vMerge w:val="restart"/>
          </w:tcPr>
          <w:p>
            <w:pPr>
              <w:jc w:val="center"/>
              <w:ind w:left="210"/>
              <w:spacing w:after="0"/>
              <w:rPr>
                <w:sz w:val="20"/>
                <w:szCs w:val="20"/>
                <w:color w:val="auto"/>
              </w:rPr>
            </w:pPr>
            <w:r>
              <w:rPr>
                <w:rFonts w:ascii="Arial" w:cs="Arial" w:eastAsia="Arial" w:hAnsi="Arial"/>
                <w:sz w:val="17"/>
                <w:szCs w:val="17"/>
                <w:color w:val="0000FF"/>
                <w:w w:val="88"/>
              </w:rPr>
              <w:t>61,088</w:t>
            </w:r>
          </w:p>
        </w:tc>
        <w:tc>
          <w:tcPr>
            <w:tcW w:w="40" w:type="dxa"/>
            <w:vAlign w:val="bottom"/>
          </w:tcPr>
          <w:p>
            <w:pPr>
              <w:spacing w:after="0"/>
              <w:rPr>
                <w:sz w:val="22"/>
                <w:szCs w:val="22"/>
                <w:color w:val="auto"/>
              </w:rPr>
            </w:pP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61,088</w:t>
            </w:r>
          </w:p>
        </w:tc>
        <w:tc>
          <w:tcPr>
            <w:tcW w:w="320" w:type="dxa"/>
            <w:vAlign w:val="bottom"/>
          </w:tcPr>
          <w:p>
            <w:pPr>
              <w:spacing w:after="0"/>
              <w:rPr>
                <w:sz w:val="22"/>
                <w:szCs w:val="22"/>
                <w:color w:val="auto"/>
              </w:rPr>
            </w:pPr>
          </w:p>
        </w:tc>
        <w:tc>
          <w:tcPr>
            <w:tcW w:w="64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vMerge w:val="restart"/>
          </w:tcPr>
          <w:p>
            <w:pPr>
              <w:jc w:val="center"/>
              <w:ind w:left="667"/>
              <w:spacing w:after="0"/>
              <w:rPr>
                <w:sz w:val="20"/>
                <w:szCs w:val="20"/>
                <w:color w:val="auto"/>
              </w:rPr>
            </w:pPr>
            <w:r>
              <w:rPr>
                <w:rFonts w:ascii="Arial" w:cs="Arial" w:eastAsia="Arial" w:hAnsi="Arial"/>
                <w:sz w:val="17"/>
                <w:szCs w:val="17"/>
                <w:color w:val="0000FF"/>
                <w:w w:val="91"/>
              </w:rPr>
              <w:t>01/21/2020</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jc w:val="center"/>
              <w:ind w:right="20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(4)(5)</w:t>
            </w:r>
          </w:p>
        </w:tc>
        <w:tc>
          <w:tcPr>
            <w:tcW w:w="740" w:type="dxa"/>
            <w:vAlign w:val="bottom"/>
            <w:vMerge w:val="restart"/>
          </w:tcPr>
          <w:p>
            <w:pPr>
              <w:jc w:val="center"/>
              <w:ind w:left="210"/>
              <w:spacing w:after="0"/>
              <w:rPr>
                <w:sz w:val="20"/>
                <w:szCs w:val="20"/>
                <w:color w:val="auto"/>
              </w:rPr>
            </w:pPr>
            <w:r>
              <w:rPr>
                <w:rFonts w:ascii="Arial" w:cs="Arial" w:eastAsia="Arial" w:hAnsi="Arial"/>
                <w:sz w:val="17"/>
                <w:szCs w:val="17"/>
                <w:color w:val="0000FF"/>
                <w:w w:val="88"/>
              </w:rPr>
              <w:t>61,088</w:t>
            </w:r>
          </w:p>
        </w:tc>
        <w:tc>
          <w:tcPr>
            <w:tcW w:w="40" w:type="dxa"/>
            <w:vAlign w:val="bottom"/>
          </w:tcPr>
          <w:p>
            <w:pPr>
              <w:spacing w:after="0"/>
              <w:rPr>
                <w:sz w:val="22"/>
                <w:szCs w:val="22"/>
                <w:color w:val="auto"/>
              </w:rPr>
            </w:pPr>
          </w:p>
        </w:tc>
        <w:tc>
          <w:tcPr>
            <w:tcW w:w="60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640" w:type="dxa"/>
            <w:vAlign w:val="bottom"/>
            <w:vMerge w:val="restart"/>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40" w:type="dxa"/>
            <w:vAlign w:val="bottom"/>
            <w:gridSpan w:val="2"/>
            <w:vMerge w:val="restart"/>
          </w:tcPr>
          <w:p>
            <w:pPr>
              <w:jc w:val="center"/>
              <w:ind w:left="489"/>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vMerge w:val="restart"/>
          </w:tcPr>
          <w:p>
            <w:pPr>
              <w:jc w:val="center"/>
              <w:ind w:right="35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6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top w:val="single" w:sz="8" w:color="2C2C2C"/>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01/21/2020</w:t>
            </w:r>
          </w:p>
        </w:tc>
        <w:tc>
          <w:tcPr>
            <w:tcW w:w="10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ind w:right="20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(7)</w:t>
            </w:r>
          </w:p>
        </w:tc>
        <w:tc>
          <w:tcPr>
            <w:tcW w:w="740" w:type="dxa"/>
            <w:vAlign w:val="bottom"/>
            <w:tcBorders>
              <w:top w:val="single" w:sz="8" w:color="2C2C2C"/>
              <w:bottom w:val="single" w:sz="8" w:color="2C2C2C"/>
            </w:tcBorders>
          </w:tcPr>
          <w:p>
            <w:pPr>
              <w:jc w:val="center"/>
              <w:ind w:left="210"/>
              <w:spacing w:after="0"/>
              <w:rPr>
                <w:sz w:val="20"/>
                <w:szCs w:val="20"/>
                <w:color w:val="auto"/>
              </w:rPr>
            </w:pPr>
            <w:r>
              <w:rPr>
                <w:rFonts w:ascii="Arial" w:cs="Arial" w:eastAsia="Arial" w:hAnsi="Arial"/>
                <w:sz w:val="17"/>
                <w:szCs w:val="17"/>
                <w:color w:val="0000FF"/>
                <w:w w:val="89"/>
              </w:rPr>
              <w:t>3,700</w:t>
            </w:r>
          </w:p>
        </w:tc>
        <w:tc>
          <w:tcPr>
            <w:tcW w:w="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top w:val="single" w:sz="8" w:color="2C2C2C"/>
              <w:bottom w:val="single" w:sz="8" w:color="2C2C2C"/>
            </w:tcBorders>
          </w:tcPr>
          <w:p>
            <w:pPr>
              <w:jc w:val="right"/>
              <w:ind w:right="8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16,692</w:t>
            </w:r>
          </w:p>
        </w:tc>
        <w:tc>
          <w:tcPr>
            <w:tcW w:w="3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370"/>
              <w:spacing w:after="0"/>
              <w:rPr>
                <w:sz w:val="20"/>
                <w:szCs w:val="20"/>
                <w:color w:val="auto"/>
              </w:rPr>
            </w:pPr>
            <w:r>
              <w:rPr>
                <w:rFonts w:ascii="Arial" w:cs="Arial" w:eastAsia="Arial" w:hAnsi="Arial"/>
                <w:sz w:val="17"/>
                <w:szCs w:val="17"/>
                <w:color w:val="0000FF"/>
                <w:w w:val="97"/>
              </w:rPr>
              <w:t>D</w:t>
            </w:r>
          </w:p>
        </w:tc>
        <w:tc>
          <w:tcPr>
            <w:tcW w:w="1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tcPr>
          <w:p>
            <w:pPr>
              <w:ind w:left="1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0"/>
              <w:spacing w:after="0" w:line="132" w:lineRule="exact"/>
              <w:rPr>
                <w:sz w:val="20"/>
                <w:szCs w:val="20"/>
                <w:color w:val="auto"/>
              </w:rPr>
            </w:pPr>
            <w:r>
              <w:rPr>
                <w:rFonts w:ascii="Arial" w:cs="Arial" w:eastAsia="Arial" w:hAnsi="Arial"/>
                <w:sz w:val="12"/>
                <w:szCs w:val="12"/>
                <w:b w:val="1"/>
                <w:bCs w:val="1"/>
                <w:color w:val="auto"/>
                <w:w w:val="98"/>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10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740" w:type="dxa"/>
            <w:vAlign w:val="bottom"/>
            <w:vMerge w:val="restart"/>
          </w:tcPr>
          <w:p>
            <w:pPr>
              <w:jc w:val="center"/>
              <w:ind w:right="30"/>
              <w:spacing w:after="0"/>
              <w:rPr>
                <w:sz w:val="20"/>
                <w:szCs w:val="20"/>
                <w:color w:val="auto"/>
              </w:rPr>
            </w:pPr>
            <w:r>
              <w:rPr>
                <w:rFonts w:ascii="Arial" w:cs="Arial" w:eastAsia="Arial" w:hAnsi="Arial"/>
                <w:sz w:val="11"/>
                <w:szCs w:val="11"/>
                <w:color w:val="008000"/>
                <w:w w:val="88"/>
              </w:rPr>
              <w:t>(8)</w:t>
            </w:r>
          </w:p>
        </w:tc>
        <w:tc>
          <w:tcPr>
            <w:tcW w:w="40" w:type="dxa"/>
            <w:vAlign w:val="bottom"/>
          </w:tcPr>
          <w:p>
            <w:pPr>
              <w:spacing w:after="0"/>
              <w:rPr>
                <w:sz w:val="16"/>
                <w:szCs w:val="16"/>
                <w:color w:val="auto"/>
              </w:rPr>
            </w:pPr>
          </w:p>
        </w:tc>
        <w:tc>
          <w:tcPr>
            <w:tcW w:w="600" w:type="dxa"/>
            <w:vAlign w:val="bottom"/>
          </w:tcPr>
          <w:p>
            <w:pPr>
              <w:jc w:val="center"/>
              <w:ind w:right="106"/>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right"/>
              <w:ind w:right="5"/>
              <w:spacing w:after="0"/>
              <w:rPr>
                <w:sz w:val="20"/>
                <w:szCs w:val="20"/>
                <w:color w:val="auto"/>
              </w:rPr>
            </w:pPr>
            <w:r>
              <w:rPr>
                <w:rFonts w:ascii="Arial" w:cs="Arial" w:eastAsia="Arial" w:hAnsi="Arial"/>
                <w:sz w:val="17"/>
                <w:szCs w:val="17"/>
                <w:color w:val="0000FF"/>
                <w:w w:val="87"/>
              </w:rPr>
              <w:t>501,412</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4"/>
                <w:szCs w:val="4"/>
                <w:color w:val="auto"/>
              </w:rPr>
            </w:pPr>
          </w:p>
        </w:tc>
        <w:tc>
          <w:tcPr>
            <w:tcW w:w="1100" w:type="dxa"/>
            <w:vAlign w:val="bottom"/>
            <w:vMerge w:val="restart"/>
          </w:tcPr>
          <w:p>
            <w:pPr>
              <w:jc w:val="right"/>
              <w:ind w:right="178"/>
              <w:spacing w:after="0" w:line="128" w:lineRule="exact"/>
              <w:rPr>
                <w:sz w:val="20"/>
                <w:szCs w:val="20"/>
                <w:color w:val="auto"/>
              </w:rPr>
            </w:pPr>
            <w:r>
              <w:rPr>
                <w:rFonts w:ascii="Arial" w:cs="Arial" w:eastAsia="Arial" w:hAnsi="Arial"/>
                <w:sz w:val="13"/>
                <w:szCs w:val="13"/>
                <w:color w:val="0000FF"/>
              </w:rPr>
              <w:t>01/21/2020</w:t>
            </w:r>
          </w:p>
        </w:tc>
        <w:tc>
          <w:tcPr>
            <w:tcW w:w="1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restart"/>
          </w:tcPr>
          <w:p>
            <w:pPr>
              <w:jc w:val="right"/>
              <w:ind w:right="60"/>
              <w:spacing w:after="0" w:line="128" w:lineRule="exact"/>
              <w:rPr>
                <w:sz w:val="20"/>
                <w:szCs w:val="20"/>
                <w:color w:val="auto"/>
              </w:rPr>
            </w:pPr>
            <w:r>
              <w:rPr>
                <w:rFonts w:ascii="Arial" w:cs="Arial" w:eastAsia="Arial" w:hAnsi="Arial"/>
                <w:sz w:val="13"/>
                <w:szCs w:val="13"/>
                <w:color w:val="0000FF"/>
              </w:rPr>
              <w:t>501,412</w:t>
            </w:r>
          </w:p>
        </w:tc>
        <w:tc>
          <w:tcPr>
            <w:tcW w:w="8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gridSpan w:val="2"/>
            <w:vMerge w:val="restart"/>
          </w:tcPr>
          <w:p>
            <w:pPr>
              <w:ind w:left="2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740" w:type="dxa"/>
            <w:vAlign w:val="bottom"/>
            <w:gridSpan w:val="2"/>
            <w:vMerge w:val="restart"/>
          </w:tcPr>
          <w:p>
            <w:pPr>
              <w:ind w:left="2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right"/>
              <w:ind w:right="81"/>
              <w:spacing w:after="0" w:line="128" w:lineRule="exact"/>
              <w:rPr>
                <w:sz w:val="20"/>
                <w:szCs w:val="20"/>
                <w:color w:val="auto"/>
              </w:rPr>
            </w:pPr>
            <w:r>
              <w:rPr>
                <w:rFonts w:ascii="Arial" w:cs="Arial" w:eastAsia="Arial" w:hAnsi="Arial"/>
                <w:sz w:val="13"/>
                <w:szCs w:val="13"/>
                <w:color w:val="0000FF"/>
              </w:rPr>
              <w:t>23,668,280</w:t>
            </w:r>
          </w:p>
        </w:tc>
        <w:tc>
          <w:tcPr>
            <w:tcW w:w="640" w:type="dxa"/>
            <w:vAlign w:val="bottom"/>
            <w:vMerge w:val="restart"/>
          </w:tcPr>
          <w:p>
            <w:pPr>
              <w:ind w:left="380"/>
              <w:spacing w:after="0" w:line="128" w:lineRule="exact"/>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ind w:left="500"/>
              <w:spacing w:after="0" w:line="80" w:lineRule="exact"/>
              <w:rPr>
                <w:sz w:val="20"/>
                <w:szCs w:val="20"/>
                <w:color w:val="auto"/>
              </w:rPr>
            </w:pPr>
            <w:r>
              <w:rPr>
                <w:rFonts w:ascii="Arial" w:cs="Arial" w:eastAsia="Arial" w:hAnsi="Arial"/>
                <w:sz w:val="9"/>
                <w:szCs w:val="9"/>
                <w:color w:val="008000"/>
              </w:rPr>
              <w:t>(3)</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restart"/>
          </w:tcPr>
          <w:p>
            <w:pPr>
              <w:jc w:val="center"/>
              <w:ind w:right="106"/>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60"/>
              <w:spacing w:after="0" w:line="145"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(4)(5)</w:t>
            </w:r>
          </w:p>
        </w:tc>
        <w:tc>
          <w:tcPr>
            <w:tcW w:w="10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(8)</w:t>
            </w:r>
          </w:p>
        </w:tc>
        <w:tc>
          <w:tcPr>
            <w:tcW w:w="740" w:type="dxa"/>
            <w:vAlign w:val="bottom"/>
            <w:vMerge w:val="restart"/>
          </w:tcPr>
          <w:p>
            <w:pPr>
              <w:jc w:val="center"/>
              <w:ind w:right="30"/>
              <w:spacing w:after="0"/>
              <w:rPr>
                <w:sz w:val="20"/>
                <w:szCs w:val="20"/>
                <w:color w:val="auto"/>
              </w:rPr>
            </w:pPr>
            <w:r>
              <w:rPr>
                <w:rFonts w:ascii="Arial" w:cs="Arial" w:eastAsia="Arial" w:hAnsi="Arial"/>
                <w:sz w:val="11"/>
                <w:szCs w:val="11"/>
                <w:color w:val="008000"/>
                <w:w w:val="88"/>
              </w:rPr>
              <w:t>(8)</w:t>
            </w:r>
          </w:p>
        </w:tc>
        <w:tc>
          <w:tcPr>
            <w:tcW w:w="40" w:type="dxa"/>
            <w:vAlign w:val="bottom"/>
          </w:tcPr>
          <w:p>
            <w:pPr>
              <w:spacing w:after="0"/>
              <w:rPr>
                <w:sz w:val="16"/>
                <w:szCs w:val="16"/>
                <w:color w:val="auto"/>
              </w:rPr>
            </w:pPr>
          </w:p>
        </w:tc>
        <w:tc>
          <w:tcPr>
            <w:tcW w:w="600" w:type="dxa"/>
            <w:vAlign w:val="bottom"/>
          </w:tcPr>
          <w:p>
            <w:pPr>
              <w:jc w:val="center"/>
              <w:ind w:right="106"/>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jc w:val="right"/>
              <w:ind w:right="45"/>
              <w:spacing w:after="0"/>
              <w:rPr>
                <w:sz w:val="20"/>
                <w:szCs w:val="20"/>
                <w:color w:val="auto"/>
              </w:rPr>
            </w:pPr>
            <w:r>
              <w:rPr>
                <w:rFonts w:ascii="Arial" w:cs="Arial" w:eastAsia="Arial" w:hAnsi="Arial"/>
                <w:sz w:val="17"/>
                <w:szCs w:val="17"/>
                <w:color w:val="0000FF"/>
                <w:w w:val="96"/>
              </w:rPr>
              <w:t>61,088</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4"/>
                <w:szCs w:val="4"/>
                <w:color w:val="auto"/>
              </w:rPr>
            </w:pPr>
          </w:p>
        </w:tc>
        <w:tc>
          <w:tcPr>
            <w:tcW w:w="1100" w:type="dxa"/>
            <w:vAlign w:val="bottom"/>
            <w:vMerge w:val="restart"/>
          </w:tcPr>
          <w:p>
            <w:pPr>
              <w:jc w:val="right"/>
              <w:ind w:right="178"/>
              <w:spacing w:after="0" w:line="128" w:lineRule="exact"/>
              <w:rPr>
                <w:sz w:val="20"/>
                <w:szCs w:val="20"/>
                <w:color w:val="auto"/>
              </w:rPr>
            </w:pPr>
            <w:r>
              <w:rPr>
                <w:rFonts w:ascii="Arial" w:cs="Arial" w:eastAsia="Arial" w:hAnsi="Arial"/>
                <w:sz w:val="13"/>
                <w:szCs w:val="13"/>
                <w:color w:val="0000FF"/>
              </w:rPr>
              <w:t>01/21/2020</w:t>
            </w:r>
          </w:p>
        </w:tc>
        <w:tc>
          <w:tcPr>
            <w:tcW w:w="1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40" w:type="dxa"/>
            <w:vAlign w:val="bottom"/>
            <w:vMerge w:val="restart"/>
          </w:tcPr>
          <w:p>
            <w:pPr>
              <w:jc w:val="right"/>
              <w:ind w:right="100"/>
              <w:spacing w:after="0" w:line="128" w:lineRule="exact"/>
              <w:rPr>
                <w:sz w:val="20"/>
                <w:szCs w:val="20"/>
                <w:color w:val="auto"/>
              </w:rPr>
            </w:pPr>
            <w:r>
              <w:rPr>
                <w:rFonts w:ascii="Arial" w:cs="Arial" w:eastAsia="Arial" w:hAnsi="Arial"/>
                <w:sz w:val="13"/>
                <w:szCs w:val="13"/>
                <w:color w:val="0000FF"/>
              </w:rPr>
              <w:t>61,088</w:t>
            </w:r>
          </w:p>
        </w:tc>
        <w:tc>
          <w:tcPr>
            <w:tcW w:w="8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gridSpan w:val="2"/>
            <w:vMerge w:val="restart"/>
          </w:tcPr>
          <w:p>
            <w:pPr>
              <w:ind w:left="20"/>
              <w:spacing w:after="0" w:line="128"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4"/>
                <w:szCs w:val="4"/>
                <w:color w:val="auto"/>
              </w:rPr>
            </w:pPr>
          </w:p>
        </w:tc>
        <w:tc>
          <w:tcPr>
            <w:tcW w:w="740" w:type="dxa"/>
            <w:vAlign w:val="bottom"/>
            <w:gridSpan w:val="2"/>
            <w:vMerge w:val="restart"/>
          </w:tcPr>
          <w:p>
            <w:pPr>
              <w:ind w:left="2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right"/>
              <w:ind w:right="121"/>
              <w:spacing w:after="0" w:line="128" w:lineRule="exact"/>
              <w:rPr>
                <w:sz w:val="20"/>
                <w:szCs w:val="20"/>
                <w:color w:val="auto"/>
              </w:rPr>
            </w:pPr>
            <w:r>
              <w:rPr>
                <w:rFonts w:ascii="Arial" w:cs="Arial" w:eastAsia="Arial" w:hAnsi="Arial"/>
                <w:sz w:val="13"/>
                <w:szCs w:val="13"/>
                <w:color w:val="0000FF"/>
              </w:rPr>
              <w:t>2,883,045</w:t>
            </w:r>
          </w:p>
        </w:tc>
        <w:tc>
          <w:tcPr>
            <w:tcW w:w="640" w:type="dxa"/>
            <w:vAlign w:val="bottom"/>
            <w:vMerge w:val="restart"/>
          </w:tcPr>
          <w:p>
            <w:pPr>
              <w:ind w:left="380"/>
              <w:spacing w:after="0" w:line="128" w:lineRule="exact"/>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ind w:left="500"/>
              <w:spacing w:after="0" w:line="80" w:lineRule="exact"/>
              <w:rPr>
                <w:sz w:val="20"/>
                <w:szCs w:val="20"/>
                <w:color w:val="auto"/>
              </w:rPr>
            </w:pPr>
            <w:r>
              <w:rPr>
                <w:rFonts w:ascii="Arial" w:cs="Arial" w:eastAsia="Arial" w:hAnsi="Arial"/>
                <w:sz w:val="9"/>
                <w:szCs w:val="9"/>
                <w:color w:val="008000"/>
              </w:rPr>
              <w:t>(6)</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restart"/>
          </w:tcPr>
          <w:p>
            <w:pPr>
              <w:jc w:val="center"/>
              <w:ind w:right="106"/>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60"/>
              <w:spacing w:after="0" w:line="145"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00" w:firstLine="5"/>
        <w:spacing w:after="0" w:line="241"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21, 2020, Emergence Capital Partners III, L.P. ("Emergence") converted in the aggregate 501,412 shares of the Issuer's Class B Common Stock into 501,412 shares of the Issuer's Class A Common Stock. Subsequently on the same date, Emergence distributed in-kind, without consideration, all 501,412 shares of Class A Common Stock pro-rata to its partners, including its limited partners and its general partner, Emergence Equity Partners III, L.P. ("EEP III"), in accordance with the exemption under Rule 16a-9(a) and Rule 16a-13 of the Securities Exchange Act of 1934, as amended. This distribution is being made pursuant to a 10b5-1 plan adopted by Emergence on September 27, 2019.</w:t>
      </w:r>
    </w:p>
    <w:p>
      <w:pPr>
        <w:spacing w:after="0" w:line="32" w:lineRule="exact"/>
        <w:rPr>
          <w:rFonts w:ascii="Arial" w:cs="Arial" w:eastAsia="Arial" w:hAnsi="Arial"/>
          <w:sz w:val="13"/>
          <w:szCs w:val="13"/>
          <w:color w:val="008000"/>
        </w:rPr>
      </w:pPr>
    </w:p>
    <w:p>
      <w:pPr>
        <w:ind w:left="40" w:right="1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Upon receipt by EEP III of its pro rata interest of the distribution (49,450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21" w:lineRule="exact"/>
        <w:rPr>
          <w:rFonts w:ascii="Arial" w:cs="Arial" w:eastAsia="Arial" w:hAnsi="Arial"/>
          <w:sz w:val="13"/>
          <w:szCs w:val="13"/>
          <w:color w:val="008000"/>
        </w:rPr>
      </w:pPr>
    </w:p>
    <w:p>
      <w:pPr>
        <w:ind w:left="40" w:right="240" w:firstLine="5"/>
        <w:spacing w:after="0" w:line="245"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Emergence. The sole general partner of Emergence is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29" w:lineRule="exact"/>
        <w:rPr>
          <w:rFonts w:ascii="Arial" w:cs="Arial" w:eastAsia="Arial" w:hAnsi="Arial"/>
          <w:sz w:val="13"/>
          <w:szCs w:val="13"/>
          <w:color w:val="008000"/>
        </w:rPr>
      </w:pPr>
    </w:p>
    <w:p>
      <w:pPr>
        <w:ind w:left="40" w:right="240" w:firstLine="5"/>
        <w:spacing w:after="0" w:line="245"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21, 2020, EZP Opportunity, L.P. ("EZP") converted in the aggregate 61,088 shares of the Issuer's Class B Common Stock into 61,088 shares of the Issuer's Class A Common Stock. Subsequently on the same date, EZP distributed in-kind, without consideration, all 61,088 shares of Class A Common Stock pro-rata to its limited partners, in accordance with the exemption under Rule 16a-9(a) and Rule 16a-13 of the Securities Exchange Act of 1934, as amended. This distribution is being made pursuant to a 10b5-1 plan adopted by EZP on September 27, 2019.</w:t>
      </w:r>
    </w:p>
    <w:p>
      <w:pPr>
        <w:spacing w:after="0" w:line="29" w:lineRule="exact"/>
        <w:rPr>
          <w:rFonts w:ascii="Arial" w:cs="Arial" w:eastAsia="Arial" w:hAnsi="Arial"/>
          <w:sz w:val="13"/>
          <w:szCs w:val="13"/>
          <w:color w:val="008000"/>
        </w:rPr>
      </w:pPr>
    </w:p>
    <w:p>
      <w:pPr>
        <w:ind w:left="40" w:right="18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4) Upon receipt by EEP III of its pro rata interest of the distribution (12,217 shares of Class A Common Stock), EEP III distributed in-kind, without consideration, all such sharespro-rata to its limited partners in accordance with the exemption under Rule 16a-9(a) and Rule 16a-13 of the Securities Exchange Act of 1934, as amended.</w:t>
      </w:r>
    </w:p>
    <w:p>
      <w:pPr>
        <w:spacing w:after="0" w:line="21" w:lineRule="exact"/>
        <w:rPr>
          <w:rFonts w:ascii="Arial" w:cs="Arial" w:eastAsia="Arial" w:hAnsi="Arial"/>
          <w:sz w:val="13"/>
          <w:szCs w:val="13"/>
          <w:color w:val="008000"/>
        </w:rPr>
      </w:pPr>
    </w:p>
    <w:p>
      <w:pPr>
        <w:ind w:left="40" w:right="200" w:firstLine="5"/>
        <w:spacing w:after="0" w:line="298"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EZP. The sole general partner of EZP is EEP III, and the sole general partner of EEP III is EGP.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receipt of shares of Class A Common Stock of the Issuer by virtue of the pro rata distributions described above.</w:t>
      </w:r>
    </w:p>
    <w:p>
      <w:pPr>
        <w:spacing w:after="0" w:line="48" w:lineRule="exact"/>
        <w:rPr>
          <w:rFonts w:ascii="Arial" w:cs="Arial" w:eastAsia="Arial" w:hAnsi="Arial"/>
          <w:sz w:val="13"/>
          <w:szCs w:val="13"/>
          <w:color w:val="008000"/>
        </w:rPr>
      </w:pPr>
    </w:p>
    <w:p>
      <w:pPr>
        <w:ind w:left="40" w:right="140" w:firstLine="5"/>
        <w:spacing w:after="0" w:line="23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Emergence and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01/23/2020</w:t>
            </w:r>
          </w:p>
        </w:tc>
        <w:tc>
          <w:tcPr>
            <w:tcW w:w="0" w:type="dxa"/>
            <w:vAlign w:val="bottom"/>
          </w:tcPr>
          <w:p>
            <w:pPr>
              <w:spacing w:after="0"/>
              <w:rPr>
                <w:sz w:val="1"/>
                <w:szCs w:val="1"/>
                <w:color w:val="auto"/>
              </w:rPr>
            </w:pPr>
          </w:p>
        </w:tc>
      </w:tr>
      <w:tr>
        <w:trPr>
          <w:trHeight w:val="90"/>
        </w:trPr>
        <w:tc>
          <w:tcPr>
            <w:tcW w:w="300" w:type="dxa"/>
            <w:vAlign w:val="bottom"/>
            <w:tcBorders>
              <w:top w:val="single" w:sz="8" w:color="auto"/>
              <w:bottom w:val="single" w:sz="8" w:color="auto"/>
            </w:tcBorders>
            <w:vMerge w:val="restart"/>
          </w:tcPr>
          <w:p>
            <w:pPr>
              <w:spacing w:after="0" w:line="191" w:lineRule="exact"/>
              <w:rPr>
                <w:sz w:val="20"/>
                <w:szCs w:val="20"/>
                <w:color w:val="auto"/>
              </w:rPr>
            </w:pPr>
            <w:r>
              <w:rPr>
                <w:rFonts w:ascii="Arial" w:cs="Arial" w:eastAsia="Arial" w:hAnsi="Arial"/>
                <w:sz w:val="17"/>
                <w:szCs w:val="17"/>
                <w:color w:val="0000FF"/>
                <w:w w:val="84"/>
              </w:rPr>
              <w:t>Fact</w:t>
            </w:r>
          </w:p>
        </w:tc>
        <w:tc>
          <w:tcPr>
            <w:tcW w:w="17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0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4"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59"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2020-01-23T17:30:45Z</dcterms:created>
  <dcterms:modified xsi:type="dcterms:W3CDTF">2020-01-23T17:30:45Z</dcterms:modified>
</cp:coreProperties>
</file>