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3544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1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02/04/2020</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1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0"/>
          <w:szCs w:val="20"/>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64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02/04/2020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501,412</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501,412</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02/04/2020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501,412</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02/04/2020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(4)(5)</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61,088</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61,088</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02/04/2020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(4)(5)</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61,088</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top w:val="single" w:sz="8" w:color="2C2C2C"/>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02/04/2020</w:t>
            </w:r>
          </w:p>
        </w:tc>
        <w:tc>
          <w:tcPr>
            <w:tcW w:w="10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(7)</w:t>
            </w:r>
          </w:p>
        </w:tc>
        <w:tc>
          <w:tcPr>
            <w:tcW w:w="740" w:type="dxa"/>
            <w:vAlign w:val="bottom"/>
            <w:tcBorders>
              <w:top w:val="single" w:sz="8" w:color="2C2C2C"/>
              <w:bottom w:val="single" w:sz="8" w:color="2C2C2C"/>
            </w:tcBorders>
          </w:tcPr>
          <w:p>
            <w:pPr>
              <w:jc w:val="center"/>
              <w:ind w:left="210"/>
              <w:spacing w:after="0"/>
              <w:rPr>
                <w:sz w:val="20"/>
                <w:szCs w:val="20"/>
                <w:color w:val="auto"/>
              </w:rPr>
            </w:pPr>
            <w:r>
              <w:rPr>
                <w:rFonts w:ascii="Arial" w:cs="Arial" w:eastAsia="Arial" w:hAnsi="Arial"/>
                <w:sz w:val="17"/>
                <w:szCs w:val="17"/>
                <w:color w:val="0000FF"/>
                <w:w w:val="88"/>
              </w:rPr>
              <w:t>23,897</w:t>
            </w:r>
          </w:p>
        </w:tc>
        <w:tc>
          <w:tcPr>
            <w:tcW w:w="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bottom w:val="single" w:sz="8" w:color="2C2C2C"/>
            </w:tcBorders>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40,589</w:t>
            </w:r>
          </w:p>
        </w:tc>
        <w:tc>
          <w:tcPr>
            <w:tcW w:w="3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70"/>
              <w:spacing w:after="0"/>
              <w:rPr>
                <w:sz w:val="20"/>
                <w:szCs w:val="20"/>
                <w:color w:val="auto"/>
              </w:rPr>
            </w:pPr>
            <w:r>
              <w:rPr>
                <w:rFonts w:ascii="Arial" w:cs="Arial" w:eastAsia="Arial" w:hAnsi="Arial"/>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0"/>
              <w:spacing w:after="0" w:line="132"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(8)</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501,412</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02/04/2020</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60"/>
              <w:spacing w:after="0" w:line="128" w:lineRule="exact"/>
              <w:rPr>
                <w:sz w:val="20"/>
                <w:szCs w:val="20"/>
                <w:color w:val="auto"/>
              </w:rPr>
            </w:pPr>
            <w:r>
              <w:rPr>
                <w:rFonts w:ascii="Arial" w:cs="Arial" w:eastAsia="Arial" w:hAnsi="Arial"/>
                <w:sz w:val="13"/>
                <w:szCs w:val="13"/>
                <w:color w:val="0000FF"/>
              </w:rPr>
              <w:t>501,412</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81"/>
              <w:spacing w:after="0" w:line="128" w:lineRule="exact"/>
              <w:rPr>
                <w:sz w:val="20"/>
                <w:szCs w:val="20"/>
                <w:color w:val="auto"/>
              </w:rPr>
            </w:pPr>
            <w:r>
              <w:rPr>
                <w:rFonts w:ascii="Arial" w:cs="Arial" w:eastAsia="Arial" w:hAnsi="Arial"/>
                <w:sz w:val="13"/>
                <w:szCs w:val="13"/>
                <w:color w:val="0000FF"/>
              </w:rPr>
              <w:t>23,166,868</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(4)(5)</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(8)</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61,088</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02/04/2020</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100"/>
              <w:spacing w:after="0" w:line="128" w:lineRule="exact"/>
              <w:rPr>
                <w:sz w:val="20"/>
                <w:szCs w:val="20"/>
                <w:color w:val="auto"/>
              </w:rPr>
            </w:pPr>
            <w:r>
              <w:rPr>
                <w:rFonts w:ascii="Arial" w:cs="Arial" w:eastAsia="Arial" w:hAnsi="Arial"/>
                <w:sz w:val="13"/>
                <w:szCs w:val="13"/>
                <w:color w:val="0000FF"/>
              </w:rPr>
              <w:t>61,088</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121"/>
              <w:spacing w:after="0" w:line="128" w:lineRule="exact"/>
              <w:rPr>
                <w:sz w:val="20"/>
                <w:szCs w:val="20"/>
                <w:color w:val="auto"/>
              </w:rPr>
            </w:pPr>
            <w:r>
              <w:rPr>
                <w:rFonts w:ascii="Arial" w:cs="Arial" w:eastAsia="Arial" w:hAnsi="Arial"/>
                <w:sz w:val="13"/>
                <w:szCs w:val="13"/>
                <w:color w:val="0000FF"/>
              </w:rPr>
              <w:t>2,821,957</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4, 2020, Emergence Capital Partners III, L.P. ("Emergence") converted in the aggregate 501,412 shares of the Issuer's Class B Common Stock into 501,412 shares of the Issuer's Class A Common Stock. Subsequently on the same date, Emergence distributed in-kind, without consideration, all 501,412 shares of Class A Common Stock pro-rata to its partners, including its limited partners and its general partner, Emergence Equity Partners III, L.P. ("EEP III"), in accordance with the exemption under Rule 16a-9(a) and Rule 16a-13 of the Securities Exchange Act of 1934, as amended. This distribution is being made pursuant to a 10b5-1 plan adopted by Emergence on September 27, 2019.</w:t>
      </w:r>
    </w:p>
    <w:p>
      <w:pPr>
        <w:spacing w:after="0" w:line="32" w:lineRule="exact"/>
        <w:rPr>
          <w:rFonts w:ascii="Arial" w:cs="Arial" w:eastAsia="Arial" w:hAnsi="Arial"/>
          <w:sz w:val="13"/>
          <w:szCs w:val="13"/>
          <w:color w:val="008000"/>
        </w:rPr>
      </w:pPr>
    </w:p>
    <w:p>
      <w:pPr>
        <w:ind w:left="40" w:right="2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(386,039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1"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9" w:lineRule="exact"/>
        <w:rPr>
          <w:rFonts w:ascii="Arial" w:cs="Arial" w:eastAsia="Arial" w:hAnsi="Arial"/>
          <w:sz w:val="13"/>
          <w:szCs w:val="13"/>
          <w:color w:val="008000"/>
        </w:rPr>
      </w:pPr>
    </w:p>
    <w:p>
      <w:pPr>
        <w:ind w:left="40" w:right="24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4, 2020, EZP Opportunity, L.P. ("EZP") converted in the aggregate 61,088 shares of the Issuer's Class B Common Stock into 61,088 shares of the Issuer's Class A Common Stock. Subsequently on the same date, EZP distributed in-kind, without consideration, all 61,088 shares of Class A Common Stock pro-rata to its limited partners, in accordance with the exemption under Rule 16a-9(a) and Rule 16a-13 of the Securities Exchange Act of 1934, as amended. This distribution is being made pursuant to a 10b5-1 plan adopted by EZP on September 27, 2019.</w:t>
      </w:r>
    </w:p>
    <w:p>
      <w:pPr>
        <w:spacing w:after="0" w:line="29" w:lineRule="exact"/>
        <w:rPr>
          <w:rFonts w:ascii="Arial" w:cs="Arial" w:eastAsia="Arial" w:hAnsi="Arial"/>
          <w:sz w:val="13"/>
          <w:szCs w:val="13"/>
          <w:color w:val="008000"/>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4) Upon receipt by EEP III of its pro rata interest of the distribution (12,218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1" w:lineRule="exact"/>
        <w:rPr>
          <w:rFonts w:ascii="Arial" w:cs="Arial" w:eastAsia="Arial" w:hAnsi="Arial"/>
          <w:sz w:val="13"/>
          <w:szCs w:val="13"/>
          <w:color w:val="008000"/>
        </w:rPr>
      </w:pPr>
    </w:p>
    <w:p>
      <w:pPr>
        <w:ind w:left="40" w:right="20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distributions described above.</w:t>
      </w:r>
    </w:p>
    <w:p>
      <w:pPr>
        <w:spacing w:after="0" w:line="48" w:lineRule="exact"/>
        <w:rPr>
          <w:rFonts w:ascii="Arial" w:cs="Arial" w:eastAsia="Arial" w:hAnsi="Arial"/>
          <w:sz w:val="13"/>
          <w:szCs w:val="13"/>
          <w:color w:val="008000"/>
        </w:rPr>
      </w:pPr>
    </w:p>
    <w:p>
      <w:pPr>
        <w:ind w:left="40" w:right="140" w:firstLine="5"/>
        <w:spacing w:after="0" w:line="23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02/06/2020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2020-02-06T17:30:21Z</dcterms:created>
  <dcterms:modified xsi:type="dcterms:W3CDTF">2020-02-06T17:30:21Z</dcterms:modified>
</cp:coreProperties>
</file>