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18415</wp:posOffset>
            </wp:positionV>
            <wp:extent cx="7048500" cy="9436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9436100"/>
                    </a:xfrm>
                    <a:prstGeom prst="rect">
                      <a:avLst/>
                    </a:prstGeom>
                    <a:noFill/>
                  </pic:spPr>
                </pic:pic>
              </a:graphicData>
            </a:graphic>
          </wp:anchor>
        </w:drawing>
      </w:r>
    </w:p>
    <w:p>
      <w:pPr>
        <w:spacing w:after="0" w:line="43"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4"/>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gridSpan w:val="3"/>
          </w:tcPr>
          <w:p>
            <w:pPr>
              <w:ind w:left="140"/>
              <w:spacing w:after="0"/>
              <w:rPr>
                <w:sz w:val="20"/>
                <w:szCs w:val="20"/>
                <w:color w:val="auto"/>
              </w:rPr>
            </w:pPr>
            <w:r>
              <w:rPr>
                <w:rFonts w:ascii="Arial" w:cs="Arial" w:eastAsia="Arial" w:hAnsi="Arial"/>
                <w:sz w:val="12"/>
                <w:szCs w:val="12"/>
                <w:color w:val="auto"/>
              </w:rPr>
              <w:t>2.</w:t>
            </w:r>
          </w:p>
        </w:tc>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gridSpan w:val="5"/>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Emergence Capital Partners III, L.P.</w:t>
              </w:r>
            </w:hyperlink>
          </w:p>
        </w:tc>
        <w:tc>
          <w:tcPr>
            <w:tcW w:w="80" w:type="dxa"/>
            <w:vAlign w:val="bottom"/>
          </w:tcPr>
          <w:p>
            <w:pPr>
              <w:spacing w:after="0"/>
              <w:rPr>
                <w:sz w:val="15"/>
                <w:szCs w:val="15"/>
                <w:color w:val="auto"/>
              </w:rPr>
            </w:pPr>
          </w:p>
        </w:tc>
        <w:tc>
          <w:tcPr>
            <w:tcW w:w="3840" w:type="dxa"/>
            <w:vAlign w:val="bottom"/>
            <w:gridSpan w:val="4"/>
          </w:tcPr>
          <w:p>
            <w:pPr>
              <w:ind w:left="60"/>
              <w:spacing w:after="0" w:line="174" w:lineRule="exact"/>
              <w:rPr>
                <w:rFonts w:ascii="Arial" w:cs="Arial" w:eastAsia="Arial" w:hAnsi="Arial"/>
                <w:sz w:val="20"/>
                <w:szCs w:val="20"/>
                <w:color w:val="0000EE"/>
              </w:rPr>
            </w:pPr>
            <w:hyperlink r:id="rId13">
              <w:r>
                <w:rPr>
                  <w:rFonts w:ascii="Arial" w:cs="Arial" w:eastAsia="Arial" w:hAnsi="Arial"/>
                  <w:sz w:val="20"/>
                  <w:szCs w:val="20"/>
                  <w:color w:val="0000EE"/>
                </w:rPr>
                <w:t xml:space="preserve">Zoom Video Communications,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ZM</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66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68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60" w:type="dxa"/>
            <w:vAlign w:val="bottom"/>
            <w:tcBorders>
              <w:top w:val="single" w:sz="8" w:color="0000EE"/>
              <w:bottom w:val="single" w:sz="8" w:color="9A9A9A"/>
            </w:tcBorders>
          </w:tcPr>
          <w:p>
            <w:pPr>
              <w:spacing w:after="0"/>
              <w:rPr>
                <w:sz w:val="18"/>
                <w:szCs w:val="18"/>
                <w:color w:val="auto"/>
              </w:rPr>
            </w:pPr>
          </w:p>
        </w:tc>
        <w:tc>
          <w:tcPr>
            <w:tcW w:w="1640" w:type="dxa"/>
            <w:vAlign w:val="bottom"/>
            <w:tcBorders>
              <w:top w:val="single" w:sz="8" w:color="0000EE"/>
              <w:bottom w:val="single" w:sz="8" w:color="9A9A9A"/>
            </w:tcBorders>
          </w:tcPr>
          <w:p>
            <w:pPr>
              <w:spacing w:after="0"/>
              <w:rPr>
                <w:sz w:val="18"/>
                <w:szCs w:val="18"/>
                <w:color w:val="auto"/>
              </w:rPr>
            </w:pPr>
          </w:p>
        </w:tc>
        <w:tc>
          <w:tcPr>
            <w:tcW w:w="460" w:type="dxa"/>
            <w:vAlign w:val="bottom"/>
            <w:tcBorders>
              <w:top w:val="single" w:sz="8" w:color="0000EE"/>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1640" w:type="dxa"/>
            <w:vAlign w:val="bottom"/>
            <w:tcBorders>
              <w:top w:val="single" w:sz="8" w:color="EEEEEE"/>
            </w:tcBorders>
            <w:vMerge w:val="restart"/>
          </w:tcPr>
          <w:p>
            <w:pPr>
              <w:ind w:left="460"/>
              <w:spacing w:after="0"/>
              <w:rPr>
                <w:sz w:val="20"/>
                <w:szCs w:val="20"/>
                <w:color w:val="auto"/>
              </w:rPr>
            </w:pPr>
            <w:r>
              <w:rPr>
                <w:rFonts w:ascii="Arial" w:cs="Arial" w:eastAsia="Arial" w:hAnsi="Arial"/>
                <w:sz w:val="12"/>
                <w:szCs w:val="12"/>
                <w:color w:val="auto"/>
              </w:rPr>
              <w:t>(First)</w:t>
            </w:r>
          </w:p>
        </w:tc>
        <w:tc>
          <w:tcPr>
            <w:tcW w:w="124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12"/>
                <w:szCs w:val="12"/>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2"/>
                <w:szCs w:val="12"/>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960" w:type="dxa"/>
            <w:vAlign w:val="bottom"/>
            <w:gridSpan w:val="4"/>
            <w:vMerge w:val="restart"/>
          </w:tcPr>
          <w:p>
            <w:pPr>
              <w:ind w:left="140"/>
              <w:spacing w:after="0"/>
              <w:rPr>
                <w:sz w:val="20"/>
                <w:szCs w:val="20"/>
                <w:color w:val="auto"/>
              </w:rPr>
            </w:pPr>
            <w:r>
              <w:rPr>
                <w:rFonts w:ascii="Arial" w:cs="Arial" w:eastAsia="Arial" w:hAnsi="Arial"/>
                <w:sz w:val="16"/>
                <w:szCs w:val="16"/>
                <w:color w:val="0000FF"/>
              </w:rPr>
              <w:t>03/16/2020</w:t>
            </w: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6"/>
                <w:szCs w:val="16"/>
                <w:color w:val="0000FF"/>
              </w:rPr>
              <w:t>160 BOVET ROAD, SUITE 300</w:t>
            </w: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96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2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3" w:right="720" w:firstLine="3"/>
        <w:spacing w:after="0" w:line="256"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0"/>
          <w:szCs w:val="20"/>
          <w:color w:val="auto"/>
        </w:rPr>
      </w:pPr>
    </w:p>
    <w:p>
      <w:pPr>
        <w:ind w:left="517"/>
        <w:spacing w:after="0"/>
        <w:tabs>
          <w:tab w:leader="none" w:pos="1756" w:val="left"/>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72" w:lineRule="exact"/>
        <w:rPr>
          <w:sz w:val="20"/>
          <w:szCs w:val="20"/>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6" w:lineRule="exact"/>
        <w:rPr>
          <w:sz w:val="20"/>
          <w:szCs w:val="20"/>
          <w:color w:val="auto"/>
        </w:rPr>
      </w:pPr>
    </w:p>
    <w:p>
      <w:pPr>
        <w:sectPr>
          <w:pgSz w:w="11900" w:h="16838" w:orient="portrait"/>
          <w:cols w:equalWidth="0" w:num="2">
            <w:col w:w="7680" w:space="63"/>
            <w:col w:w="3337"/>
          </w:cols>
          <w:pgMar w:left="460" w:top="220" w:right="359" w:bottom="0" w:gutter="0" w:footer="0" w:header="0"/>
          <w:type w:val="continuous"/>
        </w:sectPr>
      </w:pP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11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SAN MATEO</w:t>
            </w:r>
          </w:p>
        </w:tc>
        <w:tc>
          <w:tcPr>
            <w:tcW w:w="960" w:type="dxa"/>
            <w:vAlign w:val="bottom"/>
          </w:tcPr>
          <w:p>
            <w:pPr>
              <w:ind w:left="16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94402</w:t>
            </w:r>
          </w:p>
        </w:tc>
      </w:tr>
      <w:tr>
        <w:trPr>
          <w:trHeight w:val="144"/>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(City)</w:t>
            </w:r>
          </w:p>
        </w:tc>
        <w:tc>
          <w:tcPr>
            <w:tcW w:w="960" w:type="dxa"/>
            <w:vAlign w:val="bottom"/>
          </w:tcPr>
          <w:p>
            <w:pPr>
              <w:ind w:left="1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2"/>
          <w:szCs w:val="12"/>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2"/>
          <w:szCs w:val="12"/>
          <w:color w:val="auto"/>
        </w:rPr>
        <w:t>Line)</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Form filed by One Reporting Person</w:t>
      </w:r>
    </w:p>
    <w:p>
      <w:pPr>
        <w:spacing w:after="0" w:line="5" w:lineRule="exact"/>
        <w:rPr>
          <w:sz w:val="20"/>
          <w:szCs w:val="20"/>
          <w:color w:val="auto"/>
        </w:rPr>
      </w:pPr>
    </w:p>
    <w:p>
      <w:pPr>
        <w:jc w:val="both"/>
        <w:ind w:left="4040"/>
        <w:spacing w:after="0"/>
        <w:tabs>
          <w:tab w:leader="none" w:pos="436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465" w:lineRule="exact"/>
        <w:rPr>
          <w:sz w:val="20"/>
          <w:szCs w:val="20"/>
          <w:color w:val="auto"/>
        </w:rPr>
      </w:pPr>
    </w:p>
    <w:p>
      <w:pPr>
        <w:sectPr>
          <w:pgSz w:w="11900" w:h="16838" w:orient="portrait"/>
          <w:cols w:equalWidth="0" w:num="2">
            <w:col w:w="3760" w:space="14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2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tcPr>
          <w:p>
            <w:pPr>
              <w:ind w:left="7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740" w:type="dxa"/>
            <w:vAlign w:val="bottom"/>
          </w:tcPr>
          <w:p>
            <w:pPr>
              <w:ind w:left="76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 Direct</w:t>
            </w:r>
          </w:p>
        </w:tc>
        <w:tc>
          <w:tcPr>
            <w:tcW w:w="96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740" w:type="dxa"/>
            <w:vAlign w:val="bottom"/>
          </w:tcPr>
          <w:p>
            <w:pPr>
              <w:jc w:val="center"/>
              <w:ind w:left="63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96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By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Emergence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740" w:type="dxa"/>
            <w:vAlign w:val="bottom"/>
          </w:tcPr>
          <w:p>
            <w:pPr>
              <w:jc w:val="center"/>
              <w:ind w:left="630"/>
              <w:spacing w:after="0"/>
              <w:rPr>
                <w:sz w:val="20"/>
                <w:szCs w:val="20"/>
                <w:color w:val="auto"/>
              </w:rPr>
            </w:pPr>
            <w:r>
              <w:rPr>
                <w:rFonts w:ascii="Arial" w:cs="Arial" w:eastAsia="Arial" w:hAnsi="Arial"/>
                <w:sz w:val="16"/>
                <w:szCs w:val="16"/>
                <w:color w:val="0000FF"/>
                <w:w w:val="89"/>
              </w:rPr>
              <w:t>03/16/2020</w:t>
            </w:r>
          </w:p>
        </w:tc>
        <w:tc>
          <w:tcPr>
            <w:tcW w:w="1040" w:type="dxa"/>
            <w:vAlign w:val="bottom"/>
          </w:tcPr>
          <w:p>
            <w:pPr>
              <w:spacing w:after="0"/>
              <w:rPr>
                <w:sz w:val="17"/>
                <w:szCs w:val="17"/>
                <w:color w:val="auto"/>
              </w:rPr>
            </w:pPr>
          </w:p>
        </w:tc>
        <w:tc>
          <w:tcPr>
            <w:tcW w:w="760" w:type="dxa"/>
            <w:vAlign w:val="bottom"/>
          </w:tcPr>
          <w:p>
            <w:pPr>
              <w:ind w:left="120"/>
              <w:spacing w:after="0" w:line="199" w:lineRule="exact"/>
              <w:rPr>
                <w:sz w:val="20"/>
                <w:szCs w:val="20"/>
                <w:color w:val="auto"/>
              </w:rPr>
            </w:pPr>
            <w:r>
              <w:rPr>
                <w:rFonts w:ascii="Arial" w:cs="Arial" w:eastAsia="Arial" w:hAnsi="Arial"/>
                <w:sz w:val="23"/>
                <w:szCs w:val="23"/>
                <w:color w:val="0000FF"/>
                <w:vertAlign w:val="subscript"/>
              </w:rPr>
              <w:t>C</w:t>
            </w:r>
            <w:r>
              <w:rPr>
                <w:rFonts w:ascii="Arial" w:cs="Arial" w:eastAsia="Arial" w:hAnsi="Arial"/>
                <w:sz w:val="10"/>
                <w:szCs w:val="10"/>
                <w:color w:val="008000"/>
              </w:rPr>
              <w:t>(1)</w:t>
            </w:r>
          </w:p>
        </w:tc>
        <w:tc>
          <w:tcPr>
            <w:tcW w:w="840" w:type="dxa"/>
            <w:vAlign w:val="bottom"/>
          </w:tcPr>
          <w:p>
            <w:pPr>
              <w:jc w:val="center"/>
              <w:spacing w:after="0"/>
              <w:rPr>
                <w:sz w:val="20"/>
                <w:szCs w:val="20"/>
                <w:color w:val="auto"/>
              </w:rPr>
            </w:pPr>
            <w:r>
              <w:rPr>
                <w:rFonts w:ascii="Arial" w:cs="Arial" w:eastAsia="Arial" w:hAnsi="Arial"/>
                <w:sz w:val="16"/>
                <w:szCs w:val="16"/>
                <w:color w:val="0000FF"/>
                <w:w w:val="92"/>
              </w:rPr>
              <w:t>3,565,600</w:t>
            </w:r>
          </w:p>
        </w:tc>
        <w:tc>
          <w:tcPr>
            <w:tcW w:w="460" w:type="dxa"/>
            <w:vAlign w:val="bottom"/>
          </w:tcPr>
          <w:p>
            <w:pPr>
              <w:ind w:left="200"/>
              <w:spacing w:after="0"/>
              <w:rPr>
                <w:sz w:val="20"/>
                <w:szCs w:val="20"/>
                <w:color w:val="auto"/>
              </w:rPr>
            </w:pPr>
            <w:r>
              <w:rPr>
                <w:rFonts w:ascii="Arial" w:cs="Arial" w:eastAsia="Arial" w:hAnsi="Arial"/>
                <w:sz w:val="16"/>
                <w:szCs w:val="16"/>
                <w:color w:val="0000FF"/>
              </w:rPr>
              <w:t>A</w:t>
            </w:r>
          </w:p>
        </w:tc>
        <w:tc>
          <w:tcPr>
            <w:tcW w:w="680" w:type="dxa"/>
            <w:vAlign w:val="bottom"/>
          </w:tcPr>
          <w:p>
            <w:pPr>
              <w:ind w:left="120"/>
              <w:spacing w:after="0" w:line="199" w:lineRule="exact"/>
              <w:rPr>
                <w:sz w:val="20"/>
                <w:szCs w:val="20"/>
                <w:color w:val="auto"/>
              </w:rPr>
            </w:pPr>
            <w:r>
              <w:rPr>
                <w:rFonts w:ascii="Arial" w:cs="Arial" w:eastAsia="Arial" w:hAnsi="Arial"/>
                <w:sz w:val="16"/>
                <w:szCs w:val="16"/>
                <w:color w:val="auto"/>
                <w:w w:val="95"/>
              </w:rPr>
              <w:t>$</w:t>
            </w:r>
            <w:r>
              <w:rPr>
                <w:rFonts w:ascii="Arial" w:cs="Arial" w:eastAsia="Arial" w:hAnsi="Arial"/>
                <w:sz w:val="16"/>
                <w:szCs w:val="16"/>
                <w:color w:val="0000FF"/>
                <w:w w:val="95"/>
              </w:rPr>
              <w:t>0.00</w:t>
            </w:r>
            <w:r>
              <w:rPr>
                <w:rFonts w:ascii="Arial" w:cs="Arial" w:eastAsia="Arial" w:hAnsi="Arial"/>
                <w:sz w:val="20"/>
                <w:szCs w:val="20"/>
                <w:color w:val="008000"/>
                <w:w w:val="95"/>
                <w:vertAlign w:val="superscript"/>
              </w:rPr>
              <w:t>(1)</w:t>
            </w: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3,565,600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60" w:type="dxa"/>
            <w:vAlign w:val="bottom"/>
          </w:tcPr>
          <w:p>
            <w:pPr>
              <w:ind w:left="80"/>
              <w:spacing w:after="0"/>
              <w:rPr>
                <w:sz w:val="20"/>
                <w:szCs w:val="20"/>
                <w:color w:val="auto"/>
              </w:rPr>
            </w:pPr>
            <w:r>
              <w:rPr>
                <w:rFonts w:ascii="Arial" w:cs="Arial" w:eastAsia="Arial" w:hAnsi="Arial"/>
                <w:sz w:val="16"/>
                <w:szCs w:val="16"/>
                <w:color w:val="0000FF"/>
              </w:rPr>
              <w:t>Capital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Partners III,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20" w:type="dxa"/>
            <w:vAlign w:val="bottom"/>
            <w:tcBorders>
              <w:bottom w:val="single" w:sz="8" w:color="2C2C2C"/>
            </w:tcBorders>
          </w:tcPr>
          <w:p>
            <w:pPr>
              <w:spacing w:after="0"/>
              <w:rPr>
                <w:sz w:val="22"/>
                <w:szCs w:val="22"/>
                <w:color w:val="auto"/>
              </w:rPr>
            </w:pPr>
          </w:p>
        </w:tc>
        <w:tc>
          <w:tcPr>
            <w:tcW w:w="1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By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Emergence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740" w:type="dxa"/>
            <w:vAlign w:val="bottom"/>
          </w:tcPr>
          <w:p>
            <w:pPr>
              <w:jc w:val="center"/>
              <w:ind w:left="630"/>
              <w:spacing w:after="0"/>
              <w:rPr>
                <w:sz w:val="20"/>
                <w:szCs w:val="20"/>
                <w:color w:val="auto"/>
              </w:rPr>
            </w:pPr>
            <w:r>
              <w:rPr>
                <w:rFonts w:ascii="Arial" w:cs="Arial" w:eastAsia="Arial" w:hAnsi="Arial"/>
                <w:sz w:val="16"/>
                <w:szCs w:val="16"/>
                <w:color w:val="0000FF"/>
                <w:w w:val="89"/>
              </w:rPr>
              <w:t>03/16/2020</w:t>
            </w:r>
          </w:p>
        </w:tc>
        <w:tc>
          <w:tcPr>
            <w:tcW w:w="1040" w:type="dxa"/>
            <w:vAlign w:val="bottom"/>
          </w:tcPr>
          <w:p>
            <w:pPr>
              <w:spacing w:after="0"/>
              <w:rPr>
                <w:sz w:val="17"/>
                <w:szCs w:val="17"/>
                <w:color w:val="auto"/>
              </w:rPr>
            </w:pPr>
          </w:p>
        </w:tc>
        <w:tc>
          <w:tcPr>
            <w:tcW w:w="760" w:type="dxa"/>
            <w:vAlign w:val="bottom"/>
          </w:tcPr>
          <w:p>
            <w:pPr>
              <w:ind w:left="140"/>
              <w:spacing w:after="0" w:line="199"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(1)</w:t>
            </w:r>
          </w:p>
        </w:tc>
        <w:tc>
          <w:tcPr>
            <w:tcW w:w="840" w:type="dxa"/>
            <w:vAlign w:val="bottom"/>
          </w:tcPr>
          <w:p>
            <w:pPr>
              <w:jc w:val="center"/>
              <w:spacing w:after="0"/>
              <w:rPr>
                <w:sz w:val="20"/>
                <w:szCs w:val="20"/>
                <w:color w:val="auto"/>
              </w:rPr>
            </w:pPr>
            <w:r>
              <w:rPr>
                <w:rFonts w:ascii="Arial" w:cs="Arial" w:eastAsia="Arial" w:hAnsi="Arial"/>
                <w:sz w:val="16"/>
                <w:szCs w:val="16"/>
                <w:color w:val="0000FF"/>
                <w:w w:val="92"/>
              </w:rPr>
              <w:t>3,565,600</w:t>
            </w:r>
          </w:p>
        </w:tc>
        <w:tc>
          <w:tcPr>
            <w:tcW w:w="460" w:type="dxa"/>
            <w:vAlign w:val="bottom"/>
          </w:tcPr>
          <w:p>
            <w:pPr>
              <w:ind w:left="200"/>
              <w:spacing w:after="0"/>
              <w:rPr>
                <w:sz w:val="20"/>
                <w:szCs w:val="20"/>
                <w:color w:val="auto"/>
              </w:rPr>
            </w:pPr>
            <w:r>
              <w:rPr>
                <w:rFonts w:ascii="Arial" w:cs="Arial" w:eastAsia="Arial" w:hAnsi="Arial"/>
                <w:sz w:val="16"/>
                <w:szCs w:val="16"/>
                <w:color w:val="0000FF"/>
              </w:rPr>
              <w:t>D</w:t>
            </w:r>
          </w:p>
        </w:tc>
        <w:tc>
          <w:tcPr>
            <w:tcW w:w="680" w:type="dxa"/>
            <w:vAlign w:val="bottom"/>
          </w:tcPr>
          <w:p>
            <w:pPr>
              <w:ind w:left="120"/>
              <w:spacing w:after="0" w:line="199" w:lineRule="exact"/>
              <w:rPr>
                <w:sz w:val="20"/>
                <w:szCs w:val="20"/>
                <w:color w:val="auto"/>
              </w:rPr>
            </w:pPr>
            <w:r>
              <w:rPr>
                <w:rFonts w:ascii="Arial" w:cs="Arial" w:eastAsia="Arial" w:hAnsi="Arial"/>
                <w:sz w:val="16"/>
                <w:szCs w:val="16"/>
                <w:color w:val="auto"/>
                <w:w w:val="95"/>
              </w:rPr>
              <w:t>$</w:t>
            </w:r>
            <w:r>
              <w:rPr>
                <w:rFonts w:ascii="Arial" w:cs="Arial" w:eastAsia="Arial" w:hAnsi="Arial"/>
                <w:sz w:val="16"/>
                <w:szCs w:val="16"/>
                <w:color w:val="0000FF"/>
                <w:w w:val="95"/>
              </w:rPr>
              <w:t>0.00</w:t>
            </w:r>
            <w:r>
              <w:rPr>
                <w:rFonts w:ascii="Arial" w:cs="Arial" w:eastAsia="Arial" w:hAnsi="Arial"/>
                <w:sz w:val="20"/>
                <w:szCs w:val="20"/>
                <w:color w:val="008000"/>
                <w:w w:val="95"/>
                <w:vertAlign w:val="superscript"/>
              </w:rPr>
              <w:t>(1)</w:t>
            </w: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60" w:type="dxa"/>
            <w:vAlign w:val="bottom"/>
          </w:tcPr>
          <w:p>
            <w:pPr>
              <w:ind w:left="80"/>
              <w:spacing w:after="0"/>
              <w:rPr>
                <w:sz w:val="20"/>
                <w:szCs w:val="20"/>
                <w:color w:val="auto"/>
              </w:rPr>
            </w:pPr>
            <w:r>
              <w:rPr>
                <w:rFonts w:ascii="Arial" w:cs="Arial" w:eastAsia="Arial" w:hAnsi="Arial"/>
                <w:sz w:val="16"/>
                <w:szCs w:val="16"/>
                <w:color w:val="0000FF"/>
              </w:rPr>
              <w:t>Capital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Partners III,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20" w:type="dxa"/>
            <w:vAlign w:val="bottom"/>
            <w:tcBorders>
              <w:bottom w:val="single" w:sz="8" w:color="2C2C2C"/>
            </w:tcBorders>
          </w:tcPr>
          <w:p>
            <w:pPr>
              <w:spacing w:after="0"/>
              <w:rPr>
                <w:sz w:val="22"/>
                <w:szCs w:val="22"/>
                <w:color w:val="auto"/>
              </w:rPr>
            </w:pPr>
          </w:p>
        </w:tc>
        <w:tc>
          <w:tcPr>
            <w:tcW w:w="1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By EZP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740" w:type="dxa"/>
            <w:vAlign w:val="bottom"/>
          </w:tcPr>
          <w:p>
            <w:pPr>
              <w:jc w:val="center"/>
              <w:ind w:left="630"/>
              <w:spacing w:after="0"/>
              <w:rPr>
                <w:sz w:val="20"/>
                <w:szCs w:val="20"/>
                <w:color w:val="auto"/>
              </w:rPr>
            </w:pPr>
            <w:r>
              <w:rPr>
                <w:rFonts w:ascii="Arial" w:cs="Arial" w:eastAsia="Arial" w:hAnsi="Arial"/>
                <w:sz w:val="16"/>
                <w:szCs w:val="16"/>
                <w:color w:val="0000FF"/>
                <w:w w:val="89"/>
              </w:rPr>
              <w:t>03/16/2020</w:t>
            </w:r>
          </w:p>
        </w:tc>
        <w:tc>
          <w:tcPr>
            <w:tcW w:w="1040" w:type="dxa"/>
            <w:vAlign w:val="bottom"/>
          </w:tcPr>
          <w:p>
            <w:pPr>
              <w:spacing w:after="0"/>
              <w:rPr>
                <w:sz w:val="17"/>
                <w:szCs w:val="17"/>
                <w:color w:val="auto"/>
              </w:rPr>
            </w:pPr>
          </w:p>
        </w:tc>
        <w:tc>
          <w:tcPr>
            <w:tcW w:w="760" w:type="dxa"/>
            <w:vAlign w:val="bottom"/>
          </w:tcPr>
          <w:p>
            <w:pPr>
              <w:ind w:left="120"/>
              <w:spacing w:after="0" w:line="199" w:lineRule="exact"/>
              <w:rPr>
                <w:sz w:val="20"/>
                <w:szCs w:val="20"/>
                <w:color w:val="auto"/>
              </w:rPr>
            </w:pPr>
            <w:r>
              <w:rPr>
                <w:rFonts w:ascii="Arial" w:cs="Arial" w:eastAsia="Arial" w:hAnsi="Arial"/>
                <w:sz w:val="23"/>
                <w:szCs w:val="23"/>
                <w:color w:val="0000FF"/>
                <w:vertAlign w:val="subscript"/>
              </w:rPr>
              <w:t>C</w:t>
            </w:r>
            <w:r>
              <w:rPr>
                <w:rFonts w:ascii="Arial" w:cs="Arial" w:eastAsia="Arial" w:hAnsi="Arial"/>
                <w:sz w:val="10"/>
                <w:szCs w:val="10"/>
                <w:color w:val="008000"/>
              </w:rPr>
              <w:t>(3)</w:t>
            </w: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434,400</w:t>
            </w:r>
          </w:p>
        </w:tc>
        <w:tc>
          <w:tcPr>
            <w:tcW w:w="460" w:type="dxa"/>
            <w:vAlign w:val="bottom"/>
          </w:tcPr>
          <w:p>
            <w:pPr>
              <w:ind w:left="200"/>
              <w:spacing w:after="0"/>
              <w:rPr>
                <w:sz w:val="20"/>
                <w:szCs w:val="20"/>
                <w:color w:val="auto"/>
              </w:rPr>
            </w:pPr>
            <w:r>
              <w:rPr>
                <w:rFonts w:ascii="Arial" w:cs="Arial" w:eastAsia="Arial" w:hAnsi="Arial"/>
                <w:sz w:val="16"/>
                <w:szCs w:val="16"/>
                <w:color w:val="0000FF"/>
              </w:rPr>
              <w:t>A</w:t>
            </w:r>
          </w:p>
        </w:tc>
        <w:tc>
          <w:tcPr>
            <w:tcW w:w="680" w:type="dxa"/>
            <w:vAlign w:val="bottom"/>
          </w:tcPr>
          <w:p>
            <w:pPr>
              <w:ind w:left="120"/>
              <w:spacing w:after="0" w:line="199" w:lineRule="exact"/>
              <w:rPr>
                <w:sz w:val="20"/>
                <w:szCs w:val="20"/>
                <w:color w:val="auto"/>
              </w:rPr>
            </w:pPr>
            <w:r>
              <w:rPr>
                <w:rFonts w:ascii="Arial" w:cs="Arial" w:eastAsia="Arial" w:hAnsi="Arial"/>
                <w:sz w:val="16"/>
                <w:szCs w:val="16"/>
                <w:color w:val="auto"/>
                <w:w w:val="95"/>
              </w:rPr>
              <w:t>$</w:t>
            </w:r>
            <w:r>
              <w:rPr>
                <w:rFonts w:ascii="Arial" w:cs="Arial" w:eastAsia="Arial" w:hAnsi="Arial"/>
                <w:sz w:val="16"/>
                <w:szCs w:val="16"/>
                <w:color w:val="0000FF"/>
                <w:w w:val="95"/>
              </w:rPr>
              <w:t>0.00</w:t>
            </w:r>
            <w:r>
              <w:rPr>
                <w:rFonts w:ascii="Arial" w:cs="Arial" w:eastAsia="Arial" w:hAnsi="Arial"/>
                <w:sz w:val="20"/>
                <w:szCs w:val="20"/>
                <w:color w:val="008000"/>
                <w:w w:val="95"/>
                <w:vertAlign w:val="superscript"/>
              </w:rPr>
              <w:t>(3)</w:t>
            </w: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434,400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60" w:type="dxa"/>
            <w:vAlign w:val="bottom"/>
          </w:tcPr>
          <w:p>
            <w:pPr>
              <w:ind w:left="80"/>
              <w:spacing w:after="0"/>
              <w:rPr>
                <w:sz w:val="20"/>
                <w:szCs w:val="20"/>
                <w:color w:val="auto"/>
              </w:rPr>
            </w:pPr>
            <w:r>
              <w:rPr>
                <w:rFonts w:ascii="Arial" w:cs="Arial" w:eastAsia="Arial" w:hAnsi="Arial"/>
                <w:sz w:val="16"/>
                <w:szCs w:val="16"/>
                <w:color w:val="0000FF"/>
                <w:w w:val="98"/>
              </w:rPr>
              <w:t>Opportunity,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20" w:type="dxa"/>
            <w:vAlign w:val="bottom"/>
            <w:tcBorders>
              <w:bottom w:val="single" w:sz="8" w:color="2C2C2C"/>
            </w:tcBorders>
          </w:tcPr>
          <w:p>
            <w:pPr>
              <w:spacing w:after="0"/>
              <w:rPr>
                <w:sz w:val="22"/>
                <w:szCs w:val="22"/>
                <w:color w:val="auto"/>
              </w:rPr>
            </w:pPr>
          </w:p>
        </w:tc>
        <w:tc>
          <w:tcPr>
            <w:tcW w:w="1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By EZP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740" w:type="dxa"/>
            <w:vAlign w:val="bottom"/>
          </w:tcPr>
          <w:p>
            <w:pPr>
              <w:jc w:val="center"/>
              <w:ind w:left="630"/>
              <w:spacing w:after="0"/>
              <w:rPr>
                <w:sz w:val="20"/>
                <w:szCs w:val="20"/>
                <w:color w:val="auto"/>
              </w:rPr>
            </w:pPr>
            <w:r>
              <w:rPr>
                <w:rFonts w:ascii="Arial" w:cs="Arial" w:eastAsia="Arial" w:hAnsi="Arial"/>
                <w:sz w:val="16"/>
                <w:szCs w:val="16"/>
                <w:color w:val="0000FF"/>
                <w:w w:val="89"/>
              </w:rPr>
              <w:t>03/16/2020</w:t>
            </w:r>
          </w:p>
        </w:tc>
        <w:tc>
          <w:tcPr>
            <w:tcW w:w="1040" w:type="dxa"/>
            <w:vAlign w:val="bottom"/>
          </w:tcPr>
          <w:p>
            <w:pPr>
              <w:spacing w:after="0"/>
              <w:rPr>
                <w:sz w:val="17"/>
                <w:szCs w:val="17"/>
                <w:color w:val="auto"/>
              </w:rPr>
            </w:pPr>
          </w:p>
        </w:tc>
        <w:tc>
          <w:tcPr>
            <w:tcW w:w="760" w:type="dxa"/>
            <w:vAlign w:val="bottom"/>
          </w:tcPr>
          <w:p>
            <w:pPr>
              <w:ind w:left="140"/>
              <w:spacing w:after="0" w:line="199"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(3)</w:t>
            </w: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434,400</w:t>
            </w:r>
          </w:p>
        </w:tc>
        <w:tc>
          <w:tcPr>
            <w:tcW w:w="460" w:type="dxa"/>
            <w:vAlign w:val="bottom"/>
          </w:tcPr>
          <w:p>
            <w:pPr>
              <w:ind w:left="200"/>
              <w:spacing w:after="0"/>
              <w:rPr>
                <w:sz w:val="20"/>
                <w:szCs w:val="20"/>
                <w:color w:val="auto"/>
              </w:rPr>
            </w:pPr>
            <w:r>
              <w:rPr>
                <w:rFonts w:ascii="Arial" w:cs="Arial" w:eastAsia="Arial" w:hAnsi="Arial"/>
                <w:sz w:val="16"/>
                <w:szCs w:val="16"/>
                <w:color w:val="0000FF"/>
              </w:rPr>
              <w:t>D</w:t>
            </w:r>
          </w:p>
        </w:tc>
        <w:tc>
          <w:tcPr>
            <w:tcW w:w="680" w:type="dxa"/>
            <w:vAlign w:val="bottom"/>
          </w:tcPr>
          <w:p>
            <w:pPr>
              <w:ind w:left="120"/>
              <w:spacing w:after="0" w:line="199" w:lineRule="exact"/>
              <w:rPr>
                <w:sz w:val="20"/>
                <w:szCs w:val="20"/>
                <w:color w:val="auto"/>
              </w:rPr>
            </w:pPr>
            <w:r>
              <w:rPr>
                <w:rFonts w:ascii="Arial" w:cs="Arial" w:eastAsia="Arial" w:hAnsi="Arial"/>
                <w:sz w:val="16"/>
                <w:szCs w:val="16"/>
                <w:color w:val="auto"/>
                <w:w w:val="95"/>
              </w:rPr>
              <w:t>$</w:t>
            </w:r>
            <w:r>
              <w:rPr>
                <w:rFonts w:ascii="Arial" w:cs="Arial" w:eastAsia="Arial" w:hAnsi="Arial"/>
                <w:sz w:val="16"/>
                <w:szCs w:val="16"/>
                <w:color w:val="0000FF"/>
                <w:w w:val="95"/>
              </w:rPr>
              <w:t>0.00</w:t>
            </w:r>
            <w:r>
              <w:rPr>
                <w:rFonts w:ascii="Arial" w:cs="Arial" w:eastAsia="Arial" w:hAnsi="Arial"/>
                <w:sz w:val="20"/>
                <w:szCs w:val="20"/>
                <w:color w:val="008000"/>
                <w:w w:val="95"/>
                <w:vertAlign w:val="superscript"/>
              </w:rPr>
              <w:t>(3)</w:t>
            </w: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60" w:type="dxa"/>
            <w:vAlign w:val="bottom"/>
          </w:tcPr>
          <w:p>
            <w:pPr>
              <w:ind w:left="80"/>
              <w:spacing w:after="0"/>
              <w:rPr>
                <w:sz w:val="20"/>
                <w:szCs w:val="20"/>
                <w:color w:val="auto"/>
              </w:rPr>
            </w:pPr>
            <w:r>
              <w:rPr>
                <w:rFonts w:ascii="Arial" w:cs="Arial" w:eastAsia="Arial" w:hAnsi="Arial"/>
                <w:sz w:val="16"/>
                <w:szCs w:val="16"/>
                <w:color w:val="0000FF"/>
                <w:w w:val="98"/>
              </w:rPr>
              <w:t>Opportunity,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20" w:type="dxa"/>
            <w:vAlign w:val="bottom"/>
            <w:tcBorders>
              <w:bottom w:val="single" w:sz="8" w:color="2C2C2C"/>
            </w:tcBorders>
          </w:tcPr>
          <w:p>
            <w:pPr>
              <w:spacing w:after="0"/>
              <w:rPr>
                <w:sz w:val="22"/>
                <w:szCs w:val="22"/>
                <w:color w:val="auto"/>
              </w:rPr>
            </w:pPr>
          </w:p>
        </w:tc>
        <w:tc>
          <w:tcPr>
            <w:tcW w:w="1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By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Emergence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73,168</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60" w:type="dxa"/>
            <w:vAlign w:val="bottom"/>
          </w:tcPr>
          <w:p>
            <w:pPr>
              <w:ind w:left="80"/>
              <w:spacing w:after="0"/>
              <w:rPr>
                <w:sz w:val="20"/>
                <w:szCs w:val="20"/>
                <w:color w:val="auto"/>
              </w:rPr>
            </w:pPr>
            <w:r>
              <w:rPr>
                <w:rFonts w:ascii="Arial" w:cs="Arial" w:eastAsia="Arial" w:hAnsi="Arial"/>
                <w:sz w:val="16"/>
                <w:szCs w:val="16"/>
                <w:color w:val="0000FF"/>
              </w:rPr>
              <w:t>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Partners III,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2C2C2C"/>
            </w:tcBorders>
          </w:tcPr>
          <w:p>
            <w:pPr>
              <w:spacing w:after="0"/>
              <w:rPr>
                <w:sz w:val="22"/>
                <w:szCs w:val="22"/>
                <w:color w:val="auto"/>
              </w:rPr>
            </w:pPr>
          </w:p>
        </w:tc>
        <w:tc>
          <w:tcPr>
            <w:tcW w:w="2420" w:type="dxa"/>
            <w:vAlign w:val="bottom"/>
            <w:tcBorders>
              <w:bottom w:val="single" w:sz="8" w:color="2C2C2C"/>
            </w:tcBorders>
          </w:tcPr>
          <w:p>
            <w:pPr>
              <w:spacing w:after="0"/>
              <w:rPr>
                <w:sz w:val="22"/>
                <w:szCs w:val="22"/>
                <w:color w:val="auto"/>
              </w:rPr>
            </w:pPr>
          </w:p>
        </w:tc>
        <w:tc>
          <w:tcPr>
            <w:tcW w:w="1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80"/>
              <w:spacing w:after="0" w:line="258" w:lineRule="exact"/>
              <w:rPr>
                <w:sz w:val="20"/>
                <w:szCs w:val="20"/>
                <w:color w:val="auto"/>
              </w:rPr>
            </w:pPr>
            <w:r>
              <w:rPr>
                <w:rFonts w:ascii="Arial" w:cs="Arial" w:eastAsia="Arial" w:hAnsi="Arial"/>
                <w:sz w:val="29"/>
                <w:szCs w:val="29"/>
                <w:color w:val="0000FF"/>
                <w:vertAlign w:val="subscript"/>
              </w:rPr>
              <w:t>L.P.</w:t>
            </w:r>
            <w:r>
              <w:rPr>
                <w:rFonts w:ascii="Arial" w:cs="Arial" w:eastAsia="Arial" w:hAnsi="Arial"/>
                <w:sz w:val="10"/>
                <w:szCs w:val="10"/>
                <w:color w:val="008000"/>
              </w:rPr>
              <w:t>(1)(3)</w:t>
            </w: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color w:val="0000FF"/>
              </w:rPr>
              <w:t>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6"/>
              </w:rPr>
              <w:t>Class A</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0000FF"/>
                <w:w w:val="95"/>
              </w:rPr>
              <w:t>3,565,600</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37" w:lineRule="exact"/>
              <w:rPr>
                <w:sz w:val="20"/>
                <w:szCs w:val="20"/>
                <w:color w:val="auto"/>
              </w:rPr>
            </w:pPr>
            <w:r>
              <w:rPr>
                <w:rFonts w:ascii="Arial" w:cs="Arial" w:eastAsia="Arial" w:hAnsi="Arial"/>
                <w:sz w:val="12"/>
                <w:szCs w:val="12"/>
                <w:color w:val="0000FF"/>
              </w:rPr>
              <w:t>Emergence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Common</w:t>
            </w:r>
          </w:p>
        </w:tc>
        <w:tc>
          <w:tcPr>
            <w:tcW w:w="740" w:type="dxa"/>
            <w:vAlign w:val="bottom"/>
          </w:tcPr>
          <w:p>
            <w:pPr>
              <w:ind w:left="320"/>
              <w:spacing w:after="0"/>
              <w:rPr>
                <w:sz w:val="20"/>
                <w:szCs w:val="20"/>
                <w:color w:val="auto"/>
              </w:rPr>
            </w:pPr>
            <w:r>
              <w:rPr>
                <w:rFonts w:ascii="Arial" w:cs="Arial" w:eastAsia="Arial" w:hAnsi="Arial"/>
                <w:sz w:val="10"/>
                <w:szCs w:val="10"/>
                <w:color w:val="008000"/>
              </w:rPr>
              <w:t>(1)</w:t>
            </w:r>
          </w:p>
        </w:tc>
        <w:tc>
          <w:tcPr>
            <w:tcW w:w="1080" w:type="dxa"/>
            <w:vAlign w:val="bottom"/>
          </w:tcPr>
          <w:p>
            <w:pPr>
              <w:ind w:left="260"/>
              <w:spacing w:after="0"/>
              <w:rPr>
                <w:sz w:val="20"/>
                <w:szCs w:val="20"/>
                <w:color w:val="auto"/>
              </w:rPr>
            </w:pPr>
            <w:r>
              <w:rPr>
                <w:rFonts w:ascii="Arial" w:cs="Arial" w:eastAsia="Arial" w:hAnsi="Arial"/>
                <w:sz w:val="12"/>
                <w:szCs w:val="12"/>
                <w:color w:val="0000FF"/>
              </w:rPr>
              <w:t>03/16/2020</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0000FF"/>
              </w:rPr>
              <w:t>3,565,600</w:t>
            </w:r>
          </w:p>
        </w:tc>
        <w:tc>
          <w:tcPr>
            <w:tcW w:w="740" w:type="dxa"/>
            <w:vAlign w:val="bottom"/>
          </w:tcPr>
          <w:p>
            <w:pPr>
              <w:ind w:left="320"/>
              <w:spacing w:after="0"/>
              <w:rPr>
                <w:sz w:val="20"/>
                <w:szCs w:val="20"/>
                <w:color w:val="auto"/>
              </w:rPr>
            </w:pPr>
            <w:r>
              <w:rPr>
                <w:rFonts w:ascii="Arial" w:cs="Arial" w:eastAsia="Arial" w:hAnsi="Arial"/>
                <w:sz w:val="10"/>
                <w:szCs w:val="10"/>
                <w:color w:val="008000"/>
              </w:rPr>
              <w:t>(5)</w:t>
            </w:r>
          </w:p>
        </w:tc>
        <w:tc>
          <w:tcPr>
            <w:tcW w:w="700" w:type="dxa"/>
            <w:vAlign w:val="bottom"/>
          </w:tcPr>
          <w:p>
            <w:pPr>
              <w:jc w:val="center"/>
              <w:spacing w:after="0"/>
              <w:rPr>
                <w:sz w:val="20"/>
                <w:szCs w:val="20"/>
                <w:color w:val="auto"/>
              </w:rPr>
            </w:pPr>
            <w:r>
              <w:rPr>
                <w:rFonts w:ascii="Arial" w:cs="Arial" w:eastAsia="Arial" w:hAnsi="Arial"/>
                <w:sz w:val="10"/>
                <w:szCs w:val="10"/>
                <w:color w:val="008000"/>
                <w:w w:val="97"/>
              </w:rPr>
              <w:t>(5)</w:t>
            </w:r>
          </w:p>
        </w:tc>
        <w:tc>
          <w:tcPr>
            <w:tcW w:w="600" w:type="dxa"/>
            <w:vAlign w:val="bottom"/>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tcPr>
          <w:p>
            <w:pPr>
              <w:jc w:val="right"/>
              <w:ind w:right="103"/>
              <w:spacing w:after="0"/>
              <w:rPr>
                <w:sz w:val="20"/>
                <w:szCs w:val="20"/>
                <w:color w:val="auto"/>
              </w:rPr>
            </w:pPr>
            <w:r>
              <w:rPr>
                <w:rFonts w:ascii="Arial" w:cs="Arial" w:eastAsia="Arial" w:hAnsi="Arial"/>
                <w:sz w:val="12"/>
                <w:szCs w:val="12"/>
                <w:color w:val="0000FF"/>
              </w:rPr>
              <w:t>16,035,668</w:t>
            </w:r>
          </w:p>
        </w:tc>
        <w:tc>
          <w:tcPr>
            <w:tcW w:w="700" w:type="dxa"/>
            <w:vAlign w:val="bottom"/>
          </w:tcPr>
          <w:p>
            <w:pPr>
              <w:ind w:left="340"/>
              <w:spacing w:after="0"/>
              <w:rPr>
                <w:sz w:val="20"/>
                <w:szCs w:val="20"/>
                <w:color w:val="auto"/>
              </w:rPr>
            </w:pPr>
            <w:r>
              <w:rPr>
                <w:rFonts w:ascii="Arial" w:cs="Arial" w:eastAsia="Arial" w:hAnsi="Arial"/>
                <w:sz w:val="12"/>
                <w:szCs w:val="12"/>
                <w:color w:val="0000FF"/>
              </w:rPr>
              <w:t>I</w:t>
            </w:r>
          </w:p>
        </w:tc>
        <w:tc>
          <w:tcPr>
            <w:tcW w:w="780" w:type="dxa"/>
            <w:vAlign w:val="bottom"/>
          </w:tcPr>
          <w:p>
            <w:pPr>
              <w:ind w:left="80"/>
              <w:spacing w:after="0"/>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2"/>
                <w:szCs w:val="12"/>
                <w:color w:val="0000FF"/>
              </w:rPr>
              <w:t>Partners III,</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ind w:left="80"/>
              <w:spacing w:after="0" w:line="224" w:lineRule="exact"/>
              <w:rPr>
                <w:sz w:val="20"/>
                <w:szCs w:val="20"/>
                <w:color w:val="auto"/>
              </w:rPr>
            </w:pPr>
            <w:r>
              <w:rPr>
                <w:rFonts w:ascii="Arial" w:cs="Arial" w:eastAsia="Arial" w:hAnsi="Arial"/>
                <w:sz w:val="12"/>
                <w:szCs w:val="12"/>
                <w:color w:val="0000FF"/>
              </w:rPr>
              <w:t>L.P.</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(3)</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60" w:type="dxa"/>
            <w:vAlign w:val="bottom"/>
            <w:vMerge w:val="restart"/>
          </w:tcPr>
          <w:p>
            <w:pPr>
              <w:jc w:val="right"/>
              <w:ind w:right="54"/>
              <w:spacing w:after="0"/>
              <w:rPr>
                <w:sz w:val="20"/>
                <w:szCs w:val="20"/>
                <w:color w:val="auto"/>
              </w:rPr>
            </w:pPr>
            <w:r>
              <w:rPr>
                <w:rFonts w:ascii="Arial" w:cs="Arial" w:eastAsia="Arial" w:hAnsi="Arial"/>
                <w:sz w:val="16"/>
                <w:szCs w:val="16"/>
                <w:color w:val="0000FF"/>
              </w:rPr>
              <w:t>434,400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color w:val="0000FF"/>
              </w:rPr>
              <w:t>By EZP</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Common</w:t>
            </w:r>
          </w:p>
        </w:tc>
        <w:tc>
          <w:tcPr>
            <w:tcW w:w="740" w:type="dxa"/>
            <w:vAlign w:val="bottom"/>
          </w:tcPr>
          <w:p>
            <w:pPr>
              <w:ind w:left="320"/>
              <w:spacing w:after="0"/>
              <w:rPr>
                <w:sz w:val="20"/>
                <w:szCs w:val="20"/>
                <w:color w:val="auto"/>
              </w:rPr>
            </w:pPr>
            <w:r>
              <w:rPr>
                <w:rFonts w:ascii="Arial" w:cs="Arial" w:eastAsia="Arial" w:hAnsi="Arial"/>
                <w:sz w:val="10"/>
                <w:szCs w:val="10"/>
                <w:color w:val="008000"/>
              </w:rPr>
              <w:t>(3)</w:t>
            </w:r>
          </w:p>
        </w:tc>
        <w:tc>
          <w:tcPr>
            <w:tcW w:w="1080" w:type="dxa"/>
            <w:vAlign w:val="bottom"/>
          </w:tcPr>
          <w:p>
            <w:pPr>
              <w:ind w:left="260"/>
              <w:spacing w:after="0"/>
              <w:rPr>
                <w:sz w:val="20"/>
                <w:szCs w:val="20"/>
                <w:color w:val="auto"/>
              </w:rPr>
            </w:pPr>
            <w:r>
              <w:rPr>
                <w:rFonts w:ascii="Arial" w:cs="Arial" w:eastAsia="Arial" w:hAnsi="Arial"/>
                <w:sz w:val="12"/>
                <w:szCs w:val="12"/>
                <w:color w:val="0000FF"/>
              </w:rPr>
              <w:t>03/16/2020</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0000FF"/>
              </w:rPr>
              <w:t>434,400</w:t>
            </w:r>
          </w:p>
        </w:tc>
        <w:tc>
          <w:tcPr>
            <w:tcW w:w="740" w:type="dxa"/>
            <w:vAlign w:val="bottom"/>
          </w:tcPr>
          <w:p>
            <w:pPr>
              <w:ind w:left="320"/>
              <w:spacing w:after="0"/>
              <w:rPr>
                <w:sz w:val="20"/>
                <w:szCs w:val="20"/>
                <w:color w:val="auto"/>
              </w:rPr>
            </w:pPr>
            <w:r>
              <w:rPr>
                <w:rFonts w:ascii="Arial" w:cs="Arial" w:eastAsia="Arial" w:hAnsi="Arial"/>
                <w:sz w:val="10"/>
                <w:szCs w:val="10"/>
                <w:color w:val="008000"/>
              </w:rPr>
              <w:t>(5)</w:t>
            </w:r>
          </w:p>
        </w:tc>
        <w:tc>
          <w:tcPr>
            <w:tcW w:w="700" w:type="dxa"/>
            <w:vAlign w:val="bottom"/>
          </w:tcPr>
          <w:p>
            <w:pPr>
              <w:jc w:val="center"/>
              <w:spacing w:after="0"/>
              <w:rPr>
                <w:sz w:val="20"/>
                <w:szCs w:val="20"/>
                <w:color w:val="auto"/>
              </w:rPr>
            </w:pPr>
            <w:r>
              <w:rPr>
                <w:rFonts w:ascii="Arial" w:cs="Arial" w:eastAsia="Arial" w:hAnsi="Arial"/>
                <w:sz w:val="10"/>
                <w:szCs w:val="10"/>
                <w:color w:val="008000"/>
                <w:w w:val="97"/>
              </w:rPr>
              <w:t>(5)</w:t>
            </w:r>
          </w:p>
        </w:tc>
        <w:tc>
          <w:tcPr>
            <w:tcW w:w="600" w:type="dxa"/>
            <w:vAlign w:val="bottom"/>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tcPr>
          <w:p>
            <w:pPr>
              <w:jc w:val="right"/>
              <w:ind w:right="143"/>
              <w:spacing w:after="0"/>
              <w:rPr>
                <w:sz w:val="20"/>
                <w:szCs w:val="20"/>
                <w:color w:val="auto"/>
              </w:rPr>
            </w:pPr>
            <w:r>
              <w:rPr>
                <w:rFonts w:ascii="Arial" w:cs="Arial" w:eastAsia="Arial" w:hAnsi="Arial"/>
                <w:sz w:val="12"/>
                <w:szCs w:val="12"/>
                <w:color w:val="0000FF"/>
              </w:rPr>
              <w:t>1,953,157</w:t>
            </w:r>
          </w:p>
        </w:tc>
        <w:tc>
          <w:tcPr>
            <w:tcW w:w="700" w:type="dxa"/>
            <w:vAlign w:val="bottom"/>
          </w:tcPr>
          <w:p>
            <w:pPr>
              <w:ind w:left="340"/>
              <w:spacing w:after="0"/>
              <w:rPr>
                <w:sz w:val="20"/>
                <w:szCs w:val="20"/>
                <w:color w:val="auto"/>
              </w:rPr>
            </w:pPr>
            <w:r>
              <w:rPr>
                <w:rFonts w:ascii="Arial" w:cs="Arial" w:eastAsia="Arial" w:hAnsi="Arial"/>
                <w:sz w:val="12"/>
                <w:szCs w:val="12"/>
                <w:color w:val="0000FF"/>
              </w:rPr>
              <w:t>I</w:t>
            </w:r>
          </w:p>
        </w:tc>
        <w:tc>
          <w:tcPr>
            <w:tcW w:w="780" w:type="dxa"/>
            <w:vAlign w:val="bottom"/>
          </w:tcPr>
          <w:p>
            <w:pPr>
              <w:ind w:left="80"/>
              <w:spacing w:after="0"/>
              <w:rPr>
                <w:sz w:val="20"/>
                <w:szCs w:val="20"/>
                <w:color w:val="auto"/>
              </w:rPr>
            </w:pPr>
            <w:r>
              <w:rPr>
                <w:rFonts w:ascii="Arial" w:cs="Arial" w:eastAsia="Arial" w:hAnsi="Arial"/>
                <w:sz w:val="12"/>
                <w:szCs w:val="12"/>
                <w:color w:val="0000FF"/>
              </w:rPr>
              <w:t>Opportunity,</w:t>
            </w:r>
          </w:p>
        </w:tc>
        <w:tc>
          <w:tcPr>
            <w:tcW w:w="0" w:type="dxa"/>
            <w:vAlign w:val="bottom"/>
          </w:tcPr>
          <w:p>
            <w:pPr>
              <w:spacing w:after="0"/>
              <w:rPr>
                <w:sz w:val="1"/>
                <w:szCs w:val="1"/>
                <w:color w:val="auto"/>
              </w:rPr>
            </w:pPr>
          </w:p>
        </w:tc>
      </w:tr>
      <w:tr>
        <w:trPr>
          <w:trHeight w:val="262"/>
        </w:trPr>
        <w:tc>
          <w:tcPr>
            <w:tcW w:w="2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93"/>
              </w:rPr>
              <w:t>Stock</w:t>
            </w:r>
          </w:p>
        </w:tc>
        <w:tc>
          <w:tcPr>
            <w:tcW w:w="7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ind w:left="80"/>
              <w:spacing w:after="0" w:line="217" w:lineRule="exact"/>
              <w:rPr>
                <w:sz w:val="20"/>
                <w:szCs w:val="20"/>
                <w:color w:val="auto"/>
              </w:rPr>
            </w:pPr>
            <w:r>
              <w:rPr>
                <w:rFonts w:ascii="Arial" w:cs="Arial" w:eastAsia="Arial" w:hAnsi="Arial"/>
                <w:sz w:val="12"/>
                <w:szCs w:val="12"/>
                <w:color w:val="0000FF"/>
              </w:rPr>
              <w:t>L.P.</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5"/>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gridSpan w:val="6"/>
          </w:tcPr>
          <w:p>
            <w:pPr>
              <w:ind w:left="20"/>
              <w:spacing w:after="0" w:line="206" w:lineRule="exact"/>
              <w:rPr>
                <w:rFonts w:ascii="Arial" w:cs="Arial" w:eastAsia="Arial" w:hAnsi="Arial"/>
                <w:sz w:val="20"/>
                <w:szCs w:val="20"/>
                <w:color w:val="0000EE"/>
              </w:rPr>
            </w:pPr>
            <w:hyperlink r:id="rId12">
              <w:r>
                <w:rPr>
                  <w:rFonts w:ascii="Arial" w:cs="Arial" w:eastAsia="Arial" w:hAnsi="Arial"/>
                  <w:sz w:val="20"/>
                  <w:szCs w:val="20"/>
                  <w:color w:val="0000EE"/>
                </w:rPr>
                <w:t>Emergence Capital Partners III, L.P.</w:t>
              </w:r>
            </w:hyperlink>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auto"/>
              </w:rPr>
              <w:t>(First)</w:t>
            </w:r>
          </w:p>
        </w:tc>
        <w:tc>
          <w:tcPr>
            <w:tcW w:w="102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gridSpan w:val="4"/>
          </w:tcPr>
          <w:p>
            <w:pPr>
              <w:ind w:left="20"/>
              <w:spacing w:after="0"/>
              <w:rPr>
                <w:sz w:val="20"/>
                <w:szCs w:val="20"/>
                <w:color w:val="auto"/>
              </w:rPr>
            </w:pPr>
            <w:r>
              <w:rPr>
                <w:rFonts w:ascii="Arial" w:cs="Arial" w:eastAsia="Arial" w:hAnsi="Arial"/>
                <w:sz w:val="16"/>
                <w:szCs w:val="16"/>
                <w:color w:val="0000FF"/>
              </w:rPr>
              <w:t>160 BOVET ROAD, SUITE 300</w:t>
            </w: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ind w:left="20"/>
              <w:spacing w:after="0"/>
              <w:rPr>
                <w:sz w:val="20"/>
                <w:szCs w:val="20"/>
                <w:color w:val="auto"/>
              </w:rPr>
            </w:pPr>
            <w:r>
              <w:rPr>
                <w:rFonts w:ascii="Arial" w:cs="Arial" w:eastAsia="Arial" w:hAnsi="Arial"/>
                <w:sz w:val="16"/>
                <w:szCs w:val="16"/>
                <w:color w:val="0000FF"/>
              </w:rPr>
              <w:t>SAN MATEO</w:t>
            </w:r>
          </w:p>
        </w:tc>
        <w:tc>
          <w:tcPr>
            <w:tcW w:w="1080" w:type="dxa"/>
            <w:vAlign w:val="bottom"/>
          </w:tcPr>
          <w:p>
            <w:pPr>
              <w:ind w:left="80"/>
              <w:spacing w:after="0"/>
              <w:rPr>
                <w:sz w:val="20"/>
                <w:szCs w:val="20"/>
                <w:color w:val="auto"/>
              </w:rPr>
            </w:pPr>
            <w:r>
              <w:rPr>
                <w:rFonts w:ascii="Arial" w:cs="Arial" w:eastAsia="Arial" w:hAnsi="Arial"/>
                <w:sz w:val="16"/>
                <w:szCs w:val="16"/>
                <w:color w:val="0000FF"/>
              </w:rPr>
              <w:t>CA</w:t>
            </w:r>
          </w:p>
        </w:tc>
        <w:tc>
          <w:tcPr>
            <w:tcW w:w="1020" w:type="dxa"/>
            <w:vAlign w:val="bottom"/>
            <w:gridSpan w:val="2"/>
          </w:tcPr>
          <w:p>
            <w:pPr>
              <w:ind w:left="420"/>
              <w:spacing w:after="0"/>
              <w:rPr>
                <w:sz w:val="20"/>
                <w:szCs w:val="20"/>
                <w:color w:val="auto"/>
              </w:rPr>
            </w:pPr>
            <w:r>
              <w:rPr>
                <w:rFonts w:ascii="Arial" w:cs="Arial" w:eastAsia="Arial" w:hAnsi="Arial"/>
                <w:sz w:val="16"/>
                <w:szCs w:val="16"/>
                <w:color w:val="0000FF"/>
              </w:rPr>
              <w:t>94402</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auto"/>
              </w:rPr>
              <w:t>(State)</w:t>
            </w:r>
          </w:p>
        </w:tc>
        <w:tc>
          <w:tcPr>
            <w:tcW w:w="1020" w:type="dxa"/>
            <w:vAlign w:val="bottom"/>
            <w:gridSpan w:val="2"/>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100"/>
        <w:spacing w:after="0"/>
        <w:rPr>
          <w:rFonts w:ascii="Arial" w:cs="Arial" w:eastAsia="Arial" w:hAnsi="Arial"/>
          <w:sz w:val="20"/>
          <w:szCs w:val="20"/>
          <w:u w:val="single" w:color="auto"/>
          <w:color w:val="0000EE"/>
        </w:rPr>
      </w:pPr>
      <w:hyperlink r:id="rId14">
        <w:r>
          <w:rPr>
            <w:rFonts w:ascii="Arial" w:cs="Arial" w:eastAsia="Arial" w:hAnsi="Arial"/>
            <w:sz w:val="20"/>
            <w:szCs w:val="20"/>
            <w:u w:val="single" w:color="auto"/>
            <w:color w:val="0000EE"/>
          </w:rPr>
          <w:t>Emergence Equity Partners III,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-132715</wp:posOffset>
            </wp:positionV>
            <wp:extent cx="2807970" cy="4471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07970" cy="447167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20" w:type="dxa"/>
            <w:vAlign w:val="bottom"/>
            <w:gridSpan w:val="2"/>
          </w:tcPr>
          <w:p>
            <w:pPr>
              <w:ind w:left="24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580" w:type="dxa"/>
            <w:vAlign w:val="bottom"/>
            <w:gridSpan w:val="4"/>
          </w:tcPr>
          <w:p>
            <w:pPr>
              <w:ind w:left="20"/>
              <w:spacing w:after="0"/>
              <w:rPr>
                <w:sz w:val="20"/>
                <w:szCs w:val="20"/>
                <w:color w:val="auto"/>
              </w:rPr>
            </w:pPr>
            <w:r>
              <w:rPr>
                <w:rFonts w:ascii="Arial" w:cs="Arial" w:eastAsia="Arial" w:hAnsi="Arial"/>
                <w:sz w:val="16"/>
                <w:szCs w:val="16"/>
                <w:color w:val="0000FF"/>
              </w:rPr>
              <w:t>160 BOVET ROAD, SUITE 300</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3"/>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8"/>
        </w:trPr>
        <w:tc>
          <w:tcPr>
            <w:tcW w:w="12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00FF"/>
              </w:rPr>
              <w:t>SAN MATEO</w:t>
            </w:r>
          </w:p>
        </w:tc>
        <w:tc>
          <w:tcPr>
            <w:tcW w:w="1420" w:type="dxa"/>
            <w:vAlign w:val="bottom"/>
            <w:gridSpan w:val="2"/>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94402</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20" w:type="dxa"/>
            <w:vAlign w:val="bottom"/>
            <w:gridSpan w:val="2"/>
          </w:tcPr>
          <w:p>
            <w:pPr>
              <w:ind w:left="24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2"/>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6"/>
        </w:trPr>
        <w:tc>
          <w:tcPr>
            <w:tcW w:w="80" w:type="dxa"/>
            <w:vAlign w:val="bottom"/>
          </w:tcPr>
          <w:p>
            <w:pPr>
              <w:spacing w:after="0"/>
              <w:rPr>
                <w:sz w:val="17"/>
                <w:szCs w:val="17"/>
                <w:color w:val="auto"/>
              </w:rPr>
            </w:pPr>
          </w:p>
        </w:tc>
        <w:tc>
          <w:tcPr>
            <w:tcW w:w="2580" w:type="dxa"/>
            <w:vAlign w:val="bottom"/>
            <w:gridSpan w:val="4"/>
          </w:tcPr>
          <w:p>
            <w:pPr>
              <w:ind w:left="20"/>
              <w:spacing w:after="0" w:line="206" w:lineRule="exact"/>
              <w:rPr>
                <w:rFonts w:ascii="Arial" w:cs="Arial" w:eastAsia="Arial" w:hAnsi="Arial"/>
                <w:sz w:val="20"/>
                <w:szCs w:val="20"/>
                <w:color w:val="0000EE"/>
              </w:rPr>
            </w:pPr>
            <w:hyperlink r:id="rId16">
              <w:r>
                <w:rPr>
                  <w:rFonts w:ascii="Arial" w:cs="Arial" w:eastAsia="Arial" w:hAnsi="Arial"/>
                  <w:sz w:val="20"/>
                  <w:szCs w:val="20"/>
                  <w:color w:val="0000EE"/>
                </w:rPr>
                <w:t>EZP Opportunity, L.P.</w:t>
              </w:r>
            </w:hyperlink>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20" w:type="dxa"/>
            <w:vAlign w:val="bottom"/>
            <w:gridSpan w:val="2"/>
          </w:tcPr>
          <w:p>
            <w:pPr>
              <w:ind w:left="24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580" w:type="dxa"/>
            <w:vAlign w:val="bottom"/>
            <w:gridSpan w:val="4"/>
          </w:tcPr>
          <w:p>
            <w:pPr>
              <w:ind w:left="20"/>
              <w:spacing w:after="0"/>
              <w:rPr>
                <w:sz w:val="20"/>
                <w:szCs w:val="20"/>
                <w:color w:val="auto"/>
              </w:rPr>
            </w:pPr>
            <w:r>
              <w:rPr>
                <w:rFonts w:ascii="Arial" w:cs="Arial" w:eastAsia="Arial" w:hAnsi="Arial"/>
                <w:sz w:val="16"/>
                <w:szCs w:val="16"/>
                <w:color w:val="0000FF"/>
              </w:rPr>
              <w:t>160 BOVET ROAD, SUITE 300</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3"/>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8"/>
        </w:trPr>
        <w:tc>
          <w:tcPr>
            <w:tcW w:w="12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00FF"/>
              </w:rPr>
              <w:t>SAN MATEO</w:t>
            </w:r>
          </w:p>
        </w:tc>
        <w:tc>
          <w:tcPr>
            <w:tcW w:w="1420" w:type="dxa"/>
            <w:vAlign w:val="bottom"/>
            <w:gridSpan w:val="2"/>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94402</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20" w:type="dxa"/>
            <w:vAlign w:val="bottom"/>
            <w:gridSpan w:val="2"/>
          </w:tcPr>
          <w:p>
            <w:pPr>
              <w:ind w:left="24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9"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7">
        <w:r>
          <w:rPr>
            <w:rFonts w:ascii="Arial" w:cs="Arial" w:eastAsia="Arial" w:hAnsi="Arial"/>
            <w:sz w:val="20"/>
            <w:szCs w:val="20"/>
            <w:u w:val="single" w:color="auto"/>
            <w:color w:val="0000EE"/>
          </w:rPr>
          <w:t>EMERGENCE GP PARTNERS, LLC</w:t>
        </w:r>
      </w:hyperlink>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(Last)</w:t>
            </w:r>
          </w:p>
        </w:tc>
        <w:tc>
          <w:tcPr>
            <w:tcW w:w="1320" w:type="dxa"/>
            <w:vAlign w:val="bottom"/>
          </w:tcPr>
          <w:p>
            <w:pPr>
              <w:ind w:left="240"/>
              <w:spacing w:after="0"/>
              <w:rPr>
                <w:sz w:val="20"/>
                <w:szCs w:val="20"/>
                <w:color w:val="auto"/>
              </w:rPr>
            </w:pPr>
            <w:r>
              <w:rPr>
                <w:rFonts w:ascii="Arial" w:cs="Arial" w:eastAsia="Arial" w:hAnsi="Arial"/>
                <w:sz w:val="12"/>
                <w:szCs w:val="12"/>
                <w:color w:val="auto"/>
              </w:rPr>
              <w:t>(First)</w:t>
            </w:r>
          </w:p>
        </w:tc>
        <w:tc>
          <w:tcPr>
            <w:tcW w:w="1700" w:type="dxa"/>
            <w:vAlign w:val="bottom"/>
          </w:tcPr>
          <w:p>
            <w:pPr>
              <w:ind w:left="340"/>
              <w:spacing w:after="0"/>
              <w:rPr>
                <w:sz w:val="20"/>
                <w:szCs w:val="20"/>
                <w:color w:val="auto"/>
              </w:rPr>
            </w:pPr>
            <w:r>
              <w:rPr>
                <w:rFonts w:ascii="Arial" w:cs="Arial" w:eastAsia="Arial" w:hAnsi="Arial"/>
                <w:sz w:val="12"/>
                <w:szCs w:val="12"/>
                <w:color w:val="auto"/>
              </w:rPr>
              <w:t>(Middle)</w:t>
            </w:r>
          </w:p>
        </w:tc>
      </w:tr>
      <w:tr>
        <w:trPr>
          <w:trHeight w:val="261"/>
        </w:trPr>
        <w:tc>
          <w:tcPr>
            <w:tcW w:w="20" w:type="dxa"/>
            <w:vAlign w:val="bottom"/>
          </w:tcPr>
          <w:p>
            <w:pPr>
              <w:spacing w:after="0"/>
              <w:rPr>
                <w:sz w:val="22"/>
                <w:szCs w:val="22"/>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color w:val="0000FF"/>
              </w:rPr>
              <w:t>160 BOVET ROAD, SUITE 300</w:t>
            </w:r>
          </w:p>
        </w:tc>
        <w:tc>
          <w:tcPr>
            <w:tcW w:w="170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r>
      <w:tr>
        <w:trPr>
          <w:trHeight w:val="248"/>
        </w:trPr>
        <w:tc>
          <w:tcPr>
            <w:tcW w:w="11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0000FF"/>
              </w:rPr>
              <w:t>SAN MATEO</w:t>
            </w:r>
          </w:p>
        </w:tc>
        <w:tc>
          <w:tcPr>
            <w:tcW w:w="1320" w:type="dxa"/>
            <w:vAlign w:val="bottom"/>
          </w:tcPr>
          <w:p>
            <w:pPr>
              <w:ind w:left="240"/>
              <w:spacing w:after="0"/>
              <w:rPr>
                <w:sz w:val="20"/>
                <w:szCs w:val="20"/>
                <w:color w:val="auto"/>
              </w:rPr>
            </w:pPr>
            <w:r>
              <w:rPr>
                <w:rFonts w:ascii="Arial" w:cs="Arial" w:eastAsia="Arial" w:hAnsi="Arial"/>
                <w:sz w:val="16"/>
                <w:szCs w:val="16"/>
                <w:color w:val="0000FF"/>
              </w:rPr>
              <w:t>CA</w:t>
            </w:r>
          </w:p>
        </w:tc>
        <w:tc>
          <w:tcPr>
            <w:tcW w:w="1700" w:type="dxa"/>
            <w:vAlign w:val="bottom"/>
          </w:tcPr>
          <w:p>
            <w:pPr>
              <w:ind w:left="340"/>
              <w:spacing w:after="0"/>
              <w:rPr>
                <w:sz w:val="20"/>
                <w:szCs w:val="20"/>
                <w:color w:val="auto"/>
              </w:rPr>
            </w:pPr>
            <w:r>
              <w:rPr>
                <w:rFonts w:ascii="Arial" w:cs="Arial" w:eastAsia="Arial" w:hAnsi="Arial"/>
                <w:sz w:val="16"/>
                <w:szCs w:val="16"/>
                <w:color w:val="0000FF"/>
              </w:rPr>
              <w:t>94402</w:t>
            </w:r>
          </w:p>
        </w:tc>
      </w:tr>
      <w:tr>
        <w:trPr>
          <w:trHeight w:val="144"/>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(City)</w:t>
            </w:r>
          </w:p>
        </w:tc>
        <w:tc>
          <w:tcPr>
            <w:tcW w:w="1320" w:type="dxa"/>
            <w:vAlign w:val="bottom"/>
          </w:tcPr>
          <w:p>
            <w:pPr>
              <w:ind w:left="240"/>
              <w:spacing w:after="0"/>
              <w:rPr>
                <w:sz w:val="20"/>
                <w:szCs w:val="20"/>
                <w:color w:val="auto"/>
              </w:rPr>
            </w:pPr>
            <w:r>
              <w:rPr>
                <w:rFonts w:ascii="Arial" w:cs="Arial" w:eastAsia="Arial" w:hAnsi="Arial"/>
                <w:sz w:val="12"/>
                <w:szCs w:val="12"/>
                <w:color w:val="auto"/>
              </w:rPr>
              <w:t>(State)</w:t>
            </w:r>
          </w:p>
        </w:tc>
        <w:tc>
          <w:tcPr>
            <w:tcW w:w="1700" w:type="dxa"/>
            <w:vAlign w:val="bottom"/>
          </w:tcPr>
          <w:p>
            <w:pPr>
              <w:ind w:left="34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20" w:right="60" w:hanging="3"/>
        <w:spacing w:after="0" w:line="246"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16, 2020, Emergence Capital Partners III, L.P. ("Emergence") converted in the aggregate 3,565,600 shares of the Issuer's Class B Common Stock into 3,565,600 shares of the Issuer's Class A Common Stock. Subsequently on the same date, Emergence distributed in-kind, without consideration, all 3,565,600 shares of Class A Common Stock pro-rata to its partners, including its limited partners and its general partner, Emergence Equity Partners III, L.P. ("EEP III"), in accordance with the exemption under Rule 16a-9(a) and Rule 16a-13 of the Securities Exchange Act of 1934, as amended. Upon receipt by EEP III of its pro rata interest of the distribution (763,392 shares of Class A Common Stock), EEP III distributed in-kind, without consideration, 698,228 of such shares pro-rata to its limited partners in accordance with the exemption under Rule 16a-9(a) and Rule 16a-13 of the Securities Exchange Act of 1934, as amended.</w:t>
      </w:r>
    </w:p>
    <w:p>
      <w:pPr>
        <w:spacing w:after="0" w:line="27" w:lineRule="exact"/>
        <w:rPr>
          <w:rFonts w:ascii="Arial" w:cs="Arial" w:eastAsia="Arial" w:hAnsi="Arial"/>
          <w:sz w:val="12"/>
          <w:szCs w:val="12"/>
          <w:color w:val="008000"/>
        </w:rPr>
      </w:pPr>
    </w:p>
    <w:p>
      <w:pPr>
        <w:ind w:left="20" w:right="20" w:hanging="3"/>
        <w:spacing w:after="0" w:line="25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directly by Emergence. The sole general partner of Emergence is EEP III, and the sole general partner of EEP III is Emergence GP Partners, LLC ("EGP"). Each of the Reporting Persons on this filing (other than Emergence) disclaims Section 16 beneficial ownership of the shares held by Emergence, except to the extent, if any, of its pecuniary interest therein, and this report shall not be deemed an admission that it is the beneficial owner of such shares for Section 16 or any other purpose.</w:t>
      </w:r>
    </w:p>
    <w:p>
      <w:pPr>
        <w:spacing w:after="0" w:line="22" w:lineRule="exact"/>
        <w:rPr>
          <w:rFonts w:ascii="Arial" w:cs="Arial" w:eastAsia="Arial" w:hAnsi="Arial"/>
          <w:sz w:val="12"/>
          <w:szCs w:val="12"/>
          <w:color w:val="008000"/>
        </w:rPr>
      </w:pPr>
    </w:p>
    <w:p>
      <w:pPr>
        <w:ind w:left="20" w:right="80" w:hanging="3"/>
        <w:spacing w:after="0" w:line="246"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16, 2020, EZP Opportunity, L.P. ("EZP") converted in the aggregate 434,400 shares of the Issuer's Class B Common Stock into 434,400 shares of the Issuer's Class A Common Stock. Subsequently on the same date, EZP distributed in-kind, without consideration, all 434,400 shares of Class A Common Stock pro-rata to its partners, including its limited partners and its general partner, EEP III, in accordance with the exemption under Rule 16a-9(a) and Rule 16a-13 of the Securities Exchange Act of 1934, as amended. Upon receipt by EEP III of its pro rata interest of the distribution (86,880 shares of Class A Common Stock), EEP III distributed in-kind, without consideration, 78,876 of such shares pro-rata to its limited partners in accordance with the exemption under Rule 16a-9(a) and Rule 16a-13 of the Securities Exchange Act of 1934, as amended.</w:t>
      </w:r>
    </w:p>
    <w:p>
      <w:pPr>
        <w:spacing w:after="0" w:line="27" w:lineRule="exact"/>
        <w:rPr>
          <w:rFonts w:ascii="Arial" w:cs="Arial" w:eastAsia="Arial" w:hAnsi="Arial"/>
          <w:sz w:val="12"/>
          <w:szCs w:val="12"/>
          <w:color w:val="008000"/>
        </w:rPr>
      </w:pPr>
    </w:p>
    <w:p>
      <w:pPr>
        <w:ind w:left="20" w:hanging="3"/>
        <w:spacing w:after="0" w:line="25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directly by EZP. The sole general partner of EZP is EEP III, and the sole general partner of EEP III is EGP. Each of the Reporting Persons on this filing (other than EZP) disclaims Section 16 beneficial ownership of the shares held by EZP, except to the extent, if any, of its pecuniary interest therein, and this report shall not be deemed an admission that it is the beneficial owner of such shares for Section 16 or any other purpose.</w:t>
      </w:r>
    </w:p>
    <w:p>
      <w:pPr>
        <w:spacing w:after="0" w:line="22" w:lineRule="exact"/>
        <w:rPr>
          <w:rFonts w:ascii="Arial" w:cs="Arial" w:eastAsia="Arial" w:hAnsi="Arial"/>
          <w:sz w:val="12"/>
          <w:szCs w:val="12"/>
          <w:color w:val="008000"/>
        </w:rPr>
      </w:pPr>
    </w:p>
    <w:p>
      <w:pPr>
        <w:ind w:left="20" w:right="40" w:hanging="3"/>
        <w:spacing w:after="0" w:line="271"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(1) share of Class A Common Stock, and has no expiration date. Each share of Class B Common Stock will convert automatically into one (1) share of Class A Common Stock upon certain events specified in the Issuer's certificate of incorporation.</w:t>
      </w:r>
    </w:p>
    <w:p>
      <w:pPr>
        <w:sectPr>
          <w:pgSz w:w="11900" w:h="16838" w:orient="portrait"/>
          <w:cols w:equalWidth="0" w:num="1">
            <w:col w:w="10900"/>
          </w:cols>
          <w:pgMar w:left="480" w:top="120" w:right="519" w:bottom="622" w:gutter="0" w:footer="0" w:header="0"/>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Emergence Capital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wp:posOffset>
            </wp:positionV>
            <wp:extent cx="12992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99210" cy="7620"/>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By: Emergence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455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4554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Partners III, L.P.,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1905</wp:posOffset>
            </wp:positionV>
            <wp:extent cx="13442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1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296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2966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Partners, LLC,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2503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50315"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918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9187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3651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65125" cy="7620"/>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wp:posOffset>
            </wp:positionV>
            <wp:extent cx="12763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76350" cy="7620"/>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00266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0266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Partners, LLC,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25031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50315"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9187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9187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36512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65125" cy="7620"/>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EZP Opportunity,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-7620</wp:posOffset>
            </wp:positionV>
            <wp:extent cx="11150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27635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7635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L.P., its sole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1905</wp:posOffset>
            </wp:positionV>
            <wp:extent cx="133985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39850" cy="7620"/>
                    </a:xfrm>
                    <a:prstGeom prst="rect">
                      <a:avLst/>
                    </a:prstGeom>
                    <a:noFill/>
                  </pic:spPr>
                </pic:pic>
              </a:graphicData>
            </a:graphic>
          </wp:anchor>
        </w:drawing>
      </w:r>
    </w:p>
    <w:p>
      <w:pPr>
        <w:spacing w:after="0" w:line="1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Emergence GP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25095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25095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its sole general partner,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1905</wp:posOffset>
            </wp:positionV>
            <wp:extent cx="13315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31595" cy="7620"/>
                    </a:xfrm>
                    <a:prstGeom prst="rect">
                      <a:avLst/>
                    </a:prstGeom>
                    <a:noFill/>
                  </pic:spPr>
                </pic:pic>
              </a:graphicData>
            </a:graphic>
          </wp:anchor>
        </w:drawing>
      </w:r>
    </w:p>
    <w:p>
      <w:pPr>
        <w:spacing w:after="0" w:line="1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66738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667385" cy="7620"/>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Emergence GP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wp:posOffset>
            </wp:positionV>
            <wp:extent cx="12509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250950" cy="7620"/>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Jason 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04457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0445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0000FF"/>
        </w:rPr>
        <w:t>03/18/2020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0000FF"/>
        </w:rPr>
        <w:t>03/18/2020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0000FF"/>
        </w:rPr>
        <w:t>03/18/2020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0000FF"/>
        </w:rPr>
        <w:t>03/18/2020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8700" w:space="80"/>
            <w:col w:w="2120"/>
          </w:cols>
          <w:pgMar w:left="480" w:top="120" w:right="519" w:bottom="622"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700" w:hanging="3"/>
        <w:spacing w:after="0" w:line="323"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0" w:right="519" w:bottom="62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12" Type="http://schemas.openxmlformats.org/officeDocument/2006/relationships/hyperlink" Target="http://www.sec.gov/cgi-bin/browse-edgar?action=getcompany&amp;CIK=0001526541" TargetMode="External"/><Relationship Id="rId13" Type="http://schemas.openxmlformats.org/officeDocument/2006/relationships/hyperlink" Target="http://www.sec.gov/cgi-bin/browse-edgar?action=getcompany&amp;CIK=0001585521" TargetMode="External"/><Relationship Id="rId14" Type="http://schemas.openxmlformats.org/officeDocument/2006/relationships/hyperlink" Target="http://www.sec.gov/cgi-bin/browse-edgar?action=getcompany&amp;CIK=0001773803" TargetMode="External"/><Relationship Id="rId16" Type="http://schemas.openxmlformats.org/officeDocument/2006/relationships/hyperlink" Target="http://www.sec.gov/cgi-bin/browse-edgar?action=getcompany&amp;CIK=0001691097" TargetMode="External"/><Relationship Id="rId17" Type="http://schemas.openxmlformats.org/officeDocument/2006/relationships/hyperlink" Target="http://www.sec.gov/cgi-bin/browse-edgar?action=getcompany&amp;CIK=0001589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2020-03-18T15:13:50Z</dcterms:created>
  <dcterms:modified xsi:type="dcterms:W3CDTF">2020-03-18T15:13:50Z</dcterms:modified>
</cp:coreProperties>
</file>