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06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06793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Subotovsky Santiago</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BLVD,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01/12/2026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4"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0" w:type="dxa"/>
            <w:vAlign w:val="bottom"/>
            <w:gridSpan w:val="7"/>
          </w:tcPr>
          <w:p>
            <w:pPr>
              <w:jc w:val="center"/>
              <w:ind w:right="75"/>
              <w:spacing w:after="0"/>
              <w:rPr>
                <w:sz w:val="20"/>
                <w:szCs w:val="20"/>
                <w:color w:val="auto"/>
              </w:rPr>
            </w:pPr>
            <w:r>
              <w:rPr>
                <w:rFonts w:ascii="Arial" w:cs="Arial" w:eastAsia="Arial" w:hAnsi="Arial"/>
                <w:sz w:val="13"/>
                <w:szCs w:val="13"/>
                <w:color w:val="auto"/>
                <w:w w:val="96"/>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2260" w:type="dxa"/>
            <w:vAlign w:val="bottom"/>
            <w:gridSpan w:val="5"/>
            <w:vMerge w:val="restart"/>
          </w:tcPr>
          <w:p>
            <w:pPr>
              <w:ind w:left="16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95113</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6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4"/>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340" w:type="dxa"/>
            <w:vAlign w:val="bottom"/>
          </w:tcPr>
          <w:p>
            <w:pPr>
              <w:spacing w:after="0"/>
              <w:rPr>
                <w:sz w:val="10"/>
                <w:szCs w:val="10"/>
                <w:color w:val="auto"/>
              </w:rPr>
            </w:pPr>
          </w:p>
        </w:tc>
        <w:tc>
          <w:tcPr>
            <w:tcW w:w="34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4"/>
            <w:vMerge w:val="restart"/>
          </w:tcPr>
          <w:p>
            <w:pPr>
              <w:ind w:left="940"/>
              <w:spacing w:after="0"/>
              <w:rPr>
                <w:sz w:val="20"/>
                <w:szCs w:val="20"/>
                <w:color w:val="auto"/>
              </w:rPr>
            </w:pPr>
            <w:r>
              <w:rPr>
                <w:rFonts w:ascii="Times New Roman" w:cs="Times New Roman" w:eastAsia="Times New Roman" w:hAnsi="Times New Roman"/>
                <w:sz w:val="16"/>
                <w:szCs w:val="16"/>
                <w:color w:val="0000FF"/>
              </w:rPr>
              <w:t>01/12/2026</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25"/>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rPr>
              <w:t>1,345,000</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700" w:type="dxa"/>
            <w:vAlign w:val="bottom"/>
            <w:vMerge w:val="restart"/>
          </w:tcPr>
          <w:p>
            <w:pPr>
              <w:jc w:val="center"/>
              <w:ind w:left="360"/>
              <w:spacing w:after="0"/>
              <w:rPr>
                <w:sz w:val="20"/>
                <w:szCs w:val="20"/>
                <w:color w:val="auto"/>
              </w:rPr>
            </w:pPr>
            <w:r>
              <w:rPr>
                <w:rFonts w:ascii="Times New Roman" w:cs="Times New Roman" w:eastAsia="Times New Roman" w:hAnsi="Times New Roman"/>
                <w:sz w:val="32"/>
                <w:szCs w:val="32"/>
                <w:color w:val="0000FF"/>
                <w:w w:val="89"/>
                <w:vertAlign w:val="subscript"/>
              </w:rPr>
              <w:t>0</w:t>
            </w:r>
            <w:r>
              <w:rPr>
                <w:rFonts w:ascii="Times New Roman" w:cs="Times New Roman" w:eastAsia="Times New Roman" w:hAnsi="Times New Roman"/>
                <w:sz w:val="10"/>
                <w:szCs w:val="10"/>
                <w:color w:val="008000"/>
                <w:w w:val="89"/>
              </w:rPr>
              <w:t>(2)</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7"/>
              </w:rPr>
              <w:t>158,392</w:t>
            </w:r>
            <w:r>
              <w:rPr>
                <w:rFonts w:ascii="Times New Roman" w:cs="Times New Roman" w:eastAsia="Times New Roman" w:hAnsi="Times New Roman"/>
                <w:sz w:val="20"/>
                <w:szCs w:val="20"/>
                <w:color w:val="008000"/>
                <w:w w:val="97"/>
                <w:vertAlign w:val="superscript"/>
              </w:rPr>
              <w:t>(4)</w:t>
            </w:r>
          </w:p>
        </w:tc>
        <w:tc>
          <w:tcPr>
            <w:tcW w:w="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356"/>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6"/>
                <w:szCs w:val="16"/>
                <w:color w:val="0000FF"/>
                <w:w w:val="99"/>
              </w:rPr>
              <w:t>2,388</w:t>
            </w:r>
          </w:p>
        </w:tc>
        <w:tc>
          <w:tcPr>
            <w:tcW w:w="300" w:type="dxa"/>
            <w:vAlign w:val="bottom"/>
          </w:tcPr>
          <w:p>
            <w:pPr>
              <w:spacing w:after="0"/>
              <w:rPr>
                <w:sz w:val="20"/>
                <w:szCs w:val="20"/>
                <w:color w:val="auto"/>
              </w:rPr>
            </w:pPr>
          </w:p>
        </w:tc>
        <w:tc>
          <w:tcPr>
            <w:tcW w:w="620" w:type="dxa"/>
            <w:vAlign w:val="bottom"/>
            <w:vMerge w:val="restart"/>
          </w:tcPr>
          <w:p>
            <w:pPr>
              <w:jc w:val="center"/>
              <w:ind w:right="336"/>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5"/>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20" w:type="dxa"/>
            <w:vAlign w:val="bottom"/>
            <w:gridSpan w:val="13"/>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980" w:type="dxa"/>
            <w:vAlign w:val="bottom"/>
          </w:tcPr>
          <w:p>
            <w:pPr>
              <w:spacing w:after="0"/>
              <w:rPr>
                <w:sz w:val="15"/>
                <w:szCs w:val="15"/>
                <w:color w:val="auto"/>
              </w:rPr>
            </w:pPr>
          </w:p>
        </w:tc>
        <w:tc>
          <w:tcPr>
            <w:tcW w:w="760" w:type="dxa"/>
            <w:vAlign w:val="bottom"/>
            <w:gridSpan w:val="2"/>
            <w:vMerge w:val="restart"/>
          </w:tcPr>
          <w:p>
            <w:pPr>
              <w:jc w:val="right"/>
              <w:ind w:right="325"/>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1,345,000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vMerge w:val="restart"/>
          </w:tcPr>
          <w:p>
            <w:pPr>
              <w:jc w:val="right"/>
              <w:ind w:right="177"/>
              <w:spacing w:after="0" w:line="126" w:lineRule="exact"/>
              <w:rPr>
                <w:sz w:val="20"/>
                <w:szCs w:val="20"/>
                <w:color w:val="auto"/>
              </w:rPr>
            </w:pPr>
            <w:r>
              <w:rPr>
                <w:rFonts w:ascii="Times New Roman" w:cs="Times New Roman" w:eastAsia="Times New Roman" w:hAnsi="Times New Roman"/>
                <w:sz w:val="13"/>
                <w:szCs w:val="13"/>
                <w:color w:val="0000FF"/>
              </w:rPr>
              <w:t>01/12/2026</w:t>
            </w: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80" w:type="dxa"/>
            <w:vAlign w:val="bottom"/>
            <w:vMerge w:val="restart"/>
          </w:tcPr>
          <w:p>
            <w:pPr>
              <w:ind w:left="360"/>
              <w:spacing w:after="0" w:line="126" w:lineRule="exact"/>
              <w:rPr>
                <w:sz w:val="20"/>
                <w:szCs w:val="20"/>
                <w:color w:val="auto"/>
              </w:rPr>
            </w:pPr>
            <w:r>
              <w:rPr>
                <w:rFonts w:ascii="Times New Roman" w:cs="Times New Roman" w:eastAsia="Times New Roman" w:hAnsi="Times New Roman"/>
                <w:sz w:val="13"/>
                <w:szCs w:val="13"/>
                <w:color w:val="0000FF"/>
              </w:rPr>
              <w:t>1,345,000</w:t>
            </w: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80" w:type="dxa"/>
            <w:vAlign w:val="bottom"/>
            <w:gridSpan w:val="2"/>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jc w:val="right"/>
              <w:ind w:righ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2,928,046</w:t>
            </w:r>
          </w:p>
        </w:tc>
        <w:tc>
          <w:tcPr>
            <w:tcW w:w="620" w:type="dxa"/>
            <w:vAlign w:val="bottom"/>
            <w:vMerge w:val="restart"/>
          </w:tcPr>
          <w:p>
            <w:pPr>
              <w:ind w:left="38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3"/>
                <w:szCs w:val="3"/>
                <w:color w:val="auto"/>
              </w:rPr>
            </w:pPr>
          </w:p>
        </w:tc>
        <w:tc>
          <w:tcPr>
            <w:tcW w:w="7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ind w:left="480"/>
              <w:spacing w:after="0" w:line="80" w:lineRule="exact"/>
              <w:rPr>
                <w:sz w:val="20"/>
                <w:szCs w:val="20"/>
                <w:color w:val="auto"/>
              </w:rPr>
            </w:pPr>
            <w:r>
              <w:rPr>
                <w:rFonts w:ascii="Times New Roman" w:cs="Times New Roman" w:eastAsia="Times New Roman" w:hAnsi="Times New Roman"/>
                <w:sz w:val="9"/>
                <w:szCs w:val="9"/>
                <w:color w:val="008000"/>
                <w:w w:val="94"/>
              </w:rPr>
              <w:t>(3)</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right w:val="single" w:sz="8" w:color="2C2C2C"/>
            </w:tcBorders>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16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12, 2026, Emergence Capital Partners III, L.P. (Emergence) converted in the aggregate 1,345,000 shares of the Issuer's Class B Common Stock into 1,345,000 shares of the Issuer's Class A Common Stock. Subsequently, on the same date, Emergence distributed in-kind, without consideration, all 1,345,000 shares of the Issuer's Class A Common Stock pro-rata to its partners in accordance with the exemptions under Rule 16a-9(a) (Rule 16a-9(a)) and Rule 16a-13 (Rule 16a-13) of the Securities Exchange Act of 1934, as amended.</w:t>
      </w:r>
    </w:p>
    <w:p>
      <w:pPr>
        <w:spacing w:after="0" w:line="25" w:lineRule="exact"/>
        <w:rPr>
          <w:rFonts w:ascii="Times New Roman" w:cs="Times New Roman" w:eastAsia="Times New Roman" w:hAnsi="Times New Roman"/>
          <w:sz w:val="13"/>
          <w:szCs w:val="13"/>
          <w:color w:val="008000"/>
        </w:rPr>
      </w:pPr>
    </w:p>
    <w:p>
      <w:pPr>
        <w:ind w:left="40" w:right="1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pro-rata distribution in kind, without consideration, of all 1,345,000 shares of the Issuer's Class A Common Stock by Emergence to its partners in accordance with the exemptions of Rule 16a-9(a) and Rule 16a-13.</w:t>
      </w:r>
    </w:p>
    <w:p>
      <w:pPr>
        <w:spacing w:after="0" w:line="22" w:lineRule="exact"/>
        <w:rPr>
          <w:rFonts w:ascii="Times New Roman" w:cs="Times New Roman" w:eastAsia="Times New Roman" w:hAnsi="Times New Roman"/>
          <w:sz w:val="13"/>
          <w:szCs w:val="13"/>
          <w:color w:val="008000"/>
        </w:rPr>
      </w:pPr>
    </w:p>
    <w:p>
      <w:pPr>
        <w:ind w:left="40" w:right="22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Emergence. The sole general partner of Emergence is Emergence Equity Partners III, L.P.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reflects the Reporting Person's receipt of 13,173 shares of the Issuer's Class A Common Stock by Emergence to its partners in accordance with the exemptions of Rule 16a-9(a) and Rule 16a- 13.</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the Subotovsky Mann Family Trust, of which the Reporting Person is a trustee.</w:t>
      </w:r>
    </w:p>
    <w:p>
      <w:pPr>
        <w:spacing w:after="0" w:line="38" w:lineRule="exact"/>
        <w:rPr>
          <w:rFonts w:ascii="Times New Roman" w:cs="Times New Roman" w:eastAsia="Times New Roman" w:hAnsi="Times New Roman"/>
          <w:sz w:val="13"/>
          <w:szCs w:val="13"/>
          <w:color w:val="008000"/>
        </w:rPr>
      </w:pPr>
    </w:p>
    <w:p>
      <w:pPr>
        <w:ind w:left="40" w:right="280" w:hanging="2"/>
        <w:spacing w:after="0" w:line="284"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share of Class B Common Stock is convertible at the option of Emergence into one share of Class A Common Stock and has no expiration date. Each share of Class B Common Stock held by Emergence will automatically convert into one share of Class A Common Stock upon any transfer by Emergence except certain "Permitted Transfers" described in the Issuer's certificate of incorporation. All outstanding shares of Class B Common Stock will convert into shares of Class A Common Stock upon the earliest of (i) six months following the death or incapacity of Eric S.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01/14/2026</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68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806"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2026-01-14T20:21:50Z</dcterms:created>
  <dcterms:modified xsi:type="dcterms:W3CDTF">2026-01-14T20:21:50Z</dcterms:modified>
</cp:coreProperties>
</file>