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678815</wp:posOffset>
            </wp:positionV>
            <wp:extent cx="7130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703580</wp:posOffset>
            </wp:positionV>
            <wp:extent cx="7130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2"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June 15, 2023</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31"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42"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50"/>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0"/>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06" w:lineRule="exact"/>
        <w:rPr>
          <w:sz w:val="24"/>
          <w:szCs w:val="24"/>
          <w:color w:val="auto"/>
        </w:rPr>
      </w:pPr>
    </w:p>
    <w:p>
      <w:pPr>
        <w:ind w:right="440"/>
        <w:spacing w:after="0" w:line="26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8" w:lineRule="exact"/>
        <w:rPr>
          <w:sz w:val="24"/>
          <w:szCs w:val="24"/>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49" w:lineRule="exact"/>
        <w:rPr>
          <w:rFonts w:ascii="MS PGothic" w:cs="MS PGothic" w:eastAsia="MS PGothic" w:hAnsi="MS PGothic"/>
          <w:sz w:val="17"/>
          <w:szCs w:val="17"/>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 w:lineRule="exact"/>
        <w:rPr>
          <w:rFonts w:ascii="MS PGothic" w:cs="MS PGothic" w:eastAsia="MS PGothic" w:hAnsi="MS PGothic"/>
          <w:sz w:val="17"/>
          <w:szCs w:val="17"/>
          <w:color w:val="auto"/>
        </w:rPr>
      </w:pPr>
    </w:p>
    <w:p>
      <w:pPr>
        <w:ind w:left="640" w:hanging="62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Name of each exchange on which registered</w:t>
            </w:r>
          </w:p>
        </w:tc>
      </w:tr>
      <w:tr>
        <w:trPr>
          <w:trHeight w:val="199"/>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ZM</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The Nasdaq Global Select Market</w:t>
            </w:r>
          </w:p>
        </w:tc>
      </w:tr>
    </w:tbl>
    <w:p>
      <w:pPr>
        <w:spacing w:after="0" w:line="181" w:lineRule="exact"/>
        <w:rPr>
          <w:sz w:val="24"/>
          <w:szCs w:val="24"/>
          <w:color w:val="auto"/>
        </w:rPr>
      </w:pPr>
    </w:p>
    <w:p>
      <w:pPr>
        <w:ind w:right="200"/>
        <w:spacing w:after="0" w:line="28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9" w:lineRule="exact"/>
        <w:rPr>
          <w:sz w:val="24"/>
          <w:szCs w:val="24"/>
          <w:color w:val="auto"/>
        </w:rPr>
      </w:pPr>
    </w:p>
    <w:p>
      <w:pPr>
        <w:ind w:right="46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0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30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24" w:lineRule="exact"/>
        <w:rPr>
          <w:sz w:val="20"/>
          <w:szCs w:val="20"/>
          <w:color w:val="auto"/>
        </w:rPr>
      </w:pPr>
    </w:p>
    <w:p>
      <w:pPr>
        <w:ind w:firstLine="620"/>
        <w:spacing w:after="0" w:line="262" w:lineRule="auto"/>
        <w:rPr>
          <w:sz w:val="20"/>
          <w:szCs w:val="20"/>
          <w:color w:val="auto"/>
        </w:rPr>
      </w:pPr>
      <w:r>
        <w:rPr>
          <w:rFonts w:ascii="Arial" w:cs="Arial" w:eastAsia="Arial" w:hAnsi="Arial"/>
          <w:sz w:val="17"/>
          <w:szCs w:val="17"/>
          <w:color w:val="auto"/>
        </w:rPr>
        <w:t>On June 15, 2023, Zoom Video Communications, Inc. (the “Company”) held its 2023 Annual Meeting of Stockholders (the "Annual Meeting"). At the Annual Meeting, the Company’s stockholders (1) elected each of the Company’s nominees for Class I director, (2) ratified the appointment of KPMG LLP as the Company’s independent registered public accounting firm for the fiscal year ending January 31, 2024, and (3) approved, on an advisory basis, the compensation of the Company's named executive officers. The final results with respect to each proposal are set forth below.</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Proposal One – Election of Directors</w:t>
      </w:r>
    </w:p>
    <w:p>
      <w:pPr>
        <w:spacing w:after="0" w:line="243"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The stockholders elected each of the three persons named below as Class I directors to serve until the 2026 annual meeting of stockholders or until their successors are duly elected and qualified. The results of such vote were:</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gridSpan w:val="2"/>
          </w:tcPr>
          <w:p>
            <w:pPr>
              <w:jc w:val="center"/>
              <w:ind w:right="760"/>
              <w:spacing w:after="0"/>
              <w:rPr>
                <w:sz w:val="20"/>
                <w:szCs w:val="20"/>
                <w:color w:val="auto"/>
              </w:rPr>
            </w:pPr>
            <w:r>
              <w:rPr>
                <w:rFonts w:ascii="Arial" w:cs="Arial" w:eastAsia="Arial" w:hAnsi="Arial"/>
                <w:sz w:val="17"/>
                <w:szCs w:val="17"/>
                <w:b w:val="1"/>
                <w:bCs w:val="1"/>
                <w:color w:val="auto"/>
              </w:rPr>
              <w:t>FOR</w:t>
            </w:r>
          </w:p>
        </w:tc>
        <w:tc>
          <w:tcPr>
            <w:tcW w:w="120" w:type="dxa"/>
            <w:vAlign w:val="bottom"/>
          </w:tcPr>
          <w:p>
            <w:pPr>
              <w:spacing w:after="0"/>
              <w:rPr>
                <w:sz w:val="16"/>
                <w:szCs w:val="16"/>
                <w:color w:val="auto"/>
              </w:rPr>
            </w:pPr>
          </w:p>
        </w:tc>
        <w:tc>
          <w:tcPr>
            <w:tcW w:w="1880" w:type="dxa"/>
            <w:vAlign w:val="bottom"/>
            <w:gridSpan w:val="3"/>
          </w:tcPr>
          <w:p>
            <w:pPr>
              <w:ind w:left="460"/>
              <w:spacing w:after="0"/>
              <w:rPr>
                <w:sz w:val="20"/>
                <w:szCs w:val="20"/>
                <w:color w:val="auto"/>
              </w:rPr>
            </w:pPr>
            <w:r>
              <w:rPr>
                <w:rFonts w:ascii="Arial" w:cs="Arial" w:eastAsia="Arial" w:hAnsi="Arial"/>
                <w:sz w:val="17"/>
                <w:szCs w:val="17"/>
                <w:b w:val="1"/>
                <w:bCs w:val="1"/>
                <w:color w:val="auto"/>
              </w:rPr>
              <w:t>WITHHELD</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BROKER NON-VOTE</w:t>
            </w:r>
          </w:p>
        </w:tc>
      </w:tr>
      <w:tr>
        <w:trPr>
          <w:trHeight w:val="20"/>
        </w:trPr>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2040" w:type="dxa"/>
            <w:vAlign w:val="bottom"/>
          </w:tcPr>
          <w:p>
            <w:pPr>
              <w:spacing w:after="0"/>
              <w:rPr>
                <w:sz w:val="20"/>
                <w:szCs w:val="20"/>
                <w:color w:val="auto"/>
              </w:rPr>
            </w:pPr>
            <w:r>
              <w:rPr>
                <w:rFonts w:ascii="Arial" w:cs="Arial" w:eastAsia="Arial" w:hAnsi="Arial"/>
                <w:sz w:val="17"/>
                <w:szCs w:val="17"/>
                <w:color w:val="auto"/>
              </w:rPr>
              <w:t>Eric S. Yuan</w:t>
            </w: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556,286,589</w:t>
            </w:r>
          </w:p>
        </w:tc>
        <w:tc>
          <w:tcPr>
            <w:tcW w:w="120" w:type="dxa"/>
            <w:vAlign w:val="bottom"/>
          </w:tcPr>
          <w:p>
            <w:pPr>
              <w:spacing w:after="0"/>
              <w:rPr>
                <w:sz w:val="24"/>
                <w:szCs w:val="24"/>
                <w:color w:val="auto"/>
              </w:rPr>
            </w:pPr>
          </w:p>
        </w:tc>
        <w:tc>
          <w:tcPr>
            <w:tcW w:w="1440" w:type="dxa"/>
            <w:vAlign w:val="bottom"/>
            <w:tcBorders>
              <w:bottom w:val="single" w:sz="8" w:color="auto"/>
            </w:tcBorders>
            <w:gridSpan w:val="2"/>
          </w:tcPr>
          <w:p>
            <w:pPr>
              <w:jc w:val="center"/>
              <w:ind w:left="354"/>
              <w:spacing w:after="0"/>
              <w:rPr>
                <w:sz w:val="20"/>
                <w:szCs w:val="20"/>
                <w:color w:val="auto"/>
              </w:rPr>
            </w:pPr>
            <w:r>
              <w:rPr>
                <w:rFonts w:ascii="Arial" w:cs="Arial" w:eastAsia="Arial" w:hAnsi="Arial"/>
                <w:sz w:val="17"/>
                <w:szCs w:val="17"/>
                <w:color w:val="auto"/>
                <w:w w:val="89"/>
              </w:rPr>
              <w:t>11,438,837</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1"/>
              </w:rPr>
              <w:t>57,493,231</w:t>
            </w:r>
          </w:p>
        </w:tc>
        <w:tc>
          <w:tcPr>
            <w:tcW w:w="80" w:type="dxa"/>
            <w:vAlign w:val="bottom"/>
            <w:tcBorders>
              <w:bottom w:val="single" w:sz="8" w:color="auto"/>
            </w:tcBorders>
          </w:tcPr>
          <w:p>
            <w:pPr>
              <w:spacing w:after="0"/>
              <w:rPr>
                <w:sz w:val="24"/>
                <w:szCs w:val="24"/>
                <w:color w:val="auto"/>
              </w:rPr>
            </w:pPr>
          </w:p>
        </w:tc>
      </w:tr>
      <w:tr>
        <w:trPr>
          <w:trHeight w:val="238"/>
        </w:trPr>
        <w:tc>
          <w:tcPr>
            <w:tcW w:w="2040" w:type="dxa"/>
            <w:vAlign w:val="bottom"/>
          </w:tcPr>
          <w:p>
            <w:pPr>
              <w:spacing w:after="0"/>
              <w:rPr>
                <w:sz w:val="20"/>
                <w:szCs w:val="20"/>
                <w:color w:val="auto"/>
              </w:rPr>
            </w:pPr>
            <w:r>
              <w:rPr>
                <w:rFonts w:ascii="Arial" w:cs="Arial" w:eastAsia="Arial" w:hAnsi="Arial"/>
                <w:sz w:val="17"/>
                <w:szCs w:val="17"/>
                <w:color w:val="auto"/>
              </w:rPr>
              <w:t>Peter Gassner</w:t>
            </w: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558,975,087</w:t>
            </w:r>
          </w:p>
        </w:tc>
        <w:tc>
          <w:tcPr>
            <w:tcW w:w="12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left="354"/>
              <w:spacing w:after="0"/>
              <w:rPr>
                <w:sz w:val="20"/>
                <w:szCs w:val="20"/>
                <w:color w:val="auto"/>
              </w:rPr>
            </w:pPr>
            <w:r>
              <w:rPr>
                <w:rFonts w:ascii="Arial" w:cs="Arial" w:eastAsia="Arial" w:hAnsi="Arial"/>
                <w:sz w:val="17"/>
                <w:szCs w:val="17"/>
                <w:color w:val="auto"/>
                <w:w w:val="89"/>
              </w:rPr>
              <w:t>8,750,339</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1"/>
              </w:rPr>
              <w:t>57,493,231</w:t>
            </w:r>
          </w:p>
        </w:tc>
        <w:tc>
          <w:tcPr>
            <w:tcW w:w="80" w:type="dxa"/>
            <w:vAlign w:val="bottom"/>
            <w:tcBorders>
              <w:bottom w:val="single" w:sz="8" w:color="auto"/>
            </w:tcBorders>
          </w:tcPr>
          <w:p>
            <w:pPr>
              <w:spacing w:after="0"/>
              <w:rPr>
                <w:sz w:val="20"/>
                <w:szCs w:val="20"/>
                <w:color w:val="auto"/>
              </w:rPr>
            </w:pPr>
          </w:p>
        </w:tc>
      </w:tr>
      <w:tr>
        <w:trPr>
          <w:trHeight w:val="238"/>
        </w:trPr>
        <w:tc>
          <w:tcPr>
            <w:tcW w:w="2040" w:type="dxa"/>
            <w:vAlign w:val="bottom"/>
          </w:tcPr>
          <w:p>
            <w:pPr>
              <w:spacing w:after="0"/>
              <w:rPr>
                <w:sz w:val="20"/>
                <w:szCs w:val="20"/>
                <w:color w:val="auto"/>
              </w:rPr>
            </w:pPr>
            <w:r>
              <w:rPr>
                <w:rFonts w:ascii="Arial" w:cs="Arial" w:eastAsia="Arial" w:hAnsi="Arial"/>
                <w:sz w:val="17"/>
                <w:szCs w:val="17"/>
                <w:color w:val="auto"/>
              </w:rPr>
              <w:t>Lieut. Gen. H.R. McMaster</w:t>
            </w: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509,427,748</w:t>
            </w:r>
          </w:p>
        </w:tc>
        <w:tc>
          <w:tcPr>
            <w:tcW w:w="12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left="354"/>
              <w:spacing w:after="0"/>
              <w:rPr>
                <w:sz w:val="20"/>
                <w:szCs w:val="20"/>
                <w:color w:val="auto"/>
              </w:rPr>
            </w:pPr>
            <w:r>
              <w:rPr>
                <w:rFonts w:ascii="Arial" w:cs="Arial" w:eastAsia="Arial" w:hAnsi="Arial"/>
                <w:sz w:val="17"/>
                <w:szCs w:val="17"/>
                <w:color w:val="auto"/>
                <w:w w:val="89"/>
              </w:rPr>
              <w:t>58,297,678</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1"/>
              </w:rPr>
              <w:t>57,493,231</w:t>
            </w:r>
          </w:p>
        </w:tc>
        <w:tc>
          <w:tcPr>
            <w:tcW w:w="80" w:type="dxa"/>
            <w:vAlign w:val="bottom"/>
            <w:tcBorders>
              <w:bottom w:val="single" w:sz="8" w:color="auto"/>
            </w:tcBorders>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Proposal Two – Ratification of Selection of Independent Public Registered Accounting Firm</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stockholders ratified the appointment of KPMG LLP as the Company's independent registered public accounting firm for the fiscal year ending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January 31, 2024. The results of such vote were:</w:t>
      </w:r>
    </w:p>
    <w:p>
      <w:pPr>
        <w:spacing w:after="0" w:line="256" w:lineRule="exact"/>
        <w:rPr>
          <w:sz w:val="20"/>
          <w:szCs w:val="20"/>
          <w:color w:val="auto"/>
        </w:rPr>
      </w:pPr>
    </w:p>
    <w:tbl>
      <w:tblPr>
        <w:tblLayout w:type="fixed"/>
        <w:tblInd w:w="288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FOR</w:t>
            </w:r>
          </w:p>
        </w:tc>
        <w:tc>
          <w:tcPr>
            <w:tcW w:w="17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AGAINST</w:t>
            </w:r>
          </w:p>
        </w:tc>
        <w:tc>
          <w:tcPr>
            <w:tcW w:w="18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ABSTAIN</w:t>
            </w:r>
          </w:p>
        </w:tc>
      </w:tr>
      <w:tr>
        <w:trPr>
          <w:trHeight w:val="237"/>
        </w:trPr>
        <w:tc>
          <w:tcPr>
            <w:tcW w:w="2400" w:type="dxa"/>
            <w:vAlign w:val="bottom"/>
            <w:gridSpan w:val="3"/>
          </w:tcPr>
          <w:p>
            <w:pPr>
              <w:jc w:val="right"/>
              <w:ind w:right="1540"/>
              <w:spacing w:after="0"/>
              <w:rPr>
                <w:sz w:val="20"/>
                <w:szCs w:val="20"/>
                <w:color w:val="auto"/>
              </w:rPr>
            </w:pPr>
            <w:r>
              <w:rPr>
                <w:rFonts w:ascii="Arial" w:cs="Arial" w:eastAsia="Arial" w:hAnsi="Arial"/>
                <w:sz w:val="17"/>
                <w:szCs w:val="17"/>
                <w:color w:val="auto"/>
                <w:w w:val="88"/>
              </w:rPr>
              <w:t>624,238,580</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525,214</w:t>
            </w:r>
          </w:p>
        </w:tc>
        <w:tc>
          <w:tcPr>
            <w:tcW w:w="2560" w:type="dxa"/>
            <w:vAlign w:val="bottom"/>
            <w:gridSpan w:val="2"/>
          </w:tcPr>
          <w:p>
            <w:pPr>
              <w:jc w:val="right"/>
              <w:ind w:right="14"/>
              <w:spacing w:after="0"/>
              <w:rPr>
                <w:sz w:val="20"/>
                <w:szCs w:val="20"/>
                <w:color w:val="auto"/>
              </w:rPr>
            </w:pPr>
            <w:r>
              <w:rPr>
                <w:rFonts w:ascii="Arial" w:cs="Arial" w:eastAsia="Arial" w:hAnsi="Arial"/>
                <w:sz w:val="17"/>
                <w:szCs w:val="17"/>
                <w:color w:val="auto"/>
              </w:rPr>
              <w:t>454,863</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Proposal Three – Advisory Vote on Executive Compensation</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stockholders advised that they were in favor of the compensation of the Company's named executive officers. The results of such vote were:</w:t>
      </w:r>
    </w:p>
    <w:p>
      <w:pPr>
        <w:spacing w:after="0" w:line="280" w:lineRule="exact"/>
        <w:rPr>
          <w:sz w:val="20"/>
          <w:szCs w:val="20"/>
          <w:color w:val="auto"/>
        </w:rPr>
      </w:pPr>
    </w:p>
    <w:tbl>
      <w:tblPr>
        <w:tblLayout w:type="fixed"/>
        <w:tblInd w:w="256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7"/>
                <w:szCs w:val="17"/>
                <w:b w:val="1"/>
                <w:bCs w:val="1"/>
                <w:color w:val="auto"/>
              </w:rPr>
              <w:t>FOR</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gridSpan w:val="2"/>
          </w:tcPr>
          <w:p>
            <w:pPr>
              <w:jc w:val="center"/>
              <w:ind w:right="1140"/>
              <w:spacing w:after="0"/>
              <w:rPr>
                <w:sz w:val="20"/>
                <w:szCs w:val="20"/>
                <w:color w:val="auto"/>
              </w:rPr>
            </w:pPr>
            <w:r>
              <w:rPr>
                <w:rFonts w:ascii="Arial" w:cs="Arial" w:eastAsia="Arial" w:hAnsi="Arial"/>
                <w:sz w:val="17"/>
                <w:szCs w:val="17"/>
                <w:b w:val="1"/>
                <w:bCs w:val="1"/>
                <w:color w:val="auto"/>
              </w:rPr>
              <w:t>AGAINST</w:t>
            </w:r>
          </w:p>
        </w:tc>
        <w:tc>
          <w:tcPr>
            <w:tcW w:w="11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7"/>
              </w:rPr>
              <w:t>ABSTAIN</w:t>
            </w:r>
          </w:p>
        </w:tc>
        <w:tc>
          <w:tcPr>
            <w:tcW w:w="2100" w:type="dxa"/>
            <w:vAlign w:val="bottom"/>
            <w:gridSpan w:val="2"/>
          </w:tcPr>
          <w:p>
            <w:pPr>
              <w:jc w:val="center"/>
              <w:ind w:left="294"/>
              <w:spacing w:after="0"/>
              <w:rPr>
                <w:sz w:val="20"/>
                <w:szCs w:val="20"/>
                <w:color w:val="auto"/>
              </w:rPr>
            </w:pPr>
            <w:r>
              <w:rPr>
                <w:rFonts w:ascii="Arial" w:cs="Arial" w:eastAsia="Arial" w:hAnsi="Arial"/>
                <w:sz w:val="17"/>
                <w:szCs w:val="17"/>
                <w:b w:val="1"/>
                <w:bCs w:val="1"/>
                <w:color w:val="auto"/>
              </w:rPr>
              <w:t>BROKER NON-VOTE</w:t>
            </w: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249"/>
        </w:trPr>
        <w:tc>
          <w:tcPr>
            <w:tcW w:w="1380" w:type="dxa"/>
            <w:vAlign w:val="bottom"/>
            <w:gridSpan w:val="3"/>
          </w:tcPr>
          <w:p>
            <w:pPr>
              <w:jc w:val="right"/>
              <w:ind w:right="520"/>
              <w:spacing w:after="0"/>
              <w:rPr>
                <w:sz w:val="20"/>
                <w:szCs w:val="20"/>
                <w:color w:val="auto"/>
              </w:rPr>
            </w:pPr>
            <w:r>
              <w:rPr>
                <w:rFonts w:ascii="Arial" w:cs="Arial" w:eastAsia="Arial" w:hAnsi="Arial"/>
                <w:sz w:val="17"/>
                <w:szCs w:val="17"/>
                <w:color w:val="auto"/>
                <w:w w:val="88"/>
              </w:rPr>
              <w:t>360,568,205</w:t>
            </w:r>
          </w:p>
        </w:tc>
        <w:tc>
          <w:tcPr>
            <w:tcW w:w="2460" w:type="dxa"/>
            <w:vAlign w:val="bottom"/>
            <w:gridSpan w:val="3"/>
          </w:tcPr>
          <w:p>
            <w:pPr>
              <w:jc w:val="right"/>
              <w:ind w:right="1100"/>
              <w:spacing w:after="0"/>
              <w:rPr>
                <w:sz w:val="20"/>
                <w:szCs w:val="20"/>
                <w:color w:val="auto"/>
              </w:rPr>
            </w:pPr>
            <w:r>
              <w:rPr>
                <w:rFonts w:ascii="Arial" w:cs="Arial" w:eastAsia="Arial" w:hAnsi="Arial"/>
                <w:sz w:val="17"/>
                <w:szCs w:val="17"/>
                <w:color w:val="auto"/>
              </w:rPr>
              <w:t>206,835,888</w:t>
            </w:r>
          </w:p>
        </w:tc>
        <w:tc>
          <w:tcPr>
            <w:tcW w:w="740" w:type="dxa"/>
            <w:vAlign w:val="bottom"/>
          </w:tcPr>
          <w:p>
            <w:pPr>
              <w:jc w:val="right"/>
              <w:spacing w:after="0"/>
              <w:rPr>
                <w:sz w:val="20"/>
                <w:szCs w:val="20"/>
                <w:color w:val="auto"/>
              </w:rPr>
            </w:pPr>
            <w:r>
              <w:rPr>
                <w:rFonts w:ascii="Arial" w:cs="Arial" w:eastAsia="Arial" w:hAnsi="Arial"/>
                <w:sz w:val="17"/>
                <w:szCs w:val="17"/>
                <w:color w:val="auto"/>
              </w:rPr>
              <w:t>321,333</w:t>
            </w:r>
          </w:p>
        </w:tc>
        <w:tc>
          <w:tcPr>
            <w:tcW w:w="380" w:type="dxa"/>
            <w:vAlign w:val="bottom"/>
          </w:tcPr>
          <w:p>
            <w:pPr>
              <w:spacing w:after="0"/>
              <w:rPr>
                <w:sz w:val="21"/>
                <w:szCs w:val="21"/>
                <w:color w:val="auto"/>
              </w:rPr>
            </w:pPr>
          </w:p>
        </w:tc>
        <w:tc>
          <w:tcPr>
            <w:tcW w:w="2100" w:type="dxa"/>
            <w:vAlign w:val="bottom"/>
            <w:gridSpan w:val="2"/>
          </w:tcPr>
          <w:p>
            <w:pPr>
              <w:jc w:val="right"/>
              <w:ind w:right="460"/>
              <w:spacing w:after="0"/>
              <w:rPr>
                <w:sz w:val="20"/>
                <w:szCs w:val="20"/>
                <w:color w:val="auto"/>
              </w:rPr>
            </w:pPr>
            <w:r>
              <w:rPr>
                <w:rFonts w:ascii="Arial" w:cs="Arial" w:eastAsia="Arial" w:hAnsi="Arial"/>
                <w:sz w:val="17"/>
                <w:szCs w:val="17"/>
                <w:color w:val="auto"/>
              </w:rPr>
              <w:t>57,493,231</w:t>
            </w:r>
          </w:p>
        </w:tc>
      </w:tr>
    </w:tbl>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8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6"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Zoom Video Communications, Inc.</w:t>
      </w:r>
    </w:p>
    <w:p>
      <w:pPr>
        <w:spacing w:after="0" w:line="275" w:lineRule="exact"/>
        <w:rPr>
          <w:sz w:val="20"/>
          <w:szCs w:val="20"/>
          <w:color w:val="auto"/>
        </w:rPr>
      </w:pPr>
    </w:p>
    <w:p>
      <w:pPr>
        <w:ind w:left="640"/>
        <w:spacing w:after="0"/>
        <w:tabs>
          <w:tab w:leader="none" w:pos="5860" w:val="left"/>
          <w:tab w:leader="none" w:pos="6600" w:val="left"/>
        </w:tabs>
        <w:rPr>
          <w:sz w:val="20"/>
          <w:szCs w:val="20"/>
          <w:color w:val="auto"/>
        </w:rPr>
      </w:pPr>
      <w:r>
        <w:rPr>
          <w:rFonts w:ascii="Arial" w:cs="Arial" w:eastAsia="Arial" w:hAnsi="Arial"/>
          <w:sz w:val="17"/>
          <w:szCs w:val="17"/>
          <w:color w:val="auto"/>
        </w:rPr>
        <w:t>Dated: June 21,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22860</wp:posOffset>
            </wp:positionV>
            <wp:extent cx="301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Aparna Bawa</w:t>
      </w:r>
    </w:p>
    <w:p>
      <w:pPr>
        <w:spacing w:after="0" w:line="24" w:lineRule="exact"/>
        <w:rPr>
          <w:sz w:val="20"/>
          <w:szCs w:val="20"/>
          <w:color w:val="auto"/>
        </w:rPr>
      </w:pPr>
    </w:p>
    <w:p>
      <w:pPr>
        <w:ind w:left="6620"/>
        <w:spacing w:after="0"/>
        <w:rPr>
          <w:sz w:val="20"/>
          <w:szCs w:val="20"/>
          <w:color w:val="auto"/>
        </w:rPr>
      </w:pPr>
      <w:r>
        <w:rPr>
          <w:rFonts w:ascii="Arial" w:cs="Arial" w:eastAsia="Arial" w:hAnsi="Arial"/>
          <w:sz w:val="17"/>
          <w:szCs w:val="17"/>
          <w:i w:val="1"/>
          <w:iCs w:val="1"/>
          <w:color w:val="auto"/>
        </w:rPr>
        <w:t>Chief Operating Officer</w:t>
      </w:r>
    </w:p>
    <w:sectPr>
      <w:pgSz w:w="11900" w:h="16838" w:orient="portrait"/>
      <w:cols w:equalWidth="0" w:num="1">
        <w:col w:w="11220"/>
      </w:cols>
      <w:pgMar w:left="320" w:top="106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2023-06-21T16:39:56Z</dcterms:created>
  <dcterms:modified xsi:type="dcterms:W3CDTF">2023-06-21T16:39:56Z</dcterms:modified>
</cp:coreProperties>
</file>