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Scheinman Daniel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20"/>
        <w:spacing w:after="0" w:line="384"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00" w:type="dxa"/>
            <w:vAlign w:val="bottom"/>
            <w:tcBorders>
              <w:top w:val="single" w:sz="8" w:color="0000EE"/>
            </w:tcBorders>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11/30/2022</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5"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1,880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11/30/2022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1,880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1,880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reporting person received an award of restricted stock units all of which will vest in full on June 14, 2023, the day immediately preceding the Company's annual meeting of stockholders.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12/02/2022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56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2022-12-02T16:46:39Z</dcterms:created>
  <dcterms:modified xsi:type="dcterms:W3CDTF">2022-12-02T16:46:39Z</dcterms:modified>
</cp:coreProperties>
</file>