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June 18,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100" w:type="dxa"/>
        <w:tblCellMar>
          <w:top w:w="0" w:type="dxa"/>
          <w:left w:w="0" w:type="dxa"/>
          <w:bottom w:w="0" w:type="dxa"/>
          <w:right w:w="0" w:type="dxa"/>
        </w:tblCellMar>
      </w:tblPr>
      <w:tr>
        <w:trPr>
          <w:trHeight w:val="256"/>
        </w:trPr>
        <w:tc>
          <w:tcPr>
            <w:tcW w:w="3620" w:type="dxa"/>
            <w:vAlign w:val="bottom"/>
          </w:tcPr>
          <w:p>
            <w:pPr>
              <w:jc w:val="center"/>
              <w:ind w:right="372"/>
              <w:spacing w:after="0"/>
              <w:rPr>
                <w:sz w:val="20"/>
                <w:szCs w:val="20"/>
                <w:color w:val="auto"/>
              </w:rPr>
            </w:pPr>
            <w:r>
              <w:rPr>
                <w:rFonts w:ascii="Arial" w:cs="Arial" w:eastAsia="Arial" w:hAnsi="Arial"/>
                <w:sz w:val="20"/>
                <w:szCs w:val="20"/>
                <w:b w:val="1"/>
                <w:bCs w:val="1"/>
                <w:color w:val="auto"/>
                <w:w w:val="91"/>
              </w:rPr>
              <w:t>Delaware</w:t>
            </w:r>
          </w:p>
        </w:tc>
        <w:tc>
          <w:tcPr>
            <w:tcW w:w="2880" w:type="dxa"/>
            <w:vAlign w:val="bottom"/>
          </w:tcPr>
          <w:p>
            <w:pPr>
              <w:jc w:val="right"/>
              <w:ind w:right="1055"/>
              <w:spacing w:after="0"/>
              <w:rPr>
                <w:sz w:val="20"/>
                <w:szCs w:val="20"/>
                <w:color w:val="auto"/>
              </w:rPr>
            </w:pPr>
            <w:r>
              <w:rPr>
                <w:rFonts w:ascii="Arial" w:cs="Arial" w:eastAsia="Arial" w:hAnsi="Arial"/>
                <w:sz w:val="20"/>
                <w:szCs w:val="20"/>
                <w:b w:val="1"/>
                <w:bCs w:val="1"/>
                <w:color w:val="auto"/>
              </w:rPr>
              <w:t>001-38865</w:t>
            </w:r>
          </w:p>
        </w:tc>
        <w:tc>
          <w:tcPr>
            <w:tcW w:w="2800" w:type="dxa"/>
            <w:vAlign w:val="bottom"/>
          </w:tcPr>
          <w:p>
            <w:pPr>
              <w:jc w:val="right"/>
              <w:ind w:right="475"/>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294"/>
        </w:trPr>
        <w:tc>
          <w:tcPr>
            <w:tcW w:w="3620" w:type="dxa"/>
            <w:vAlign w:val="bottom"/>
          </w:tcPr>
          <w:p>
            <w:pPr>
              <w:jc w:val="center"/>
              <w:ind w:right="372"/>
              <w:spacing w:after="0"/>
              <w:rPr>
                <w:sz w:val="20"/>
                <w:szCs w:val="20"/>
                <w:color w:val="auto"/>
              </w:rPr>
            </w:pPr>
            <w:r>
              <w:rPr>
                <w:rFonts w:ascii="Arial" w:cs="Arial" w:eastAsia="Arial" w:hAnsi="Arial"/>
                <w:sz w:val="14"/>
                <w:szCs w:val="14"/>
                <w:b w:val="1"/>
                <w:bCs w:val="1"/>
                <w:color w:val="auto"/>
                <w:w w:val="94"/>
              </w:rPr>
              <w:t>(State or Other Jurisdictionof Incorporation)</w:t>
            </w:r>
          </w:p>
        </w:tc>
        <w:tc>
          <w:tcPr>
            <w:tcW w:w="288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(Commission File Number)</w:t>
            </w:r>
          </w:p>
        </w:tc>
        <w:tc>
          <w:tcPr>
            <w:tcW w:w="2800" w:type="dxa"/>
            <w:vAlign w:val="bottom"/>
          </w:tcPr>
          <w:p>
            <w:pPr>
              <w:jc w:val="center"/>
              <w:ind w:left="655"/>
              <w:spacing w:after="0"/>
              <w:rPr>
                <w:sz w:val="20"/>
                <w:szCs w:val="20"/>
                <w:color w:val="auto"/>
              </w:rPr>
            </w:pPr>
            <w:r>
              <w:rPr>
                <w:rFonts w:ascii="Arial" w:cs="Arial" w:eastAsia="Arial" w:hAnsi="Arial"/>
                <w:sz w:val="14"/>
                <w:szCs w:val="14"/>
                <w:b w:val="1"/>
                <w:bCs w:val="1"/>
                <w:color w:val="auto"/>
                <w:w w:val="96"/>
              </w:rPr>
              <w:t>(IRS EmployerIdentification No.)</w:t>
            </w:r>
          </w:p>
        </w:tc>
        <w:tc>
          <w:tcPr>
            <w:tcW w:w="0" w:type="dxa"/>
            <w:vAlign w:val="bottom"/>
          </w:tcPr>
          <w:p>
            <w:pPr>
              <w:spacing w:after="0"/>
              <w:rPr>
                <w:sz w:val="1"/>
                <w:szCs w:val="1"/>
                <w:color w:val="auto"/>
              </w:rPr>
            </w:pPr>
          </w:p>
        </w:tc>
      </w:tr>
      <w:tr>
        <w:trPr>
          <w:trHeight w:val="430"/>
        </w:trPr>
        <w:tc>
          <w:tcPr>
            <w:tcW w:w="3620" w:type="dxa"/>
            <w:vAlign w:val="bottom"/>
          </w:tcPr>
          <w:p>
            <w:pPr>
              <w:jc w:val="center"/>
              <w:ind w:right="372"/>
              <w:spacing w:after="0"/>
              <w:rPr>
                <w:sz w:val="20"/>
                <w:szCs w:val="20"/>
                <w:color w:val="auto"/>
              </w:rPr>
            </w:pPr>
            <w:r>
              <w:rPr>
                <w:rFonts w:ascii="Arial" w:cs="Arial" w:eastAsia="Arial" w:hAnsi="Arial"/>
                <w:sz w:val="20"/>
                <w:szCs w:val="20"/>
                <w:b w:val="1"/>
                <w:bCs w:val="1"/>
                <w:color w:val="auto"/>
                <w:w w:val="90"/>
              </w:rPr>
              <w:t>55 Almaden Boulevard, 6th FloorSan</w:t>
            </w:r>
          </w:p>
        </w:tc>
        <w:tc>
          <w:tcPr>
            <w:tcW w:w="2880" w:type="dxa"/>
            <w:vAlign w:val="bottom"/>
          </w:tcPr>
          <w:p>
            <w:pPr>
              <w:spacing w:after="0"/>
              <w:rPr>
                <w:sz w:val="24"/>
                <w:szCs w:val="24"/>
                <w:color w:val="auto"/>
              </w:rPr>
            </w:pPr>
          </w:p>
        </w:tc>
        <w:tc>
          <w:tcPr>
            <w:tcW w:w="2800" w:type="dxa"/>
            <w:vAlign w:val="bottom"/>
            <w:vMerge w:val="restart"/>
          </w:tcPr>
          <w:p>
            <w:pPr>
              <w:jc w:val="right"/>
              <w:ind w:right="695"/>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56"/>
        </w:trPr>
        <w:tc>
          <w:tcPr>
            <w:tcW w:w="3620" w:type="dxa"/>
            <w:vAlign w:val="bottom"/>
          </w:tcPr>
          <w:p>
            <w:pPr>
              <w:jc w:val="center"/>
              <w:ind w:right="372"/>
              <w:spacing w:after="0"/>
              <w:rPr>
                <w:sz w:val="20"/>
                <w:szCs w:val="20"/>
                <w:color w:val="auto"/>
              </w:rPr>
            </w:pPr>
            <w:r>
              <w:rPr>
                <w:rFonts w:ascii="Arial" w:cs="Arial" w:eastAsia="Arial" w:hAnsi="Arial"/>
                <w:sz w:val="20"/>
                <w:szCs w:val="20"/>
                <w:b w:val="1"/>
                <w:bCs w:val="1"/>
                <w:color w:val="auto"/>
                <w:w w:val="88"/>
              </w:rPr>
              <w:t>Jose, California</w:t>
            </w:r>
          </w:p>
        </w:tc>
        <w:tc>
          <w:tcPr>
            <w:tcW w:w="2880" w:type="dxa"/>
            <w:vAlign w:val="bottom"/>
          </w:tcPr>
          <w:p>
            <w:pPr>
              <w:spacing w:after="0"/>
              <w:rPr>
                <w:sz w:val="22"/>
                <w:szCs w:val="22"/>
                <w:color w:val="auto"/>
              </w:rPr>
            </w:pPr>
          </w:p>
        </w:tc>
        <w:tc>
          <w:tcPr>
            <w:tcW w:w="2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20" w:type="dxa"/>
            <w:vAlign w:val="bottom"/>
          </w:tcPr>
          <w:p>
            <w:pPr>
              <w:jc w:val="center"/>
              <w:ind w:right="35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80" w:type="dxa"/>
            <w:vAlign w:val="bottom"/>
          </w:tcPr>
          <w:p>
            <w:pPr>
              <w:spacing w:after="0"/>
              <w:rPr>
                <w:sz w:val="17"/>
                <w:szCs w:val="17"/>
                <w:color w:val="auto"/>
              </w:rPr>
            </w:pPr>
          </w:p>
        </w:tc>
        <w:tc>
          <w:tcPr>
            <w:tcW w:w="2800" w:type="dxa"/>
            <w:vAlign w:val="bottom"/>
          </w:tcPr>
          <w:p>
            <w:pPr>
              <w:jc w:val="center"/>
              <w:ind w:left="65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(888) 799-9666</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5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17"/>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Class A Common Stock, $0.001 par value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r>
        <w:trPr>
          <w:trHeight w:val="3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June 18, 2020, Zoom Video Communications, Inc. (the “Company”) held its 2020 Annual Meeting of Stockholders (the "Annual Meeting"). At the Annual Meeting, the Company’s stockholders (1) elected each of the Company’s nominees for Class I director and (2) ratified the appointment of KPMG LLP as the Company’s independent registered public accounting firm for the fiscal year ending January 31, 2021. The final results with respect to each proposal are set forth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One – Election of Directors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stockholders elected each of the three persons named below as Class I directors to serve until the 2023 annual meeting of stockholders or until their successors are duly elected and qualified. The results of such vote were:</w:t>
      </w:r>
    </w:p>
    <w:tbl>
      <w:tblPr>
        <w:tblLayout w:type="fixed"/>
        <w:tblInd w:w="20" w:type="dxa"/>
        <w:tblCellMar>
          <w:top w:w="0" w:type="dxa"/>
          <w:left w:w="0" w:type="dxa"/>
          <w:bottom w:w="0" w:type="dxa"/>
          <w:right w:w="0" w:type="dxa"/>
        </w:tblCellMar>
      </w:tblPr>
      <w:tr>
        <w:trPr>
          <w:trHeight w:val="198"/>
        </w:trPr>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FOR</w:t>
            </w:r>
          </w:p>
        </w:tc>
        <w:tc>
          <w:tcPr>
            <w:tcW w:w="1100" w:type="dxa"/>
            <w:vAlign w:val="bottom"/>
            <w:gridSpan w:val="2"/>
          </w:tcPr>
          <w:p>
            <w:pPr>
              <w:spacing w:after="0"/>
              <w:rPr>
                <w:sz w:val="17"/>
                <w:szCs w:val="17"/>
                <w:color w:val="auto"/>
              </w:rPr>
            </w:pPr>
          </w:p>
        </w:tc>
        <w:tc>
          <w:tcPr>
            <w:tcW w:w="2500" w:type="dxa"/>
            <w:vAlign w:val="bottom"/>
            <w:gridSpan w:val="4"/>
          </w:tcPr>
          <w:p>
            <w:pPr>
              <w:ind w:left="700"/>
              <w:spacing w:after="0" w:line="198" w:lineRule="exact"/>
              <w:rPr>
                <w:sz w:val="20"/>
                <w:szCs w:val="20"/>
                <w:color w:val="auto"/>
              </w:rPr>
            </w:pPr>
            <w:r>
              <w:rPr>
                <w:rFonts w:ascii="Arial" w:cs="Arial" w:eastAsia="Arial" w:hAnsi="Arial"/>
                <w:sz w:val="18"/>
                <w:szCs w:val="18"/>
                <w:b w:val="1"/>
                <w:bCs w:val="1"/>
                <w:color w:val="auto"/>
              </w:rPr>
              <w:t>WITHHELD</w:t>
            </w:r>
          </w:p>
        </w:tc>
        <w:tc>
          <w:tcPr>
            <w:tcW w:w="238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rPr>
              <w:t>BROKER NON-VOTE</w:t>
            </w:r>
          </w:p>
        </w:tc>
      </w:tr>
      <w:tr>
        <w:trPr>
          <w:trHeight w:val="20"/>
        </w:trPr>
        <w:tc>
          <w:tcPr>
            <w:tcW w:w="3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1"/>
        </w:trPr>
        <w:tc>
          <w:tcPr>
            <w:tcW w:w="3560" w:type="dxa"/>
            <w:vAlign w:val="bottom"/>
          </w:tcPr>
          <w:p>
            <w:pPr>
              <w:spacing w:after="0"/>
              <w:rPr>
                <w:sz w:val="20"/>
                <w:szCs w:val="20"/>
                <w:color w:val="auto"/>
              </w:rPr>
            </w:pPr>
            <w:r>
              <w:rPr>
                <w:rFonts w:ascii="Arial" w:cs="Arial" w:eastAsia="Arial" w:hAnsi="Arial"/>
                <w:sz w:val="18"/>
                <w:szCs w:val="18"/>
                <w:color w:val="auto"/>
              </w:rPr>
              <w:t>Peter Gassner</w:t>
            </w:r>
          </w:p>
        </w:tc>
        <w:tc>
          <w:tcPr>
            <w:tcW w:w="2400" w:type="dxa"/>
            <w:vAlign w:val="bottom"/>
            <w:gridSpan w:val="3"/>
          </w:tcPr>
          <w:p>
            <w:pPr>
              <w:jc w:val="center"/>
              <w:spacing w:after="0"/>
              <w:rPr>
                <w:sz w:val="20"/>
                <w:szCs w:val="20"/>
                <w:color w:val="auto"/>
              </w:rPr>
            </w:pPr>
            <w:r>
              <w:rPr>
                <w:rFonts w:ascii="Arial" w:cs="Arial" w:eastAsia="Arial" w:hAnsi="Arial"/>
                <w:sz w:val="18"/>
                <w:szCs w:val="18"/>
                <w:color w:val="auto"/>
                <w:w w:val="90"/>
              </w:rPr>
              <w:t>1,091,178,317</w:t>
            </w:r>
          </w:p>
        </w:tc>
        <w:tc>
          <w:tcPr>
            <w:tcW w:w="100" w:type="dxa"/>
            <w:vAlign w:val="bottom"/>
          </w:tcPr>
          <w:p>
            <w:pPr>
              <w:spacing w:after="0"/>
              <w:rPr>
                <w:sz w:val="24"/>
                <w:szCs w:val="24"/>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39,981,371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66,184,592</w:t>
            </w:r>
          </w:p>
        </w:tc>
        <w:tc>
          <w:tcPr>
            <w:tcW w:w="280" w:type="dxa"/>
            <w:vAlign w:val="bottom"/>
          </w:tcPr>
          <w:p>
            <w:pPr>
              <w:spacing w:after="0"/>
              <w:rPr>
                <w:sz w:val="24"/>
                <w:szCs w:val="24"/>
                <w:color w:val="auto"/>
              </w:rPr>
            </w:pPr>
          </w:p>
        </w:tc>
      </w:tr>
      <w:tr>
        <w:trPr>
          <w:trHeight w:val="27"/>
        </w:trPr>
        <w:tc>
          <w:tcPr>
            <w:tcW w:w="3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Eric S. Yuan</w:t>
            </w:r>
          </w:p>
        </w:tc>
        <w:tc>
          <w:tcPr>
            <w:tcW w:w="2400" w:type="dxa"/>
            <w:vAlign w:val="bottom"/>
            <w:gridSpan w:val="3"/>
          </w:tcPr>
          <w:p>
            <w:pPr>
              <w:jc w:val="center"/>
              <w:spacing w:after="0"/>
              <w:rPr>
                <w:sz w:val="20"/>
                <w:szCs w:val="20"/>
                <w:color w:val="auto"/>
              </w:rPr>
            </w:pPr>
            <w:r>
              <w:rPr>
                <w:rFonts w:ascii="Arial" w:cs="Arial" w:eastAsia="Arial" w:hAnsi="Arial"/>
                <w:sz w:val="18"/>
                <w:szCs w:val="18"/>
                <w:color w:val="auto"/>
                <w:w w:val="88"/>
              </w:rPr>
              <w:t>1,117,503,100</w:t>
            </w:r>
          </w:p>
        </w:tc>
        <w:tc>
          <w:tcPr>
            <w:tcW w:w="100" w:type="dxa"/>
            <w:vAlign w:val="bottom"/>
          </w:tcPr>
          <w:p>
            <w:pPr>
              <w:spacing w:after="0"/>
              <w:rPr>
                <w:sz w:val="20"/>
                <w:szCs w:val="20"/>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13,656,588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66,184,592</w:t>
            </w:r>
          </w:p>
        </w:tc>
        <w:tc>
          <w:tcPr>
            <w:tcW w:w="28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Lieut. Gen. H.R. McMaster</w:t>
            </w:r>
          </w:p>
        </w:tc>
        <w:tc>
          <w:tcPr>
            <w:tcW w:w="2400" w:type="dxa"/>
            <w:vAlign w:val="bottom"/>
            <w:gridSpan w:val="3"/>
          </w:tcPr>
          <w:p>
            <w:pPr>
              <w:jc w:val="center"/>
              <w:spacing w:after="0"/>
              <w:rPr>
                <w:sz w:val="20"/>
                <w:szCs w:val="20"/>
                <w:color w:val="auto"/>
              </w:rPr>
            </w:pPr>
            <w:r>
              <w:rPr>
                <w:rFonts w:ascii="Arial" w:cs="Arial" w:eastAsia="Arial" w:hAnsi="Arial"/>
                <w:sz w:val="18"/>
                <w:szCs w:val="18"/>
                <w:color w:val="auto"/>
                <w:w w:val="90"/>
              </w:rPr>
              <w:t>1,130,882,574</w:t>
            </w:r>
          </w:p>
        </w:tc>
        <w:tc>
          <w:tcPr>
            <w:tcW w:w="10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277,114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66,184,592</w:t>
            </w:r>
          </w:p>
        </w:tc>
        <w:tc>
          <w:tcPr>
            <w:tcW w:w="28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Two – Ratification of Selection of Independent Public Registered Accounting Firm</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stockholders ratified the appointment of KPMG LLP as the Company's independent registered public accounting firm for the fiscal year ending January 31, 2021. The results of such vote were:</w:t>
      </w:r>
    </w:p>
    <w:tbl>
      <w:tblPr>
        <w:tblLayout w:type="fixed"/>
        <w:tblInd w:w="1420" w:type="dxa"/>
        <w:tblCellMar>
          <w:top w:w="0" w:type="dxa"/>
          <w:left w:w="0" w:type="dxa"/>
          <w:bottom w:w="0" w:type="dxa"/>
          <w:right w:w="0" w:type="dxa"/>
        </w:tblCellMar>
      </w:tblPr>
      <w:tr>
        <w:trPr>
          <w:trHeight w:val="198"/>
        </w:trPr>
        <w:tc>
          <w:tcPr>
            <w:tcW w:w="320" w:type="dxa"/>
            <w:vAlign w:val="bottom"/>
          </w:tcPr>
          <w:p>
            <w:pPr>
              <w:spacing w:after="0"/>
              <w:rPr>
                <w:sz w:val="17"/>
                <w:szCs w:val="17"/>
                <w:color w:val="auto"/>
              </w:rPr>
            </w:pPr>
          </w:p>
        </w:tc>
        <w:tc>
          <w:tcPr>
            <w:tcW w:w="2140" w:type="dxa"/>
            <w:vAlign w:val="bottom"/>
            <w:gridSpan w:val="2"/>
          </w:tcPr>
          <w:p>
            <w:pPr>
              <w:jc w:val="center"/>
              <w:ind w:right="1760"/>
              <w:spacing w:after="0" w:line="198" w:lineRule="exact"/>
              <w:rPr>
                <w:sz w:val="20"/>
                <w:szCs w:val="20"/>
                <w:color w:val="auto"/>
              </w:rPr>
            </w:pPr>
            <w:r>
              <w:rPr>
                <w:rFonts w:ascii="Arial" w:cs="Arial" w:eastAsia="Arial" w:hAnsi="Arial"/>
                <w:sz w:val="18"/>
                <w:szCs w:val="18"/>
                <w:b w:val="1"/>
                <w:bCs w:val="1"/>
                <w:color w:val="auto"/>
                <w:w w:val="99"/>
              </w:rPr>
              <w:t>FOR</w:t>
            </w:r>
          </w:p>
        </w:tc>
        <w:tc>
          <w:tcPr>
            <w:tcW w:w="4740" w:type="dxa"/>
            <w:vAlign w:val="bottom"/>
            <w:gridSpan w:val="3"/>
          </w:tcPr>
          <w:p>
            <w:pPr>
              <w:jc w:val="center"/>
              <w:ind w:right="1080"/>
              <w:spacing w:after="0" w:line="198" w:lineRule="exact"/>
              <w:rPr>
                <w:sz w:val="20"/>
                <w:szCs w:val="20"/>
                <w:color w:val="auto"/>
              </w:rPr>
            </w:pPr>
            <w:r>
              <w:rPr>
                <w:rFonts w:ascii="Arial" w:cs="Arial" w:eastAsia="Arial" w:hAnsi="Arial"/>
                <w:sz w:val="18"/>
                <w:szCs w:val="18"/>
                <w:b w:val="1"/>
                <w:bCs w:val="1"/>
                <w:color w:val="auto"/>
              </w:rPr>
              <w:t>AGAINST</w:t>
            </w:r>
          </w:p>
        </w:tc>
        <w:tc>
          <w:tcPr>
            <w:tcW w:w="7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ABSTAIN</w:t>
            </w: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0"/>
        </w:trPr>
        <w:tc>
          <w:tcPr>
            <w:tcW w:w="2460" w:type="dxa"/>
            <w:vAlign w:val="bottom"/>
            <w:gridSpan w:val="3"/>
          </w:tcPr>
          <w:p>
            <w:pPr>
              <w:jc w:val="right"/>
              <w:ind w:right="1440"/>
              <w:spacing w:after="0"/>
              <w:rPr>
                <w:sz w:val="20"/>
                <w:szCs w:val="20"/>
                <w:color w:val="auto"/>
              </w:rPr>
            </w:pPr>
            <w:r>
              <w:rPr>
                <w:rFonts w:ascii="Arial" w:cs="Arial" w:eastAsia="Arial" w:hAnsi="Arial"/>
                <w:sz w:val="18"/>
                <w:szCs w:val="18"/>
                <w:color w:val="auto"/>
                <w:w w:val="86"/>
              </w:rPr>
              <w:t>1,196,754,166</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360,812</w:t>
            </w:r>
          </w:p>
        </w:tc>
        <w:tc>
          <w:tcPr>
            <w:tcW w:w="25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229,302</w:t>
            </w:r>
          </w:p>
        </w:tc>
      </w:tr>
    </w:tbl>
    <w:p>
      <w:pPr>
        <w:sectPr>
          <w:pgSz w:w="11900" w:h="16838" w:orient="portrait"/>
          <w:cols w:equalWidth="0" w:num="1">
            <w:col w:w="11220"/>
          </w:cols>
          <w:pgMar w:left="320" w:top="1107"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4740" w:val="left"/>
          <w:tab w:leader="none" w:pos="5380" w:val="left"/>
        </w:tabs>
        <w:rPr>
          <w:sz w:val="20"/>
          <w:szCs w:val="20"/>
          <w:color w:val="auto"/>
        </w:rPr>
      </w:pPr>
      <w:r>
        <w:rPr>
          <w:rFonts w:ascii="Arial" w:cs="Arial" w:eastAsia="Arial" w:hAnsi="Arial"/>
          <w:sz w:val="18"/>
          <w:szCs w:val="18"/>
          <w:color w:val="auto"/>
        </w:rPr>
        <w:t>Dated: June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31750</wp:posOffset>
            </wp:positionV>
            <wp:extent cx="2974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0940"/>
      </w:cols>
      <w:pgMar w:left="320" w:top="89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2020-06-24T05:05:26Z</dcterms:created>
  <dcterms:modified xsi:type="dcterms:W3CDTF">2020-06-24T05:05:26Z</dcterms:modified>
</cp:coreProperties>
</file>