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5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30, 2020</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14" w:lineRule="exact"/>
        <w:rPr>
          <w:sz w:val="24"/>
          <w:szCs w:val="24"/>
          <w:color w:val="auto"/>
        </w:rPr>
      </w:pPr>
    </w:p>
    <w:tbl>
      <w:tblPr>
        <w:tblLayout w:type="fixed"/>
        <w:tblInd w:w="460" w:type="dxa"/>
        <w:tblCellMar>
          <w:top w:w="0" w:type="dxa"/>
          <w:left w:w="0" w:type="dxa"/>
          <w:bottom w:w="0" w:type="dxa"/>
          <w:right w:w="0" w:type="dxa"/>
        </w:tblCellMar>
      </w:tblPr>
      <w:tr>
        <w:trPr>
          <w:trHeight w:val="245"/>
        </w:trPr>
        <w:tc>
          <w:tcPr>
            <w:tcW w:w="2980" w:type="dxa"/>
            <w:vAlign w:val="bottom"/>
          </w:tcPr>
          <w:p>
            <w:pPr>
              <w:jc w:val="center"/>
              <w:ind w:right="55"/>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80" w:type="dxa"/>
            <w:vAlign w:val="bottom"/>
          </w:tcPr>
          <w:p>
            <w:pPr>
              <w:jc w:val="center"/>
              <w:ind w:right="355"/>
              <w:spacing w:after="0"/>
              <w:rPr>
                <w:sz w:val="20"/>
                <w:szCs w:val="20"/>
                <w:color w:val="auto"/>
              </w:rPr>
            </w:pPr>
            <w:r>
              <w:rPr>
                <w:rFonts w:ascii="Times New Roman" w:cs="Times New Roman" w:eastAsia="Times New Roman" w:hAnsi="Times New Roman"/>
                <w:sz w:val="20"/>
                <w:szCs w:val="20"/>
                <w:b w:val="1"/>
                <w:bCs w:val="1"/>
                <w:color w:val="auto"/>
                <w:w w:val="99"/>
              </w:rPr>
              <w:t>001-38865</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61-1648780</w:t>
            </w:r>
          </w:p>
        </w:tc>
        <w:tc>
          <w:tcPr>
            <w:tcW w:w="0" w:type="dxa"/>
            <w:vAlign w:val="bottom"/>
          </w:tcPr>
          <w:p>
            <w:pPr>
              <w:spacing w:after="0"/>
              <w:rPr>
                <w:sz w:val="1"/>
                <w:szCs w:val="1"/>
                <w:color w:val="auto"/>
              </w:rPr>
            </w:pPr>
          </w:p>
        </w:tc>
      </w:tr>
      <w:tr>
        <w:trPr>
          <w:trHeight w:val="146"/>
        </w:trPr>
        <w:tc>
          <w:tcPr>
            <w:tcW w:w="298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80" w:type="dxa"/>
            <w:vAlign w:val="bottom"/>
            <w:vMerge w:val="restart"/>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49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8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0"/>
        </w:trPr>
        <w:tc>
          <w:tcPr>
            <w:tcW w:w="2980" w:type="dxa"/>
            <w:vAlign w:val="bottom"/>
          </w:tcPr>
          <w:p>
            <w:pPr>
              <w:jc w:val="center"/>
              <w:ind w:right="55"/>
              <w:spacing w:after="0"/>
              <w:rPr>
                <w:sz w:val="20"/>
                <w:szCs w:val="20"/>
                <w:color w:val="auto"/>
              </w:rPr>
            </w:pPr>
            <w:r>
              <w:rPr>
                <w:rFonts w:ascii="Times New Roman" w:cs="Times New Roman" w:eastAsia="Times New Roman" w:hAnsi="Times New Roman"/>
                <w:sz w:val="20"/>
                <w:szCs w:val="20"/>
                <w:b w:val="1"/>
                <w:bCs w:val="1"/>
                <w:color w:val="auto"/>
                <w:w w:val="99"/>
              </w:rPr>
              <w:t>55 Almaden Boulevard, 6th Floor</w:t>
            </w:r>
          </w:p>
        </w:tc>
        <w:tc>
          <w:tcPr>
            <w:tcW w:w="4780" w:type="dxa"/>
            <w:vAlign w:val="bottom"/>
          </w:tcPr>
          <w:p>
            <w:pPr>
              <w:spacing w:after="0"/>
              <w:rPr>
                <w:sz w:val="24"/>
                <w:szCs w:val="24"/>
                <w:color w:val="auto"/>
              </w:rPr>
            </w:pPr>
          </w:p>
        </w:tc>
        <w:tc>
          <w:tcPr>
            <w:tcW w:w="1700" w:type="dxa"/>
            <w:vAlign w:val="bottom"/>
            <w:vMerge w:val="restart"/>
          </w:tcPr>
          <w:p>
            <w:pPr>
              <w:jc w:val="right"/>
              <w:ind w:right="237"/>
              <w:spacing w:after="0"/>
              <w:rPr>
                <w:sz w:val="20"/>
                <w:szCs w:val="20"/>
                <w:color w:val="auto"/>
              </w:rPr>
            </w:pPr>
            <w:r>
              <w:rPr>
                <w:rFonts w:ascii="Times New Roman" w:cs="Times New Roman" w:eastAsia="Times New Roman" w:hAnsi="Times New Roman"/>
                <w:sz w:val="20"/>
                <w:szCs w:val="20"/>
                <w:b w:val="1"/>
                <w:bCs w:val="1"/>
                <w:color w:val="auto"/>
              </w:rPr>
              <w:t>95113</w:t>
            </w:r>
          </w:p>
        </w:tc>
        <w:tc>
          <w:tcPr>
            <w:tcW w:w="0" w:type="dxa"/>
            <w:vAlign w:val="bottom"/>
          </w:tcPr>
          <w:p>
            <w:pPr>
              <w:spacing w:after="0"/>
              <w:rPr>
                <w:sz w:val="1"/>
                <w:szCs w:val="1"/>
                <w:color w:val="auto"/>
              </w:rPr>
            </w:pPr>
          </w:p>
        </w:tc>
      </w:tr>
      <w:tr>
        <w:trPr>
          <w:trHeight w:val="232"/>
        </w:trPr>
        <w:tc>
          <w:tcPr>
            <w:tcW w:w="2980" w:type="dxa"/>
            <w:vAlign w:val="bottom"/>
          </w:tcPr>
          <w:p>
            <w:pPr>
              <w:jc w:val="center"/>
              <w:ind w:right="35"/>
              <w:spacing w:after="0"/>
              <w:rPr>
                <w:sz w:val="20"/>
                <w:szCs w:val="20"/>
                <w:color w:val="auto"/>
              </w:rPr>
            </w:pPr>
            <w:r>
              <w:rPr>
                <w:rFonts w:ascii="Times New Roman" w:cs="Times New Roman" w:eastAsia="Times New Roman" w:hAnsi="Times New Roman"/>
                <w:sz w:val="20"/>
                <w:szCs w:val="20"/>
                <w:b w:val="1"/>
                <w:bCs w:val="1"/>
                <w:color w:val="auto"/>
                <w:w w:val="98"/>
              </w:rPr>
              <w:t>San Jose, California</w:t>
            </w:r>
          </w:p>
        </w:tc>
        <w:tc>
          <w:tcPr>
            <w:tcW w:w="478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80" w:type="dxa"/>
            <w:vAlign w:val="bottom"/>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3"/>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Times New Roman" w:cs="Times New Roman" w:eastAsia="Times New Roman" w:hAnsi="Times New Roman"/>
                <w:sz w:val="20"/>
                <w:szCs w:val="20"/>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478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478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90"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43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Zoom Video Communications, Inc. (the “Company”) is filing this Current Report on Form 8-K/A solely to clarify the Company's full fiscal year 2021 non-GAAP diluted earnings per share guidance as disclosed in a press release issued on November 30, 2020 announcing the Company's financial results for the three months ended October 31, 2020 (the “Original Press Release”). Full fiscal year 2021 non-GAAP diluted earnings per share is expected to be $2.89 to $2.91, instead of $2.85 to $2.87.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made changes to the other information furnished with the original Form 8-K.</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November 30, 2020, the Company issued the Original Press Release announcing its financial results for the three months ended October 31, 2020. A copy of the press release, as updated, is furnished as Exhibit 99.1 to this report and is incorporated by reference.</w:t>
      </w:r>
    </w:p>
    <w:p>
      <w:pPr>
        <w:spacing w:after="0" w:line="162"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380" w:type="dxa"/>
            <w:vAlign w:val="bottom"/>
          </w:tcPr>
          <w:p>
            <w:pPr>
              <w:spacing w:after="0"/>
              <w:rPr>
                <w:sz w:val="20"/>
                <w:szCs w:val="20"/>
                <w:color w:val="auto"/>
              </w:rPr>
            </w:pPr>
          </w:p>
        </w:tc>
      </w:tr>
      <w:tr>
        <w:trPr>
          <w:trHeight w:val="257"/>
        </w:trPr>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Exhibit No.</w:t>
            </w: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19"/>
                <w:szCs w:val="19"/>
                <w:color w:val="auto"/>
              </w:rPr>
            </w:pPr>
          </w:p>
        </w:tc>
        <w:tc>
          <w:tcPr>
            <w:tcW w:w="938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30, 2020 of Zoom Video Communications, Inc., as updated</w:t>
              </w:r>
            </w:hyperlink>
          </w:p>
        </w:tc>
      </w:tr>
    </w:tbl>
    <w:p>
      <w:pPr>
        <w:sectPr>
          <w:pgSz w:w="11900" w:h="16838" w:orient="portrait"/>
          <w:cols w:equalWidth="0" w:num="1">
            <w:col w:w="11220"/>
          </w:cols>
          <w:pgMar w:left="320" w:top="110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8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 2020</w:t>
            </w:r>
          </w:p>
        </w:tc>
        <w:tc>
          <w:tcPr>
            <w:tcW w:w="24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36"/>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Zoom Reports Results for Third Quarter Fiscal Year 2021</w:t>
      </w:r>
    </w:p>
    <w:p>
      <w:pPr>
        <w:spacing w:after="0" w:line="117"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Third quarter total revenue of $777.2 million, up 367% year-over-year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Number of customers contributing more than $100,000 in TTM revenue up 136% year-over-year</w:t>
      </w:r>
    </w:p>
    <w:p>
      <w:pPr>
        <w:spacing w:after="0" w:line="117"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Approximately 433,700 customers with more than 10 employees, up 485% year-over-year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Press Release</w:t>
      </w:r>
      <w:r>
        <w:rPr>
          <w:rFonts w:ascii="Times New Roman" w:cs="Times New Roman" w:eastAsia="Times New Roman" w:hAnsi="Times New Roman"/>
          <w:sz w:val="23"/>
          <w:szCs w:val="23"/>
          <w:color w:val="auto"/>
          <w:vertAlign w:val="superscript"/>
        </w:rPr>
        <w:t>1</w:t>
      </w:r>
    </w:p>
    <w:p>
      <w:pPr>
        <w:spacing w:after="0" w:line="16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JOSE, California – </w:t>
      </w:r>
      <w:r>
        <w:rPr>
          <w:rFonts w:ascii="Times New Roman" w:cs="Times New Roman" w:eastAsia="Times New Roman" w:hAnsi="Times New Roman"/>
          <w:sz w:val="18"/>
          <w:szCs w:val="18"/>
          <w:color w:val="auto"/>
        </w:rPr>
        <w:t>November 30, 2020 – Zoom Video Communications, Inc. (NASDAQ: ZM), a leading provider of video-first unified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today announced financial results for the third fiscal quarter ended October 31, 2020.</w:t>
      </w:r>
    </w:p>
    <w:p>
      <w:pPr>
        <w:spacing w:after="0" w:line="18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“We remain focused on the communication needs of our customers and communities as they navigate the current environment and adapt to a new world of work from anywhere using Zoom. We aspire to provide the most innovative, secure, reliable, and high-quality communications platform to help people connect, collaborate, build and learn on Zoom,” said Zoom founder and CEO, Eric S. Yuan. “Strong demand and execution led to revenue growth of 367% year-over-year with solid growth in non-GAAP operating income and cash flow in our third fiscal quarter. We expect to strengthen our market position as we finish the fiscal year with an increased total revenue outlook of approximately $2.575 billion to $2.580 billion for fiscal year 2021, or approximately 314% increase year-over-year.”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third quarter was $777.2 million, up 367% year-over-year.</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5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(Loss) from Operations and Operating Margin: </w:t>
      </w:r>
      <w:r>
        <w:rPr>
          <w:rFonts w:ascii="Times New Roman" w:cs="Times New Roman" w:eastAsia="Times New Roman" w:hAnsi="Times New Roman"/>
          <w:sz w:val="18"/>
          <w:szCs w:val="18"/>
          <w:color w:val="auto"/>
        </w:rPr>
        <w:t>GAAP income from operations for the third quarter was $192.2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GAAP loss from operations of $1.7 million in the third quarter of fiscal year 2020. After adjusting for stock-based compensation expense and related payroll taxes, and acquisition-related expenses, non-GAAP income from operations for the third quarter was $290.8 million, up from $21.3 million in the third quarter of fiscal year 2020. For the third quarter, GAAP operating margin was 24.7% and non-GAAP operating margin was 37.4%.</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8"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Income and Net Income Per Share: </w:t>
      </w:r>
      <w:r>
        <w:rPr>
          <w:rFonts w:ascii="Times New Roman" w:cs="Times New Roman" w:eastAsia="Times New Roman" w:hAnsi="Times New Roman"/>
          <w:sz w:val="18"/>
          <w:szCs w:val="18"/>
          <w:color w:val="auto"/>
        </w:rPr>
        <w:t>GAAP net income attributable to common stockholders for the third quarter was $198.4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$0.66 per share, compared to GAAP net income attributable to common stockholders of $2.2 million, or $0.01 per share in the third quarter of fiscal year 2020.</w:t>
      </w:r>
    </w:p>
    <w:p>
      <w:pPr>
        <w:spacing w:after="0" w:line="66" w:lineRule="exact"/>
        <w:rPr>
          <w:rFonts w:ascii="Times New Roman" w:cs="Times New Roman" w:eastAsia="Times New Roman" w:hAnsi="Times New Roman"/>
          <w:sz w:val="18"/>
          <w:szCs w:val="18"/>
          <w:b w:val="1"/>
          <w:bCs w:val="1"/>
          <w:color w:val="auto"/>
        </w:rPr>
      </w:pPr>
    </w:p>
    <w:p>
      <w:pPr>
        <w:ind w:left="98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Non-GAAP net income for the quarter was $297.2 million, after adjusting for stock-based compensation expense and related payroll taxes, acquisition-related expenses, and undistributed earnings attributable to participating securities. Non-GAAP net income per share was $0.99. In the third quarter of fiscal year 2020, non-GAAP net income was $25.2 million, or $0.09 per share.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Total cash, cash equivalents, and marketable securities, excluding restricted cash, as of October 31, 2020 was $1.9 billion.</w:t>
      </w:r>
    </w:p>
    <w:p>
      <w:pPr>
        <w:spacing w:after="0" w:line="117" w:lineRule="exact"/>
        <w:rPr>
          <w:rFonts w:ascii="Times New Roman" w:cs="Times New Roman" w:eastAsia="Times New Roman" w:hAnsi="Times New Roman"/>
          <w:sz w:val="18"/>
          <w:szCs w:val="18"/>
          <w:b w:val="1"/>
          <w:bCs w:val="1"/>
          <w:color w:val="auto"/>
        </w:rPr>
      </w:pPr>
    </w:p>
    <w:p>
      <w:pPr>
        <w:ind w:left="980" w:right="120" w:hanging="324"/>
        <w:spacing w:after="0" w:line="26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Net cash provided by operating activities was $411.5 million for the third quarter, compared to $61.9 million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fiscal year 2020. Free cash flow, which is net cash provided by operating activities less purchases of property and equipment, was $388.2 million, compared to $54.7 million in the third quarter of fiscal year 2020.</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Metrics: </w:t>
      </w:r>
      <w:r>
        <w:rPr>
          <w:rFonts w:ascii="Times New Roman" w:cs="Times New Roman" w:eastAsia="Times New Roman" w:hAnsi="Times New Roman"/>
          <w:sz w:val="18"/>
          <w:szCs w:val="18"/>
          <w:color w:val="auto"/>
        </w:rPr>
        <w:t>Drivers of total revenue included acquiring new customers and expanding across existing customers. At the end of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2021, Zoom had:</w:t>
      </w:r>
    </w:p>
    <w:p>
      <w:pPr>
        <w:spacing w:after="0" w:line="5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433,700 customers with more than 10 employees, up approximately 485% from the same quarter last fiscal year.</w:t>
      </w:r>
    </w:p>
    <w:p>
      <w:pPr>
        <w:spacing w:after="0" w:line="11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1,289 customers contributing more than $100,000 in trailing 12 months revenue, up approximately 136% from the same quarter last fiscal year.</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trailing 12-month net dollar expansion rate in customers with more than 10 employees above 130% for the 10th consecutive quarter.</w:t>
      </w:r>
    </w:p>
    <w:p>
      <w:pPr>
        <w:sectPr>
          <w:pgSz w:w="11900" w:h="16838" w:orient="portrait"/>
          <w:cols w:equalWidth="0" w:num="1">
            <w:col w:w="11240"/>
          </w:cols>
          <w:pgMar w:left="320" w:top="1134" w:right="339" w:bottom="1440" w:gutter="0" w:footer="0" w:header="0"/>
        </w:sectPr>
      </w:pPr>
    </w:p>
    <w:bookmarkStart w:id="4" w:name="page5"/>
    <w:bookmarkEnd w:id="4"/>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Outlook: </w:t>
      </w:r>
      <w:r>
        <w:rPr>
          <w:rFonts w:ascii="Times New Roman" w:cs="Times New Roman" w:eastAsia="Times New Roman" w:hAnsi="Times New Roman"/>
          <w:sz w:val="18"/>
          <w:szCs w:val="18"/>
          <w:color w:val="auto"/>
        </w:rPr>
        <w:t>Zoom is providing the following guidance for its fourth quarter fiscal year 2021 and its full fiscal year 2021. Zoom's revenue outlook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takes into consideration the demand for remote work solutions for businesses. It also assumes increased churn in the fourth quarter when compared to historic churn levels due to a higher percentage of customers who purchased monthly subscriptions.</w:t>
      </w:r>
    </w:p>
    <w:p>
      <w:pPr>
        <w:spacing w:after="0" w:line="67" w:lineRule="exact"/>
        <w:rPr>
          <w:sz w:val="20"/>
          <w:szCs w:val="20"/>
          <w:color w:val="auto"/>
        </w:rPr>
      </w:pPr>
    </w:p>
    <w:p>
      <w:pPr>
        <w:ind w:left="980" w:right="120" w:hanging="324"/>
        <w:spacing w:after="0" w:line="26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Fourth Quarter Fiscal Year 2021: Total revenue is expected to be between $806.0 million and $811.0 million and non-GAAP income from operations is expected to be between $243.0 million and $248.0 million. Non-GAAP diluted EPS is expected to be between $0.77 and $0.79 with approximately 306 million non-GAAP weighted average shares outstanding.</w:t>
      </w:r>
    </w:p>
    <w:p>
      <w:pPr>
        <w:spacing w:after="0" w:line="67" w:lineRule="exact"/>
        <w:rPr>
          <w:rFonts w:ascii="Times New Roman" w:cs="Times New Roman" w:eastAsia="Times New Roman" w:hAnsi="Times New Roman"/>
          <w:sz w:val="18"/>
          <w:szCs w:val="18"/>
          <w:b w:val="1"/>
          <w:bCs w:val="1"/>
          <w:color w:val="auto"/>
        </w:rPr>
      </w:pPr>
    </w:p>
    <w:p>
      <w:pPr>
        <w:ind w:left="980" w:right="42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Fiscal Year 2021: Total revenue is expected to be between $2.575 billion and $2.580 billion. Non-GAAP income from operations is expected to be between $865.0 million and $870.0 million. Non-GAAP diluted EPS is expected to be between $2.89 and $2.91 with approximately 300 million non-GAAP weighted average shares outstanding.</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supplemental financial presentation and other information can be accessed through Zoom’s investor relations website at investors.zoom.us.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 Video Earnings Call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Zoom will host a Zoom Video Webinar for investors on November 30, 2020 at 2:30 p.m. Pacific Time / 5:30 p.m. Eastern Time to discuss the company’s financial results and business highlights. Investors are invited to join the Zoom Video Webinar by visiting: https://investors.zoom.us/</w:t>
      </w:r>
    </w:p>
    <w:p>
      <w:pPr>
        <w:spacing w:after="0" w:line="54" w:lineRule="exact"/>
        <w:rPr>
          <w:sz w:val="20"/>
          <w:szCs w:val="20"/>
          <w:color w:val="auto"/>
        </w:rPr>
      </w:pPr>
    </w:p>
    <w:p>
      <w:pPr>
        <w:ind w:right="140" w:firstLine="8"/>
        <w:spacing w:after="0" w:line="229"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Zoom is updating its press release issued on November 30, 2020 to clarify the following: Full fiscal year 2021 non-GAAP diluted EPS is expected to be $2.89 to $2.91, instead of $2.85 to $2.87.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Zoom</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Zoom Video Communications, Inc. (NASDAQ: ZM) brings teams together to get more done in a frictionless and secure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 and follow @zoom_us.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statements regarding our financial outlook for the fourth quarter of fiscal year 2021 and full fiscal year 2021, Zoom’s growth strategy and business aspirations for its video-first unified communications platform, its market position, and the continued impact of COVID-19 on its business and operations.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July 31, 2020. Forward-looking statements speak only as of the date the statements are made and are based on information available to Zoom at the time those statements are</w:t>
      </w:r>
    </w:p>
    <w:p>
      <w:pPr>
        <w:sectPr>
          <w:pgSz w:w="11900" w:h="16838" w:orient="portrait"/>
          <w:cols w:equalWidth="0" w:num="1">
            <w:col w:w="11200"/>
          </w:cols>
          <w:pgMar w:left="320" w:top="1103" w:right="379" w:bottom="1440" w:gutter="0" w:footer="0" w:header="0"/>
        </w:sectPr>
      </w:pPr>
    </w:p>
    <w:bookmarkStart w:id="5" w:name="page6"/>
    <w:bookmarkEnd w:id="5"/>
    <w:p>
      <w:pPr>
        <w:ind w:right="720"/>
        <w:spacing w:after="0" w:line="266" w:lineRule="auto"/>
        <w:rPr>
          <w:sz w:val="20"/>
          <w:szCs w:val="20"/>
          <w:color w:val="auto"/>
        </w:rPr>
      </w:pPr>
      <w:r>
        <w:rPr>
          <w:rFonts w:ascii="Times New Roman" w:cs="Times New Roman" w:eastAsia="Times New Roman" w:hAnsi="Times New Roman"/>
          <w:sz w:val="18"/>
          <w:szCs w:val="18"/>
          <w:color w:val="auto"/>
        </w:rPr>
        <w:t>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and acquisition-related expenses.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Metrics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w:t>
      </w:r>
    </w:p>
    <w:p>
      <w:pPr>
        <w:sectPr>
          <w:pgSz w:w="11900" w:h="16838" w:orient="portrait"/>
          <w:cols w:equalWidth="0" w:num="1">
            <w:col w:w="11220"/>
          </w:cols>
          <w:pgMar w:left="320" w:top="891" w:right="3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divides the Current Period ARR by the Prior Period ARR to arrive at the net dollar expansion rate. For the trailing 12 months calculation, Zoom takes an average of the net dollar expansion rate over the trailing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Rodriguez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Media Relations Lead for Zoom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press@zoom.us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McCallum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investors@zoom.us</w:t>
      </w:r>
    </w:p>
    <w:p>
      <w:pPr>
        <w:sectPr>
          <w:pgSz w:w="11900" w:h="16838" w:orient="portrait"/>
          <w:cols w:equalWidth="0" w:num="1">
            <w:col w:w="11000"/>
          </w:cols>
          <w:pgMar w:left="320" w:top="999" w:right="5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r>
      <w:tr>
        <w:trPr>
          <w:trHeight w:val="133"/>
        </w:trPr>
        <w:tc>
          <w:tcPr>
            <w:tcW w:w="8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1"/>
                <w:szCs w:val="11"/>
                <w:color w:val="auto"/>
              </w:rPr>
            </w:pPr>
          </w:p>
        </w:tc>
        <w:tc>
          <w:tcPr>
            <w:tcW w:w="1200" w:type="dxa"/>
            <w:vAlign w:val="bottom"/>
          </w:tcPr>
          <w:p>
            <w:pPr>
              <w:jc w:val="right"/>
              <w:ind w:right="271"/>
              <w:spacing w:after="0" w:line="13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9"/>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283,134</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572,060</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120,435</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75,008</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3,050,311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1,289,845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122,692</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209,542</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455,902</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832,705</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The amount of unbilled accounts receivable included within accounts receivable, net on the condensed consolidated balance sheets was $21.9 million and $12.5 million as of October 31, 2020 and January 31, 2020, respectively.</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351,558</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46,410</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349,415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(benefit from) provision for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284,783,006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273,316,850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282,564,481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219,295,445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299,258,765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292,771,122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297,605,941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241,512,569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40" w:type="dxa"/>
            <w:vAlign w:val="bottom"/>
          </w:tcPr>
          <w:p>
            <w:pPr>
              <w:spacing w:after="0"/>
              <w:rPr>
                <w:sz w:val="18"/>
                <w:szCs w:val="18"/>
                <w:color w:val="auto"/>
              </w:rPr>
            </w:pPr>
          </w:p>
        </w:tc>
        <w:tc>
          <w:tcPr>
            <w:tcW w:w="27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71,281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25,939</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Charitable donation of common stock</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Remeasurement gain on equity investment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(50,824)</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53,485</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07"/>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1,071,781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115,338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(629,107)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164,140</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(28,132)</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property and equipment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equity investment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convertible promissory note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Collections of employee loans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(437,816)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(47,615)</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(673,377)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(496,099)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Proceeds from employee equity transactions to be remitted to employees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17,176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48,547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251,641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48,547</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 tax authorities, net</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 net of repurchases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0" w:type="dxa"/>
            <w:vAlign w:val="bottom"/>
          </w:tcPr>
          <w:p>
            <w:pPr>
              <w:spacing w:after="0"/>
              <w:rPr>
                <w:sz w:val="1"/>
                <w:szCs w:val="1"/>
                <w:color w:val="auto"/>
              </w:rPr>
            </w:pPr>
          </w:p>
        </w:tc>
      </w:tr>
      <w:tr>
        <w:trPr>
          <w:trHeight w:val="162"/>
        </w:trPr>
        <w:tc>
          <w:tcPr>
            <w:tcW w:w="5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for employee stock purchase</w:t>
            </w:r>
          </w:p>
        </w:tc>
        <w:tc>
          <w:tcPr>
            <w:tcW w:w="2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plan</w:t>
            </w: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Proceeds from initial public offering and private placement, net of</w:t>
            </w:r>
          </w:p>
        </w:tc>
        <w:tc>
          <w:tcPr>
            <w:tcW w:w="2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underwriting discounts and commissions and other offering costs</w:t>
            </w:r>
          </w:p>
        </w:tc>
        <w:tc>
          <w:tcPr>
            <w:tcW w:w="2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296,242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596,623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215,862</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1,031,474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30" w:right="339"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income (loss) from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Charitable donation of common stock</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290,771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attributable to common stockholders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Charitable donation of common stock</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 and diluted: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GAAP 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GAAP net income per share -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Non-GAAP net income per share -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weighted-average shares used to compute net income per</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284,783,006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273,316,850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282,564,481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219,295,445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50,116,650</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284,783,006</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273,316,850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282,564,481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269,412,095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 basic</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GAAP weighted-average shares used to compute net income per</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299,258,765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292,771,122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297,605,941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241,512,569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Non-GAAP unweighted adjustment for common stock issued in</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50,116,650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connection with IPO</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Non-GAAP weighted-average shares used to compute net income per</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299,258,765</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292,771,122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297,605,941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291,629,219</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 - 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(437,816)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(673,377)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(496,099)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8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2020-12-01T05:22:53Z</dcterms:created>
  <dcterms:modified xsi:type="dcterms:W3CDTF">2020-12-01T05:22:53Z</dcterms:modified>
</cp:coreProperties>
</file>