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5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5254625</wp:posOffset>
            </wp:positionH>
            <wp:positionV relativeFrom="paragraph">
              <wp:posOffset>-621030</wp:posOffset>
            </wp:positionV>
            <wp:extent cx="57785" cy="6343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3971290</wp:posOffset>
            </wp:positionH>
            <wp:positionV relativeFrom="paragraph">
              <wp:posOffset>-621030</wp:posOffset>
            </wp:positionV>
            <wp:extent cx="5778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19685</wp:posOffset>
            </wp:positionV>
            <wp:extent cx="7047230" cy="50698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5069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1" w:right="359" w:bottom="1440" w:gutter="0" w:footer="0" w:header="0"/>
        </w:sectPr>
      </w:pP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Bawa Aparna</w:t>
        </w:r>
      </w:hyperlink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 w:line="37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ZOOM VIDEO COMMUNICATIONS, INC. 55 ALMADEN BOULEVARD, 6TH FLOOR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SAN JOSE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CA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95113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Zoom Video Communications, Inc.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ZM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3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07/08/2023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Operating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960" w:type="dxa"/>
            <w:vAlign w:val="bottom"/>
            <w:gridSpan w:val="2"/>
          </w:tcPr>
          <w:p>
            <w:pPr>
              <w:ind w:left="6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07/11/2023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34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60" w:space="38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8,576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8,576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25,730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07/08/2023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ind w:right="200"/>
              <w:spacing w:after="0" w:line="3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07/08/2023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1. Each restricted stock unit represents a contingent right to receive one share of Issuer's Class A Common Stock.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2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87"/>
              </w:rPr>
              <w:t>2. Incorrectly reported as two separate tranches released on July 8th, 2023. Holdings were amended to combine the unvested and the share vesting amounts.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2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3. The Reporting Person received an award of restricted stock units on April 6, 2023, which will vest in equal quarterly installments over one year.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/s/ Aparna Bawa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09/06/2023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1"/>
        <w:spacing w:after="0" w:line="330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73301" TargetMode="External"/><Relationship Id="rId13" Type="http://schemas.openxmlformats.org/officeDocument/2006/relationships/hyperlink" Target="http://www.sec.gov/cgi-bin/browse-edgar?action=getcompany&amp;CIK=0001585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2023-09-06T17:46:27Z</dcterms:created>
  <dcterms:modified xsi:type="dcterms:W3CDTF">2023-09-06T17:46:27Z</dcterms:modified>
</cp:coreProperties>
</file>