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436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3623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03/10/2022</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600" w:type="dxa"/>
            <w:vAlign w:val="bottom"/>
          </w:tcPr>
          <w:p>
            <w:pPr>
              <w:jc w:val="right"/>
              <w:ind w:right="32"/>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2"/>
          </w:tcPr>
          <w:p>
            <w:pPr>
              <w:ind w:left="820"/>
              <w:spacing w:after="0"/>
              <w:rPr>
                <w:sz w:val="20"/>
                <w:szCs w:val="20"/>
                <w:color w:val="auto"/>
              </w:rPr>
            </w:pPr>
            <w:r>
              <w:rPr>
                <w:rFonts w:ascii="Arial" w:cs="Arial" w:eastAsia="Arial" w:hAnsi="Arial"/>
                <w:sz w:val="17"/>
                <w:szCs w:val="17"/>
                <w:color w:val="0000FF"/>
              </w:rPr>
              <w:t>03/10/2022</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19"/>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21,875</w:t>
            </w:r>
          </w:p>
        </w:tc>
        <w:tc>
          <w:tcPr>
            <w:tcW w:w="40" w:type="dxa"/>
            <w:vAlign w:val="bottom"/>
          </w:tcPr>
          <w:p>
            <w:pPr>
              <w:spacing w:after="0"/>
              <w:rPr>
                <w:sz w:val="22"/>
                <w:szCs w:val="22"/>
                <w:color w:val="auto"/>
              </w:rPr>
            </w:pPr>
          </w:p>
        </w:tc>
        <w:tc>
          <w:tcPr>
            <w:tcW w:w="600" w:type="dxa"/>
            <w:vAlign w:val="bottom"/>
          </w:tcPr>
          <w:p>
            <w:pPr>
              <w:jc w:val="right"/>
              <w:ind w:right="112"/>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67,602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03/10/2022</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10,132</w:t>
            </w:r>
            <w:r>
              <w:rPr>
                <w:rFonts w:ascii="Arial" w:cs="Arial" w:eastAsia="Arial" w:hAnsi="Arial"/>
                <w:sz w:val="21"/>
                <w:szCs w:val="21"/>
                <w:color w:val="008000"/>
                <w:vertAlign w:val="superscript"/>
              </w:rPr>
              <w:t>(1)</w:t>
            </w:r>
          </w:p>
        </w:tc>
        <w:tc>
          <w:tcPr>
            <w:tcW w:w="60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103.49</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57,470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37"/>
              <w:spacing w:after="0" w:line="129" w:lineRule="exact"/>
              <w:rPr>
                <w:sz w:val="20"/>
                <w:szCs w:val="20"/>
                <w:color w:val="auto"/>
              </w:rPr>
            </w:pPr>
            <w:r>
              <w:rPr>
                <w:rFonts w:ascii="Arial" w:cs="Arial" w:eastAsia="Arial" w:hAnsi="Arial"/>
                <w:sz w:val="12"/>
                <w:szCs w:val="12"/>
                <w:b w:val="1"/>
                <w:bCs w:val="1"/>
                <w:color w:val="auto"/>
                <w:w w:val="98"/>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(3)</w:t>
            </w:r>
          </w:p>
        </w:tc>
        <w:tc>
          <w:tcPr>
            <w:tcW w:w="4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21,875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03/10/2022</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Arial" w:cs="Arial" w:eastAsia="Arial" w:hAnsi="Arial"/>
                <w:sz w:val="13"/>
                <w:szCs w:val="13"/>
                <w:color w:val="0000FF"/>
              </w:rPr>
              <w:t>21,875</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right"/>
              <w:ind w:right="202"/>
              <w:spacing w:after="0" w:line="142" w:lineRule="exact"/>
              <w:rPr>
                <w:sz w:val="20"/>
                <w:szCs w:val="20"/>
                <w:color w:val="auto"/>
              </w:rPr>
            </w:pPr>
            <w:r>
              <w:rPr>
                <w:rFonts w:ascii="Arial" w:cs="Arial" w:eastAsia="Arial" w:hAnsi="Arial"/>
                <w:sz w:val="13"/>
                <w:szCs w:val="13"/>
                <w:color w:val="0000FF"/>
              </w:rPr>
              <w:t>131,250</w:t>
            </w: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(4)</w:t>
            </w:r>
          </w:p>
        </w:tc>
        <w:tc>
          <w:tcPr>
            <w:tcW w:w="4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92"/>
              <w:spacing w:after="0"/>
              <w:rPr>
                <w:sz w:val="20"/>
                <w:szCs w:val="20"/>
                <w:color w:val="auto"/>
              </w:rPr>
            </w:pPr>
            <w:r>
              <w:rPr>
                <w:rFonts w:ascii="Arial" w:cs="Arial" w:eastAsia="Arial" w:hAnsi="Arial"/>
                <w:sz w:val="17"/>
                <w:szCs w:val="17"/>
                <w:color w:val="0000FF"/>
              </w:rPr>
              <w:t>225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ind w:right="41"/>
              <w:spacing w:after="0" w:line="142" w:lineRule="exact"/>
              <w:rPr>
                <w:sz w:val="20"/>
                <w:szCs w:val="20"/>
                <w:color w:val="auto"/>
              </w:rPr>
            </w:pPr>
            <w:r>
              <w:rPr>
                <w:rFonts w:ascii="Arial" w:cs="Arial" w:eastAsia="Arial" w:hAnsi="Arial"/>
                <w:sz w:val="13"/>
                <w:szCs w:val="13"/>
                <w:color w:val="0000FF"/>
              </w:rPr>
              <w:t>225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40" w:right="72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September 10, 2020 and the remaining units will vest in equal quarterly installments thereafter, subject to theReporting Person's Continuous Service (as defined in the Issuer's 2019 Equity Incentive Plan) on each such vesting date. The restricted stock units are subject to accelerated vesting in the event of a termination of employment of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40" w:right="3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03/14/2022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2022-03-14T18:24:22Z</dcterms:created>
  <dcterms:modified xsi:type="dcterms:W3CDTF">2022-03-14T18:24:22Z</dcterms:modified>
</cp:coreProperties>
</file>