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732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3228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04/05/2023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4,860</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12,129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04/05/2023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1,753</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70.6598</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10,376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04/05/2023</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w w:val="92"/>
              </w:rPr>
              <w:t>690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w w:val="95"/>
              </w:rPr>
              <w:t>4,143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04/05/2023</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w w:val="92"/>
              </w:rPr>
              <w:t>186</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w w:val="95"/>
              </w:rPr>
              <w:t>1,116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3,984</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04/05/2023</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23,904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w w:val="91"/>
              </w:rPr>
              <w:t>25</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170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1,053</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w w:val="95"/>
              </w:rPr>
              <w:t>1,053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28,961</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28,961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-4233545</wp:posOffset>
            </wp:positionV>
            <wp:extent cx="29210" cy="423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42386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$70.6597 to $70.66.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50% of which will vest on March 9, 2023 and 50% on September 9, 2023.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40" w:right="1160" w:firstLine="3"/>
        <w:spacing w:after="0" w:line="258"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04/07/2023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2023-04-07T17:48:19Z</dcterms:created>
  <dcterms:modified xsi:type="dcterms:W3CDTF">2023-04-07T17:48:19Z</dcterms:modified>
</cp:coreProperties>
</file>