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157480</wp:posOffset>
            </wp:positionV>
            <wp:extent cx="1200150" cy="274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August 26, 2021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IA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E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Mitchell Austin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40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Zoom Video Communications,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S-4 (File No. 333-258815)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Austin: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This letter is sent on behalf of Zoom Video Communications, Inc. (the “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6"/>
          <w:szCs w:val="16"/>
          <w:color w:val="auto"/>
        </w:rPr>
        <w:t>”) in connection with the above-referenced Registration Statement on Form S-4 (the “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Registration Statement</w:t>
      </w:r>
      <w:r>
        <w:rPr>
          <w:rFonts w:ascii="Arial" w:cs="Arial" w:eastAsia="Arial" w:hAnsi="Arial"/>
          <w:sz w:val="16"/>
          <w:szCs w:val="16"/>
          <w:color w:val="auto"/>
        </w:rPr>
        <w:t>”) filed with the Securities and Exchange Commission (the “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Commission</w:t>
      </w:r>
      <w:r>
        <w:rPr>
          <w:rFonts w:ascii="Arial" w:cs="Arial" w:eastAsia="Arial" w:hAnsi="Arial"/>
          <w:sz w:val="16"/>
          <w:szCs w:val="16"/>
          <w:color w:val="auto"/>
        </w:rPr>
        <w:t>”) by the Company pursuant to the Securities Act of 1933, as amended (the “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Securities Act</w:t>
      </w:r>
      <w:r>
        <w:rPr>
          <w:rFonts w:ascii="Arial" w:cs="Arial" w:eastAsia="Arial" w:hAnsi="Arial"/>
          <w:sz w:val="16"/>
          <w:szCs w:val="16"/>
          <w:color w:val="auto"/>
        </w:rPr>
        <w:t>”). Pursuant to Rule 461 promulgated under the Securities Act, the Company hereby requests that the effective date of the Registration Statement be accelerated to 4:00 p.m., Eastern Time, on August 26, 2021, or as soon thereafter as practicable.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ind w:left="4" w:right="260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Please contact Jon Avina or Jamie Leigh, each of Cooley LLP, at (650) 843-5307 or (415) 693-2190, respectively, with any questions you may have concerning this request. In addition, please notify Mr. Avina or Ms. Leigh when the request for acceleration has been granted.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Z</w:t>
      </w:r>
      <w:r>
        <w:rPr>
          <w:rFonts w:ascii="Arial" w:cs="Arial" w:eastAsia="Arial" w:hAnsi="Arial"/>
          <w:sz w:val="14"/>
          <w:szCs w:val="14"/>
          <w:color w:val="auto"/>
        </w:rPr>
        <w:t>OOM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V</w:t>
      </w:r>
      <w:r>
        <w:rPr>
          <w:rFonts w:ascii="Arial" w:cs="Arial" w:eastAsia="Arial" w:hAnsi="Arial"/>
          <w:sz w:val="14"/>
          <w:szCs w:val="14"/>
          <w:color w:val="auto"/>
        </w:rPr>
        <w:t>IDEO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C</w:t>
      </w:r>
      <w:r>
        <w:rPr>
          <w:rFonts w:ascii="Arial" w:cs="Arial" w:eastAsia="Arial" w:hAnsi="Arial"/>
          <w:sz w:val="14"/>
          <w:szCs w:val="14"/>
          <w:color w:val="auto"/>
        </w:rPr>
        <w:t>OMMUNICATIONS</w:t>
      </w:r>
      <w:r>
        <w:rPr>
          <w:rFonts w:ascii="Arial" w:cs="Arial" w:eastAsia="Arial" w:hAnsi="Arial"/>
          <w:sz w:val="18"/>
          <w:szCs w:val="18"/>
          <w:color w:val="auto"/>
        </w:rPr>
        <w:t>, I</w:t>
      </w:r>
      <w:r>
        <w:rPr>
          <w:rFonts w:ascii="Arial" w:cs="Arial" w:eastAsia="Arial" w:hAnsi="Arial"/>
          <w:sz w:val="14"/>
          <w:szCs w:val="14"/>
          <w:color w:val="auto"/>
        </w:rPr>
        <w:t>NC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4"/>
        <w:spacing w:after="0"/>
        <w:tabs>
          <w:tab w:leader="none" w:pos="71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Jeff True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4534535</wp:posOffset>
            </wp:positionH>
            <wp:positionV relativeFrom="paragraph">
              <wp:posOffset>14605</wp:posOffset>
            </wp:positionV>
            <wp:extent cx="245999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Jeff True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24"/>
        <w:spacing w:after="0"/>
        <w:tabs>
          <w:tab w:leader="none" w:pos="71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General Counsel and Secretary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424" w:right="8600" w:hanging="424"/>
        <w:spacing w:after="0" w:line="291" w:lineRule="auto"/>
        <w:tabs>
          <w:tab w:leader="none" w:pos="424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Jon Avina, Cooley LLP Jamie Leigh, Cooley LLP</w:t>
      </w:r>
    </w:p>
    <w:p>
      <w:pPr>
        <w:ind w:left="424" w:right="7600"/>
        <w:spacing w:after="0" w:line="323" w:lineRule="auto"/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Tad Freese, Latham &amp; Watkins, LLP Mark Bekheit, Latham &amp; Watkins, LLP</w:t>
      </w:r>
    </w:p>
    <w:sectPr>
      <w:pgSz w:w="11900" w:h="16838" w:orient="portrait"/>
      <w:cols w:equalWidth="0" w:num="1">
        <w:col w:w="10884"/>
      </w:cols>
      <w:pgMar w:left="436" w:top="881" w:right="5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2021-09-24T23:06:37Z</dcterms:created>
  <dcterms:modified xsi:type="dcterms:W3CDTF">2021-09-24T23:06:37Z</dcterms:modified>
</cp:coreProperties>
</file>