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b w:val="1"/>
          <w:bCs w:val="1"/>
          <w:u w:val="single" w:color="auto"/>
          <w:color w:val="0000EE"/>
        </w:rPr>
      </w:pP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4"/>
          <w:szCs w:val="24"/>
          <w:color w:val="auto"/>
        </w:rPr>
      </w:pPr>
    </w:p>
    <w:p>
      <w:pPr>
        <w:jc w:val="center"/>
        <w:ind w:left="920" w:right="1560"/>
        <w:spacing w:after="0" w:line="225" w:lineRule="auto"/>
        <w:rPr>
          <w:sz w:val="20"/>
          <w:szCs w:val="20"/>
          <w:color w:val="auto"/>
        </w:rPr>
      </w:pPr>
      <w:r>
        <w:rPr>
          <w:rFonts w:ascii="Arial" w:cs="Arial" w:eastAsia="Arial" w:hAnsi="Arial"/>
          <w:sz w:val="15"/>
          <w:szCs w:val="15"/>
          <w:b w:val="1"/>
          <w:bCs w:val="1"/>
          <w:color w:val="auto"/>
        </w:rPr>
        <w:t>Confidential draft #3, as confidentially submitted to the Securities and Exchange Commission on March 7, 2019. This draft registration statement has not been publicly filed with the Securities and Exchange Commission and all information herein remains strictly confidential.</w:t>
      </w:r>
    </w:p>
    <w:p>
      <w:pPr>
        <w:spacing w:after="0" w:line="2" w:lineRule="exact"/>
        <w:rPr>
          <w:sz w:val="24"/>
          <w:szCs w:val="24"/>
          <w:color w:val="auto"/>
        </w:rPr>
      </w:pPr>
    </w:p>
    <w:p>
      <w:pPr>
        <w:ind w:left="98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wp:posOffset>
            </wp:positionH>
            <wp:positionV relativeFrom="paragraph">
              <wp:posOffset>45720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90805</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50"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5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240665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FORM S-1</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REGISTRATION STATEMENT</w:t>
      </w:r>
    </w:p>
    <w:p>
      <w:pPr>
        <w:jc w:val="center"/>
        <w:ind w:right="-159"/>
        <w:spacing w:after="0"/>
        <w:rPr>
          <w:sz w:val="20"/>
          <w:szCs w:val="20"/>
          <w:color w:val="auto"/>
        </w:rPr>
      </w:pPr>
      <w:r>
        <w:rPr>
          <w:rFonts w:ascii="Arial" w:cs="Arial" w:eastAsia="Arial" w:hAnsi="Arial"/>
          <w:sz w:val="19"/>
          <w:szCs w:val="19"/>
          <w:b w:val="1"/>
          <w:bCs w:val="1"/>
          <w:i w:val="1"/>
          <w:iCs w:val="1"/>
          <w:color w:val="auto"/>
        </w:rPr>
        <w:t>UNDER</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242570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ZOOM VIDEO COMMUNICATIONS,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239395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820"/>
          </w:cols>
          <w:pgMar w:left="120" w:top="94" w:right="30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Delaware</w:t>
      </w:r>
    </w:p>
    <w:p>
      <w:pPr>
        <w:ind w:left="1200"/>
        <w:spacing w:after="0" w:line="234" w:lineRule="auto"/>
        <w:rPr>
          <w:sz w:val="20"/>
          <w:szCs w:val="20"/>
          <w:color w:val="auto"/>
        </w:rPr>
      </w:pPr>
      <w:r>
        <w:rPr>
          <w:rFonts w:ascii="Arial" w:cs="Arial" w:eastAsia="Arial" w:hAnsi="Arial"/>
          <w:sz w:val="14"/>
          <w:szCs w:val="14"/>
          <w:b w:val="1"/>
          <w:bCs w:val="1"/>
          <w:color w:val="auto"/>
        </w:rPr>
        <w:t>(State or other jurisdiction of</w:t>
      </w:r>
    </w:p>
    <w:p>
      <w:pPr>
        <w:ind w:left="1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400"/>
        <w:spacing w:after="0"/>
        <w:rPr>
          <w:sz w:val="20"/>
          <w:szCs w:val="20"/>
          <w:color w:val="auto"/>
        </w:rPr>
      </w:pPr>
      <w:r>
        <w:rPr>
          <w:rFonts w:ascii="Arial" w:cs="Arial" w:eastAsia="Arial" w:hAnsi="Arial"/>
          <w:sz w:val="15"/>
          <w:szCs w:val="15"/>
          <w:b w:val="1"/>
          <w:bCs w:val="1"/>
          <w:color w:val="auto"/>
        </w:rPr>
        <w:t>7370</w:t>
      </w:r>
    </w:p>
    <w:p>
      <w:pPr>
        <w:jc w:val="center"/>
        <w:ind w:right="1400"/>
        <w:spacing w:after="0" w:line="234" w:lineRule="auto"/>
        <w:rPr>
          <w:sz w:val="20"/>
          <w:szCs w:val="20"/>
          <w:color w:val="auto"/>
        </w:rPr>
      </w:pPr>
      <w:r>
        <w:rPr>
          <w:rFonts w:ascii="Arial" w:cs="Arial" w:eastAsia="Arial" w:hAnsi="Arial"/>
          <w:sz w:val="14"/>
          <w:szCs w:val="14"/>
          <w:b w:val="1"/>
          <w:bCs w:val="1"/>
          <w:color w:val="auto"/>
        </w:rPr>
        <w:t>(Primary Standard Industrial</w:t>
      </w:r>
    </w:p>
    <w:p>
      <w:pPr>
        <w:jc w:val="center"/>
        <w:ind w:right="1400"/>
        <w:spacing w:after="0"/>
        <w:rPr>
          <w:sz w:val="20"/>
          <w:szCs w:val="20"/>
          <w:color w:val="auto"/>
        </w:rPr>
      </w:pPr>
      <w:r>
        <w:rPr>
          <w:rFonts w:ascii="Arial" w:cs="Arial" w:eastAsia="Arial" w:hAnsi="Arial"/>
          <w:sz w:val="14"/>
          <w:szCs w:val="14"/>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61-1648780</w:t>
      </w:r>
    </w:p>
    <w:p>
      <w:pPr>
        <w:jc w:val="center"/>
        <w:ind w:right="1120"/>
        <w:spacing w:after="0" w:line="218" w:lineRule="auto"/>
        <w:rPr>
          <w:sz w:val="20"/>
          <w:szCs w:val="20"/>
          <w:color w:val="auto"/>
        </w:rPr>
      </w:pPr>
      <w:r>
        <w:rPr>
          <w:rFonts w:ascii="Arial" w:cs="Arial" w:eastAsia="Arial" w:hAnsi="Arial"/>
          <w:sz w:val="15"/>
          <w:szCs w:val="15"/>
          <w:b w:val="1"/>
          <w:bCs w:val="1"/>
          <w:color w:val="auto"/>
        </w:rPr>
        <w:t>(I.R.S. Employer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Identification Number)</w:t>
      </w:r>
    </w:p>
    <w:p>
      <w:pPr>
        <w:spacing w:after="0" w:line="200" w:lineRule="exact"/>
        <w:rPr>
          <w:sz w:val="24"/>
          <w:szCs w:val="24"/>
          <w:color w:val="auto"/>
        </w:rPr>
      </w:pPr>
    </w:p>
    <w:p>
      <w:pPr>
        <w:sectPr>
          <w:pgSz w:w="12240" w:h="15840" w:orient="portrait"/>
          <w:cols w:equalWidth="0" w:num="3">
            <w:col w:w="4440" w:space="720"/>
            <w:col w:w="3320" w:space="720"/>
            <w:col w:w="2620"/>
          </w:cols>
          <w:pgMar w:left="120" w:top="94" w:right="300" w:bottom="0" w:gutter="0" w:footer="0" w:header="0"/>
          <w:type w:val="continuous"/>
        </w:sectPr>
      </w:pPr>
    </w:p>
    <w:p>
      <w:pPr>
        <w:spacing w:after="0" w:line="22"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1"/>
          <w:szCs w:val="11"/>
          <w:b w:val="1"/>
          <w:bCs w:val="1"/>
          <w:color w:val="auto"/>
        </w:rPr>
        <w:t>th</w:t>
      </w:r>
      <w:r>
        <w:rPr>
          <w:rFonts w:ascii="Arial" w:cs="Arial" w:eastAsia="Arial" w:hAnsi="Arial"/>
          <w:sz w:val="14"/>
          <w:szCs w:val="14"/>
          <w:b w:val="1"/>
          <w:bCs w:val="1"/>
          <w:color w:val="auto"/>
        </w:rPr>
        <w:t xml:space="preserve"> Floor</w:t>
      </w:r>
    </w:p>
    <w:p>
      <w:pPr>
        <w:ind w:left="5140"/>
        <w:spacing w:after="0" w:line="234" w:lineRule="auto"/>
        <w:rPr>
          <w:sz w:val="20"/>
          <w:szCs w:val="20"/>
          <w:color w:val="auto"/>
        </w:rPr>
      </w:pPr>
      <w:r>
        <w:rPr>
          <w:rFonts w:ascii="Arial" w:cs="Arial" w:eastAsia="Arial" w:hAnsi="Arial"/>
          <w:sz w:val="15"/>
          <w:szCs w:val="15"/>
          <w:b w:val="1"/>
          <w:bCs w:val="1"/>
          <w:color w:val="auto"/>
        </w:rPr>
        <w:t>San Jose, California 95113</w:t>
      </w:r>
    </w:p>
    <w:p>
      <w:pPr>
        <w:spacing w:after="0" w:line="1" w:lineRule="exact"/>
        <w:rPr>
          <w:sz w:val="24"/>
          <w:szCs w:val="24"/>
          <w:color w:val="auto"/>
        </w:rPr>
      </w:pPr>
    </w:p>
    <w:p>
      <w:pPr>
        <w:ind w:left="5520"/>
        <w:spacing w:after="0"/>
        <w:rPr>
          <w:sz w:val="20"/>
          <w:szCs w:val="20"/>
          <w:color w:val="auto"/>
        </w:rPr>
      </w:pPr>
      <w:r>
        <w:rPr>
          <w:rFonts w:ascii="Arial" w:cs="Arial" w:eastAsia="Arial" w:hAnsi="Arial"/>
          <w:sz w:val="15"/>
          <w:szCs w:val="15"/>
          <w:b w:val="1"/>
          <w:bCs w:val="1"/>
          <w:color w:val="auto"/>
        </w:rPr>
        <w:t>(888) 799-9666</w:t>
      </w:r>
    </w:p>
    <w:p>
      <w:pPr>
        <w:sectPr>
          <w:pgSz w:w="12240" w:h="15840" w:orient="portrait"/>
          <w:cols w:equalWidth="0" w:num="1">
            <w:col w:w="11820"/>
          </w:cols>
          <w:pgMar w:left="120" w:top="94" w:right="300" w:bottom="0" w:gutter="0" w:footer="0" w:header="0"/>
          <w:type w:val="continuous"/>
        </w:sectPr>
      </w:pPr>
    </w:p>
    <w:p>
      <w:pPr>
        <w:jc w:val="center"/>
        <w:ind w:right="-179"/>
        <w:spacing w:after="0" w:line="227" w:lineRule="auto"/>
        <w:rPr>
          <w:sz w:val="20"/>
          <w:szCs w:val="20"/>
          <w:color w:val="auto"/>
        </w:rPr>
      </w:pPr>
      <w:r>
        <w:rPr>
          <w:rFonts w:ascii="Arial" w:cs="Arial" w:eastAsia="Arial" w:hAnsi="Arial"/>
          <w:sz w:val="15"/>
          <w:szCs w:val="15"/>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234950</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Eric S. Yuan</w:t>
      </w:r>
    </w:p>
    <w:p>
      <w:pPr>
        <w:jc w:val="center"/>
        <w:ind w:right="-179"/>
        <w:spacing w:after="0" w:line="218"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79"/>
        <w:spacing w:after="0" w:line="219" w:lineRule="auto"/>
        <w:rPr>
          <w:sz w:val="20"/>
          <w:szCs w:val="20"/>
          <w:color w:val="auto"/>
        </w:rPr>
      </w:pPr>
      <w:r>
        <w:rPr>
          <w:rFonts w:ascii="Arial" w:cs="Arial" w:eastAsia="Arial" w:hAnsi="Arial"/>
          <w:sz w:val="15"/>
          <w:szCs w:val="15"/>
          <w:b w:val="1"/>
          <w:bCs w:val="1"/>
          <w:color w:val="auto"/>
        </w:rPr>
        <w:t>Zoom Video Communications, Inc.</w:t>
      </w:r>
    </w:p>
    <w:p>
      <w:pPr>
        <w:jc w:val="center"/>
        <w:ind w:right="-179"/>
        <w:spacing w:after="0" w:line="218" w:lineRule="auto"/>
        <w:rPr>
          <w:sz w:val="20"/>
          <w:szCs w:val="20"/>
          <w:color w:val="auto"/>
        </w:rPr>
      </w:pPr>
      <w:r>
        <w:rPr>
          <w:rFonts w:ascii="Arial" w:cs="Arial" w:eastAsia="Arial" w:hAnsi="Arial"/>
          <w:sz w:val="15"/>
          <w:szCs w:val="15"/>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jc w:val="center"/>
        <w:ind w:right="-179"/>
        <w:spacing w:after="0" w:line="218" w:lineRule="auto"/>
        <w:rPr>
          <w:sz w:val="20"/>
          <w:szCs w:val="20"/>
          <w:color w:val="auto"/>
        </w:rPr>
      </w:pPr>
      <w:r>
        <w:rPr>
          <w:rFonts w:ascii="Arial" w:cs="Arial" w:eastAsia="Arial" w:hAnsi="Arial"/>
          <w:sz w:val="15"/>
          <w:szCs w:val="15"/>
          <w:b w:val="1"/>
          <w:bCs w:val="1"/>
          <w:color w:val="auto"/>
        </w:rPr>
        <w:t>San Jose, California 95113</w:t>
      </w:r>
    </w:p>
    <w:p>
      <w:pPr>
        <w:jc w:val="center"/>
        <w:ind w:right="-179"/>
        <w:spacing w:after="0" w:line="218" w:lineRule="auto"/>
        <w:rPr>
          <w:sz w:val="20"/>
          <w:szCs w:val="20"/>
          <w:color w:val="auto"/>
        </w:rPr>
      </w:pPr>
      <w:r>
        <w:rPr>
          <w:rFonts w:ascii="Arial" w:cs="Arial" w:eastAsia="Arial" w:hAnsi="Arial"/>
          <w:sz w:val="15"/>
          <w:szCs w:val="15"/>
          <w:b w:val="1"/>
          <w:bCs w:val="1"/>
          <w:color w:val="auto"/>
        </w:rPr>
        <w:t>(888) 799-9666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229870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1280" w:type="dxa"/>
        <w:tblCellMar>
          <w:top w:w="0" w:type="dxa"/>
          <w:left w:w="0" w:type="dxa"/>
          <w:bottom w:w="0" w:type="dxa"/>
          <w:right w:w="0" w:type="dxa"/>
        </w:tblCellMar>
      </w:tblPr>
      <w:tr>
        <w:trPr>
          <w:trHeight w:val="191"/>
        </w:trPr>
        <w:tc>
          <w:tcPr>
            <w:tcW w:w="2760" w:type="dxa"/>
            <w:vAlign w:val="bottom"/>
          </w:tcPr>
          <w:p>
            <w:pPr>
              <w:spacing w:after="0"/>
              <w:rPr>
                <w:sz w:val="16"/>
                <w:szCs w:val="16"/>
                <w:color w:val="auto"/>
              </w:rPr>
            </w:pPr>
          </w:p>
        </w:tc>
        <w:tc>
          <w:tcPr>
            <w:tcW w:w="3900" w:type="dxa"/>
            <w:vAlign w:val="bottom"/>
          </w:tcPr>
          <w:p>
            <w:pPr>
              <w:ind w:left="1640"/>
              <w:spacing w:after="0"/>
              <w:rPr>
                <w:sz w:val="20"/>
                <w:szCs w:val="20"/>
                <w:color w:val="auto"/>
              </w:rPr>
            </w:pPr>
            <w:r>
              <w:rPr>
                <w:rFonts w:ascii="Arial" w:cs="Arial" w:eastAsia="Arial" w:hAnsi="Arial"/>
                <w:sz w:val="15"/>
                <w:szCs w:val="15"/>
                <w:b w:val="1"/>
                <w:bCs w:val="1"/>
                <w:i w:val="1"/>
                <w:iCs w:val="1"/>
                <w:color w:val="auto"/>
              </w:rPr>
              <w:t>Copies to:</w:t>
            </w:r>
          </w:p>
        </w:tc>
        <w:tc>
          <w:tcPr>
            <w:tcW w:w="3300" w:type="dxa"/>
            <w:vAlign w:val="bottom"/>
          </w:tcPr>
          <w:p>
            <w:pPr>
              <w:spacing w:after="0"/>
              <w:rPr>
                <w:sz w:val="16"/>
                <w:szCs w:val="16"/>
                <w:color w:val="auto"/>
              </w:rPr>
            </w:pPr>
          </w:p>
        </w:tc>
      </w:tr>
      <w:tr>
        <w:trPr>
          <w:trHeight w:val="375"/>
        </w:trPr>
        <w:tc>
          <w:tcPr>
            <w:tcW w:w="2760" w:type="dxa"/>
            <w:vAlign w:val="bottom"/>
          </w:tcPr>
          <w:p>
            <w:pPr>
              <w:jc w:val="center"/>
              <w:ind w:right="924"/>
              <w:spacing w:after="0"/>
              <w:rPr>
                <w:sz w:val="20"/>
                <w:szCs w:val="20"/>
                <w:color w:val="auto"/>
              </w:rPr>
            </w:pPr>
            <w:r>
              <w:rPr>
                <w:rFonts w:ascii="Arial" w:cs="Arial" w:eastAsia="Arial" w:hAnsi="Arial"/>
                <w:sz w:val="15"/>
                <w:szCs w:val="15"/>
                <w:b w:val="1"/>
                <w:bCs w:val="1"/>
                <w:color w:val="auto"/>
                <w:w w:val="92"/>
              </w:rPr>
              <w:t>Jon C. Avina</w:t>
            </w:r>
          </w:p>
        </w:tc>
        <w:tc>
          <w:tcPr>
            <w:tcW w:w="3900" w:type="dxa"/>
            <w:vAlign w:val="bottom"/>
          </w:tcPr>
          <w:p>
            <w:pPr>
              <w:jc w:val="center"/>
              <w:ind w:left="164"/>
              <w:spacing w:after="0"/>
              <w:rPr>
                <w:sz w:val="20"/>
                <w:szCs w:val="20"/>
                <w:color w:val="auto"/>
              </w:rPr>
            </w:pPr>
            <w:r>
              <w:rPr>
                <w:rFonts w:ascii="Arial" w:cs="Arial" w:eastAsia="Arial" w:hAnsi="Arial"/>
                <w:sz w:val="15"/>
                <w:szCs w:val="15"/>
                <w:b w:val="1"/>
                <w:bCs w:val="1"/>
                <w:color w:val="auto"/>
                <w:w w:val="94"/>
              </w:rPr>
              <w:t>Aparna Bawa</w:t>
            </w:r>
          </w:p>
        </w:tc>
        <w:tc>
          <w:tcPr>
            <w:tcW w:w="3300" w:type="dxa"/>
            <w:vAlign w:val="bottom"/>
          </w:tcPr>
          <w:p>
            <w:pPr>
              <w:jc w:val="center"/>
              <w:ind w:left="644"/>
              <w:spacing w:after="0"/>
              <w:rPr>
                <w:sz w:val="20"/>
                <w:szCs w:val="20"/>
                <w:color w:val="auto"/>
              </w:rPr>
            </w:pPr>
            <w:r>
              <w:rPr>
                <w:rFonts w:ascii="Arial" w:cs="Arial" w:eastAsia="Arial" w:hAnsi="Arial"/>
                <w:sz w:val="15"/>
                <w:szCs w:val="15"/>
                <w:b w:val="1"/>
                <w:bCs w:val="1"/>
                <w:color w:val="auto"/>
                <w:w w:val="91"/>
              </w:rPr>
              <w:t>Allison B. Spinner</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89"/>
              </w:rPr>
              <w:t>Calise Y. Cheng</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0"/>
              </w:rPr>
              <w:t>General Counsel</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1"/>
              </w:rPr>
              <w:t>Shannon R. Delahaye</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7"/>
              </w:rPr>
              <w:t>Bradley M. Libuit</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3"/>
              </w:rPr>
              <w:t>55 Almaden Boulevard, 6</w:t>
            </w:r>
            <w:r>
              <w:rPr>
                <w:rFonts w:ascii="Arial" w:cs="Arial" w:eastAsia="Arial" w:hAnsi="Arial"/>
                <w:sz w:val="12"/>
                <w:szCs w:val="12"/>
                <w:b w:val="1"/>
                <w:bCs w:val="1"/>
                <w:color w:val="auto"/>
                <w:w w:val="93"/>
              </w:rPr>
              <w:t>th</w:t>
            </w:r>
            <w:r>
              <w:rPr>
                <w:rFonts w:ascii="Arial" w:cs="Arial" w:eastAsia="Arial" w:hAnsi="Arial"/>
                <w:sz w:val="15"/>
                <w:szCs w:val="15"/>
                <w:b w:val="1"/>
                <w:bCs w:val="1"/>
                <w:color w:val="auto"/>
                <w:w w:val="93"/>
              </w:rPr>
              <w:t xml:space="preserve"> Floor</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0"/>
              </w:rPr>
              <w:t>Catherine D. Doxsee</w:t>
            </w:r>
          </w:p>
        </w:tc>
      </w:tr>
      <w:tr>
        <w:trPr>
          <w:trHeight w:val="157"/>
        </w:trPr>
        <w:tc>
          <w:tcPr>
            <w:tcW w:w="276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2"/>
              </w:rPr>
              <w:t>Alex K. Kassai</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0"/>
              </w:rPr>
              <w:t>San Jose, California 95113</w:t>
            </w:r>
          </w:p>
        </w:tc>
        <w:tc>
          <w:tcPr>
            <w:tcW w:w="3300" w:type="dxa"/>
            <w:vAlign w:val="bottom"/>
          </w:tcPr>
          <w:p>
            <w:pPr>
              <w:jc w:val="center"/>
              <w:ind w:left="644"/>
              <w:spacing w:after="0" w:line="157" w:lineRule="exact"/>
              <w:rPr>
                <w:sz w:val="20"/>
                <w:szCs w:val="20"/>
                <w:color w:val="auto"/>
              </w:rPr>
            </w:pPr>
            <w:r>
              <w:rPr>
                <w:rFonts w:ascii="Arial" w:cs="Arial" w:eastAsia="Arial" w:hAnsi="Arial"/>
                <w:sz w:val="15"/>
                <w:szCs w:val="15"/>
                <w:b w:val="1"/>
                <w:bCs w:val="1"/>
                <w:color w:val="auto"/>
                <w:w w:val="91"/>
              </w:rPr>
              <w:t>Wilson Sonsini Goodrich &amp; Rosati, P.C.</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4"/>
              </w:rPr>
              <w:t>Cooley LLP</w:t>
            </w:r>
          </w:p>
        </w:tc>
        <w:tc>
          <w:tcPr>
            <w:tcW w:w="3900" w:type="dxa"/>
            <w:vAlign w:val="bottom"/>
          </w:tcPr>
          <w:p>
            <w:pPr>
              <w:jc w:val="center"/>
              <w:ind w:left="184"/>
              <w:spacing w:after="0" w:line="157" w:lineRule="exact"/>
              <w:rPr>
                <w:sz w:val="20"/>
                <w:szCs w:val="20"/>
                <w:color w:val="auto"/>
              </w:rPr>
            </w:pPr>
            <w:r>
              <w:rPr>
                <w:rFonts w:ascii="Arial" w:cs="Arial" w:eastAsia="Arial" w:hAnsi="Arial"/>
                <w:sz w:val="15"/>
                <w:szCs w:val="15"/>
                <w:b w:val="1"/>
                <w:bCs w:val="1"/>
                <w:color w:val="auto"/>
                <w:w w:val="93"/>
              </w:rPr>
              <w:t>(888) 799-9666</w:t>
            </w: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4"/>
              </w:rPr>
              <w:t>650 Page Mill Road</w:t>
            </w:r>
          </w:p>
        </w:tc>
      </w:tr>
      <w:tr>
        <w:trPr>
          <w:trHeight w:val="157"/>
        </w:trPr>
        <w:tc>
          <w:tcPr>
            <w:tcW w:w="2760" w:type="dxa"/>
            <w:vAlign w:val="bottom"/>
          </w:tcPr>
          <w:p>
            <w:pPr>
              <w:jc w:val="center"/>
              <w:ind w:right="944"/>
              <w:spacing w:after="0" w:line="157" w:lineRule="exact"/>
              <w:rPr>
                <w:sz w:val="20"/>
                <w:szCs w:val="20"/>
                <w:color w:val="auto"/>
              </w:rPr>
            </w:pPr>
            <w:r>
              <w:rPr>
                <w:rFonts w:ascii="Arial" w:cs="Arial" w:eastAsia="Arial" w:hAnsi="Arial"/>
                <w:sz w:val="15"/>
                <w:szCs w:val="15"/>
                <w:b w:val="1"/>
                <w:bCs w:val="1"/>
                <w:color w:val="auto"/>
                <w:w w:val="92"/>
              </w:rPr>
              <w:t>3175 Hanover Street</w:t>
            </w:r>
          </w:p>
        </w:tc>
        <w:tc>
          <w:tcPr>
            <w:tcW w:w="3900" w:type="dxa"/>
            <w:vAlign w:val="bottom"/>
          </w:tcPr>
          <w:p>
            <w:pPr>
              <w:spacing w:after="0"/>
              <w:rPr>
                <w:sz w:val="13"/>
                <w:szCs w:val="13"/>
                <w:color w:val="auto"/>
              </w:rPr>
            </w:pP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3"/>
              </w:rPr>
              <w:t>Palo Alto, California 94304</w:t>
            </w:r>
          </w:p>
        </w:tc>
      </w:tr>
      <w:tr>
        <w:trPr>
          <w:trHeight w:val="157"/>
        </w:trPr>
        <w:tc>
          <w:tcPr>
            <w:tcW w:w="2760" w:type="dxa"/>
            <w:vAlign w:val="bottom"/>
          </w:tcPr>
          <w:p>
            <w:pPr>
              <w:jc w:val="center"/>
              <w:ind w:right="924"/>
              <w:spacing w:after="0" w:line="157" w:lineRule="exact"/>
              <w:rPr>
                <w:sz w:val="20"/>
                <w:szCs w:val="20"/>
                <w:color w:val="auto"/>
              </w:rPr>
            </w:pPr>
            <w:r>
              <w:rPr>
                <w:rFonts w:ascii="Arial" w:cs="Arial" w:eastAsia="Arial" w:hAnsi="Arial"/>
                <w:sz w:val="15"/>
                <w:szCs w:val="15"/>
                <w:b w:val="1"/>
                <w:bCs w:val="1"/>
                <w:color w:val="auto"/>
                <w:w w:val="93"/>
              </w:rPr>
              <w:t>Palo Alto, California 94304</w:t>
            </w:r>
          </w:p>
        </w:tc>
        <w:tc>
          <w:tcPr>
            <w:tcW w:w="3900" w:type="dxa"/>
            <w:vAlign w:val="bottom"/>
          </w:tcPr>
          <w:p>
            <w:pPr>
              <w:spacing w:after="0"/>
              <w:rPr>
                <w:sz w:val="13"/>
                <w:szCs w:val="13"/>
                <w:color w:val="auto"/>
              </w:rPr>
            </w:pPr>
          </w:p>
        </w:tc>
        <w:tc>
          <w:tcPr>
            <w:tcW w:w="3300" w:type="dxa"/>
            <w:vAlign w:val="bottom"/>
          </w:tcPr>
          <w:p>
            <w:pPr>
              <w:jc w:val="center"/>
              <w:ind w:left="664"/>
              <w:spacing w:after="0" w:line="157" w:lineRule="exact"/>
              <w:rPr>
                <w:sz w:val="20"/>
                <w:szCs w:val="20"/>
                <w:color w:val="auto"/>
              </w:rPr>
            </w:pPr>
            <w:r>
              <w:rPr>
                <w:rFonts w:ascii="Arial" w:cs="Arial" w:eastAsia="Arial" w:hAnsi="Arial"/>
                <w:sz w:val="15"/>
                <w:szCs w:val="15"/>
                <w:b w:val="1"/>
                <w:bCs w:val="1"/>
                <w:color w:val="auto"/>
                <w:w w:val="93"/>
              </w:rPr>
              <w:t>(650) 493-9300</w:t>
            </w:r>
          </w:p>
        </w:tc>
      </w:tr>
      <w:tr>
        <w:trPr>
          <w:trHeight w:val="195"/>
        </w:trPr>
        <w:tc>
          <w:tcPr>
            <w:tcW w:w="2760" w:type="dxa"/>
            <w:vAlign w:val="bottom"/>
          </w:tcPr>
          <w:p>
            <w:pPr>
              <w:jc w:val="center"/>
              <w:ind w:right="944"/>
              <w:spacing w:after="0"/>
              <w:rPr>
                <w:sz w:val="20"/>
                <w:szCs w:val="20"/>
                <w:color w:val="auto"/>
              </w:rPr>
            </w:pPr>
            <w:r>
              <w:rPr>
                <w:rFonts w:ascii="Arial" w:cs="Arial" w:eastAsia="Arial" w:hAnsi="Arial"/>
                <w:sz w:val="15"/>
                <w:szCs w:val="15"/>
                <w:b w:val="1"/>
                <w:bCs w:val="1"/>
                <w:color w:val="auto"/>
                <w:w w:val="91"/>
              </w:rPr>
              <w:t>(650) 843-5000</w:t>
            </w:r>
          </w:p>
        </w:tc>
        <w:tc>
          <w:tcPr>
            <w:tcW w:w="3900" w:type="dxa"/>
            <w:vAlign w:val="bottom"/>
          </w:tcPr>
          <w:p>
            <w:pPr>
              <w:spacing w:after="0"/>
              <w:rPr>
                <w:sz w:val="16"/>
                <w:szCs w:val="16"/>
                <w:color w:val="auto"/>
              </w:rPr>
            </w:pPr>
          </w:p>
        </w:tc>
        <w:tc>
          <w:tcPr>
            <w:tcW w:w="3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234950</wp:posOffset>
            </wp:positionV>
            <wp:extent cx="155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217" w:lineRule="exact"/>
        <w:rPr>
          <w:sz w:val="24"/>
          <w:szCs w:val="24"/>
          <w:color w:val="auto"/>
        </w:rPr>
      </w:pPr>
    </w:p>
    <w:p>
      <w:pPr>
        <w:ind w:left="180" w:right="480" w:firstLine="349"/>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91" w:lineRule="exact"/>
        <w:rPr>
          <w:sz w:val="24"/>
          <w:szCs w:val="24"/>
          <w:color w:val="auto"/>
        </w:rPr>
      </w:pPr>
    </w:p>
    <w:p>
      <w:pPr>
        <w:ind w:left="180" w:right="440" w:firstLine="349"/>
        <w:spacing w:after="0" w:line="190"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1" w:lineRule="exact"/>
        <w:rPr>
          <w:sz w:val="24"/>
          <w:szCs w:val="24"/>
          <w:color w:val="auto"/>
        </w:rPr>
      </w:pPr>
    </w:p>
    <w:p>
      <w:pPr>
        <w:ind w:left="180" w:right="60" w:firstLine="349"/>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1" w:lineRule="exact"/>
        <w:rPr>
          <w:sz w:val="24"/>
          <w:szCs w:val="24"/>
          <w:color w:val="auto"/>
        </w:rPr>
      </w:pPr>
    </w:p>
    <w:p>
      <w:pPr>
        <w:ind w:left="180" w:right="40" w:firstLine="349"/>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1" w:lineRule="exact"/>
        <w:rPr>
          <w:sz w:val="24"/>
          <w:szCs w:val="24"/>
          <w:color w:val="auto"/>
        </w:rPr>
      </w:pPr>
    </w:p>
    <w:p>
      <w:pPr>
        <w:ind w:left="180" w:right="140" w:firstLine="349"/>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8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r>
              <w:rPr>
                <w:rFonts w:ascii="Arial" w:cs="Arial" w:eastAsia="Arial" w:hAnsi="Arial"/>
                <w:sz w:val="15"/>
                <w:szCs w:val="15"/>
                <w:color w:val="auto"/>
                <w:w w:val="99"/>
              </w:rPr>
              <w:t>Large accelerated filer</w:t>
            </w:r>
          </w:p>
        </w:tc>
        <w:tc>
          <w:tcPr>
            <w:tcW w:w="41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5700" w:type="dxa"/>
            <w:vAlign w:val="bottom"/>
          </w:tcPr>
          <w:p>
            <w:pPr>
              <w:ind w:left="388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2"/>
        </w:trPr>
        <w:tc>
          <w:tcPr>
            <w:tcW w:w="1500" w:type="dxa"/>
            <w:vAlign w:val="bottom"/>
          </w:tcPr>
          <w:p>
            <w:pPr>
              <w:spacing w:after="0"/>
              <w:rPr>
                <w:sz w:val="20"/>
                <w:szCs w:val="20"/>
                <w:color w:val="auto"/>
              </w:rPr>
            </w:pPr>
            <w:r>
              <w:rPr>
                <w:rFonts w:ascii="Arial" w:cs="Arial" w:eastAsia="Arial" w:hAnsi="Arial"/>
                <w:sz w:val="15"/>
                <w:szCs w:val="15"/>
                <w:color w:val="auto"/>
              </w:rPr>
              <w:t>Non-accelerated filer</w:t>
            </w:r>
          </w:p>
        </w:tc>
        <w:tc>
          <w:tcPr>
            <w:tcW w:w="41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5700" w:type="dxa"/>
            <w:vAlign w:val="bottom"/>
          </w:tcPr>
          <w:p>
            <w:pPr>
              <w:ind w:left="388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2"/>
        </w:trPr>
        <w:tc>
          <w:tcPr>
            <w:tcW w:w="15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5700" w:type="dxa"/>
            <w:vAlign w:val="bottom"/>
          </w:tcPr>
          <w:p>
            <w:pPr>
              <w:ind w:left="3880"/>
              <w:spacing w:after="0"/>
              <w:rPr>
                <w:sz w:val="20"/>
                <w:szCs w:val="20"/>
                <w:color w:val="auto"/>
              </w:rPr>
            </w:pPr>
            <w:r>
              <w:rPr>
                <w:rFonts w:ascii="Arial" w:cs="Arial" w:eastAsia="Arial" w:hAnsi="Arial"/>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ectPr>
          <w:pgSz w:w="12240" w:h="15840" w:orient="portrait"/>
          <w:cols w:equalWidth="0" w:num="1">
            <w:col w:w="11820"/>
          </w:cols>
          <w:pgMar w:left="120" w:top="94" w:right="300" w:bottom="0" w:gutter="0" w:footer="0" w:header="0"/>
          <w:type w:val="continuous"/>
        </w:sectPr>
      </w:pPr>
    </w:p>
    <w:bookmarkStart w:id="1" w:name="page2"/>
    <w:bookmarkEnd w:id="1"/>
    <w:p>
      <w:pPr>
        <w:ind w:left="1" w:right="20" w:firstLine="349"/>
        <w:spacing w:after="0" w:line="18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223520</wp:posOffset>
            </wp:positionV>
            <wp:extent cx="155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73" w:lineRule="exact"/>
        <w:rPr>
          <w:sz w:val="20"/>
          <w:szCs w:val="20"/>
          <w:color w:val="auto"/>
        </w:rPr>
      </w:pPr>
    </w:p>
    <w:tbl>
      <w:tblPr>
        <w:tblLayout w:type="fixed"/>
        <w:tblInd w:w="1"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1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17"/>
        </w:trPr>
        <w:tc>
          <w:tcPr>
            <w:tcW w:w="20" w:type="dxa"/>
            <w:vAlign w:val="bottom"/>
          </w:tcPr>
          <w:p>
            <w:pPr>
              <w:spacing w:after="0"/>
              <w:rPr>
                <w:sz w:val="10"/>
                <w:szCs w:val="10"/>
                <w:color w:val="auto"/>
              </w:rPr>
            </w:pPr>
          </w:p>
        </w:tc>
        <w:tc>
          <w:tcPr>
            <w:tcW w:w="816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rPr>
              <w:t>Proposed Maximum</w:t>
            </w:r>
          </w:p>
        </w:tc>
        <w:tc>
          <w:tcPr>
            <w:tcW w:w="172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81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b w:val="1"/>
                <w:bCs w:val="1"/>
                <w:color w:val="auto"/>
                <w:w w:val="90"/>
              </w:rPr>
              <w:t>Title of Each Class of</w:t>
            </w:r>
          </w:p>
        </w:tc>
        <w:tc>
          <w:tcPr>
            <w:tcW w:w="1740" w:type="dxa"/>
            <w:vAlign w:val="bottom"/>
            <w:tcBorders>
              <w:right w:val="single" w:sz="8" w:color="auto"/>
            </w:tcBorders>
          </w:tcPr>
          <w:p>
            <w:pPr>
              <w:jc w:val="center"/>
              <w:ind w:left="7"/>
              <w:spacing w:after="0" w:line="157" w:lineRule="exact"/>
              <w:rPr>
                <w:sz w:val="20"/>
                <w:szCs w:val="20"/>
                <w:color w:val="auto"/>
              </w:rPr>
            </w:pPr>
            <w:r>
              <w:rPr>
                <w:rFonts w:ascii="Arial" w:cs="Arial" w:eastAsia="Arial" w:hAnsi="Arial"/>
                <w:sz w:val="15"/>
                <w:szCs w:val="15"/>
                <w:b w:val="1"/>
                <w:bCs w:val="1"/>
                <w:color w:val="auto"/>
                <w:w w:val="92"/>
              </w:rPr>
              <w:t>Aggregate Offering</w:t>
            </w:r>
          </w:p>
        </w:tc>
        <w:tc>
          <w:tcPr>
            <w:tcW w:w="1720" w:type="dxa"/>
            <w:vAlign w:val="bottom"/>
          </w:tcPr>
          <w:p>
            <w:pPr>
              <w:jc w:val="center"/>
              <w:ind w:left="24"/>
              <w:spacing w:after="0" w:line="157" w:lineRule="exact"/>
              <w:rPr>
                <w:sz w:val="20"/>
                <w:szCs w:val="20"/>
                <w:color w:val="auto"/>
              </w:rPr>
            </w:pPr>
            <w:r>
              <w:rPr>
                <w:rFonts w:ascii="Arial" w:cs="Arial" w:eastAsia="Arial" w:hAnsi="Arial"/>
                <w:sz w:val="15"/>
                <w:szCs w:val="15"/>
                <w:b w:val="1"/>
                <w:bCs w:val="1"/>
                <w:color w:val="auto"/>
                <w:w w:val="93"/>
              </w:rPr>
              <w:t>Amount of</w:t>
            </w:r>
          </w:p>
        </w:tc>
      </w:tr>
      <w:tr>
        <w:trPr>
          <w:trHeight w:val="180"/>
        </w:trPr>
        <w:tc>
          <w:tcPr>
            <w:tcW w:w="20" w:type="dxa"/>
            <w:vAlign w:val="bottom"/>
          </w:tcPr>
          <w:p>
            <w:pPr>
              <w:spacing w:after="0"/>
              <w:rPr>
                <w:sz w:val="15"/>
                <w:szCs w:val="15"/>
                <w:color w:val="auto"/>
              </w:rPr>
            </w:pPr>
          </w:p>
        </w:tc>
        <w:tc>
          <w:tcPr>
            <w:tcW w:w="8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Securities To Be Registered</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Price(1)(2)</w:t>
            </w:r>
          </w:p>
        </w:tc>
        <w:tc>
          <w:tcPr>
            <w:tcW w:w="17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b w:val="1"/>
                <w:bCs w:val="1"/>
                <w:color w:val="auto"/>
                <w:w w:val="91"/>
              </w:rPr>
              <w:t>Registration Fee</w:t>
            </w:r>
          </w:p>
        </w:tc>
      </w:tr>
      <w:tr>
        <w:trPr>
          <w:trHeight w:val="151"/>
        </w:trPr>
        <w:tc>
          <w:tcPr>
            <w:tcW w:w="20" w:type="dxa"/>
            <w:vAlign w:val="bottom"/>
            <w:tcBorders>
              <w:bottom w:val="single" w:sz="8" w:color="auto"/>
            </w:tcBorders>
          </w:tcPr>
          <w:p>
            <w:pPr>
              <w:spacing w:after="0"/>
              <w:rPr>
                <w:sz w:val="13"/>
                <w:szCs w:val="13"/>
                <w:color w:val="auto"/>
              </w:rPr>
            </w:pPr>
          </w:p>
        </w:tc>
        <w:tc>
          <w:tcPr>
            <w:tcW w:w="8160" w:type="dxa"/>
            <w:vAlign w:val="bottom"/>
            <w:tcBorders>
              <w:bottom w:val="single" w:sz="8" w:color="auto"/>
              <w:right w:val="single" w:sz="8" w:color="auto"/>
            </w:tcBorders>
          </w:tcPr>
          <w:p>
            <w:pPr>
              <w:spacing w:after="0" w:line="151" w:lineRule="exact"/>
              <w:rPr>
                <w:sz w:val="20"/>
                <w:szCs w:val="20"/>
                <w:color w:val="auto"/>
              </w:rPr>
            </w:pPr>
            <w:r>
              <w:rPr>
                <w:rFonts w:ascii="Arial" w:cs="Arial" w:eastAsia="Arial" w:hAnsi="Arial"/>
                <w:sz w:val="15"/>
                <w:szCs w:val="15"/>
                <w:color w:val="auto"/>
              </w:rPr>
              <w:t>Class A Common Stock, $0.001 par value per share</w:t>
            </w:r>
          </w:p>
        </w:tc>
        <w:tc>
          <w:tcPr>
            <w:tcW w:w="1740" w:type="dxa"/>
            <w:vAlign w:val="bottom"/>
            <w:tcBorders>
              <w:bottom w:val="single" w:sz="8" w:color="auto"/>
              <w:right w:val="single" w:sz="8" w:color="auto"/>
            </w:tcBorders>
          </w:tcPr>
          <w:p>
            <w:pPr>
              <w:jc w:val="right"/>
              <w:ind w:right="947"/>
              <w:spacing w:after="0" w:line="151" w:lineRule="exact"/>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ind w:right="924"/>
              <w:spacing w:after="0" w:line="151" w:lineRule="exact"/>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8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ind w:left="341" w:hanging="341"/>
        <w:spacing w:after="0" w:line="228" w:lineRule="auto"/>
        <w:tabs>
          <w:tab w:leader="none" w:pos="341"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457(o) under the Securities Act of 1933, as amended.</w:t>
      </w:r>
    </w:p>
    <w:p>
      <w:pPr>
        <w:ind w:left="341" w:hanging="341"/>
        <w:spacing w:after="0"/>
        <w:tabs>
          <w:tab w:leader="none" w:pos="341"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the aggregate offering price of additional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239395</wp:posOffset>
            </wp:positionV>
            <wp:extent cx="155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 w:right="80" w:firstLine="349"/>
        <w:spacing w:after="0" w:line="25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389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64135</wp:posOffset>
            </wp:positionV>
            <wp:extent cx="7389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1"/>
          </w:cols>
          <w:pgMar w:left="299" w:top="0" w:right="300" w:bottom="1440" w:gutter="0" w:footer="0" w:header="0"/>
        </w:sectPr>
      </w:pPr>
    </w:p>
    <w:bookmarkStart w:id="2" w:name="page3"/>
    <w:bookmarkEnd w:id="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4" w:lineRule="exact"/>
        <w:rPr>
          <w:sz w:val="20"/>
          <w:szCs w:val="20"/>
          <w:color w:val="auto"/>
        </w:rPr>
      </w:pPr>
    </w:p>
    <w:p>
      <w:pPr>
        <w:jc w:val="both"/>
        <w:ind w:left="180" w:right="340"/>
        <w:spacing w:after="0"/>
        <w:rPr>
          <w:sz w:val="20"/>
          <w:szCs w:val="20"/>
          <w:color w:val="auto"/>
        </w:rPr>
      </w:pPr>
      <w:r>
        <w:rPr>
          <w:rFonts w:ascii="Arial" w:cs="Arial" w:eastAsia="Arial" w:hAnsi="Arial"/>
          <w:sz w:val="16"/>
          <w:szCs w:val="16"/>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106"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4040" w:type="dxa"/>
            <w:vAlign w:val="bottom"/>
            <w:gridSpan w:val="2"/>
          </w:tcPr>
          <w:p>
            <w:pPr>
              <w:spacing w:after="0"/>
              <w:rPr>
                <w:sz w:val="20"/>
                <w:szCs w:val="20"/>
                <w:color w:val="auto"/>
              </w:rPr>
            </w:pPr>
            <w:r>
              <w:rPr>
                <w:rFonts w:ascii="Arial" w:cs="Arial" w:eastAsia="Arial" w:hAnsi="Arial"/>
                <w:sz w:val="23"/>
                <w:szCs w:val="23"/>
                <w:i w:val="1"/>
                <w:iCs w:val="1"/>
                <w:color w:val="CC062A"/>
                <w:w w:val="99"/>
              </w:rPr>
              <w:t>PROSPECTUS (Subject to Completion)</w:t>
            </w:r>
          </w:p>
        </w:tc>
        <w:tc>
          <w:tcPr>
            <w:tcW w:w="5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500" w:type="dxa"/>
            <w:vAlign w:val="bottom"/>
          </w:tcPr>
          <w:p>
            <w:pPr>
              <w:spacing w:after="0"/>
              <w:rPr>
                <w:sz w:val="22"/>
                <w:szCs w:val="22"/>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23"/>
                <w:szCs w:val="23"/>
                <w:i w:val="1"/>
                <w:iCs w:val="1"/>
                <w:color w:val="CC062A"/>
              </w:rPr>
              <w:t>Issued</w:t>
            </w:r>
          </w:p>
        </w:tc>
        <w:tc>
          <w:tcPr>
            <w:tcW w:w="2860" w:type="dxa"/>
            <w:vAlign w:val="bottom"/>
          </w:tcPr>
          <w:p>
            <w:pPr>
              <w:jc w:val="right"/>
              <w:ind w:right="1566"/>
              <w:spacing w:after="0"/>
              <w:rPr>
                <w:sz w:val="20"/>
                <w:szCs w:val="20"/>
                <w:color w:val="auto"/>
              </w:rPr>
            </w:pPr>
            <w:r>
              <w:rPr>
                <w:rFonts w:ascii="Arial" w:cs="Arial" w:eastAsia="Arial" w:hAnsi="Arial"/>
                <w:sz w:val="23"/>
                <w:szCs w:val="23"/>
                <w:i w:val="1"/>
                <w:iCs w:val="1"/>
                <w:color w:val="CC062A"/>
              </w:rPr>
              <w:t>, 2019</w:t>
            </w:r>
          </w:p>
        </w:tc>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704"/>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2"/>
          </w:tcPr>
          <w:p>
            <w:pPr>
              <w:ind w:left="1880"/>
              <w:spacing w:after="0"/>
              <w:rPr>
                <w:sz w:val="20"/>
                <w:szCs w:val="20"/>
                <w:color w:val="auto"/>
              </w:rPr>
            </w:pPr>
            <w:r>
              <w:rPr>
                <w:rFonts w:ascii="Arial" w:cs="Arial" w:eastAsia="Arial" w:hAnsi="Arial"/>
                <w:sz w:val="34"/>
                <w:szCs w:val="34"/>
                <w:i w:val="1"/>
                <w:iCs w:val="1"/>
                <w:color w:val="auto"/>
              </w:rPr>
              <w:t>Shares</w:t>
            </w:r>
          </w:p>
        </w:tc>
      </w:tr>
      <w:tr>
        <w:trPr>
          <w:trHeight w:val="1164"/>
        </w:trPr>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500" w:type="dxa"/>
            <w:vAlign w:val="bottom"/>
            <w:gridSpan w:val="3"/>
          </w:tcPr>
          <w:p>
            <w:pPr>
              <w:ind w:left="440"/>
              <w:spacing w:after="0"/>
              <w:rPr>
                <w:sz w:val="20"/>
                <w:szCs w:val="20"/>
                <w:color w:val="auto"/>
              </w:rPr>
            </w:pPr>
            <w:r>
              <w:rPr>
                <w:rFonts w:ascii="Arial" w:cs="Arial" w:eastAsia="Arial" w:hAnsi="Arial"/>
                <w:sz w:val="23"/>
                <w:szCs w:val="23"/>
                <w:i w:val="1"/>
                <w:iCs w:val="1"/>
                <w:color w:val="auto"/>
              </w:rPr>
              <w:t>CLASS A COMMON STOCK</w:t>
            </w:r>
          </w:p>
        </w:tc>
      </w:tr>
      <w:tr>
        <w:trPr>
          <w:trHeight w:val="360"/>
        </w:trPr>
        <w:tc>
          <w:tcPr>
            <w:tcW w:w="40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500" w:type="dxa"/>
            <w:vAlign w:val="bottom"/>
          </w:tcPr>
          <w:p>
            <w:pPr>
              <w:spacing w:after="0"/>
              <w:rPr>
                <w:sz w:val="24"/>
                <w:szCs w:val="24"/>
                <w:color w:val="auto"/>
              </w:rPr>
            </w:pPr>
          </w:p>
        </w:tc>
      </w:tr>
      <w:tr>
        <w:trPr>
          <w:trHeight w:val="450"/>
        </w:trPr>
        <w:tc>
          <w:tcPr>
            <w:tcW w:w="4040" w:type="dxa"/>
            <w:vAlign w:val="bottom"/>
            <w:gridSpan w:val="2"/>
          </w:tcPr>
          <w:p>
            <w:pPr>
              <w:spacing w:after="0"/>
              <w:rPr>
                <w:sz w:val="20"/>
                <w:szCs w:val="20"/>
                <w:color w:val="auto"/>
              </w:rPr>
            </w:pPr>
            <w:r>
              <w:rPr>
                <w:rFonts w:ascii="Arial" w:cs="Arial" w:eastAsia="Arial" w:hAnsi="Arial"/>
                <w:sz w:val="19"/>
                <w:szCs w:val="19"/>
                <w:b w:val="1"/>
                <w:bCs w:val="1"/>
                <w:i w:val="1"/>
                <w:iCs w:val="1"/>
                <w:color w:val="auto"/>
                <w:w w:val="98"/>
              </w:rPr>
              <w:t>Zoom Video Communications, Inc. is offering</w:t>
            </w:r>
          </w:p>
        </w:tc>
        <w:tc>
          <w:tcPr>
            <w:tcW w:w="6500" w:type="dxa"/>
            <w:vAlign w:val="bottom"/>
            <w:gridSpan w:val="3"/>
          </w:tcPr>
          <w:p>
            <w:pPr>
              <w:ind w:left="400"/>
              <w:spacing w:after="0"/>
              <w:rPr>
                <w:sz w:val="20"/>
                <w:szCs w:val="20"/>
                <w:color w:val="auto"/>
              </w:rPr>
            </w:pPr>
            <w:r>
              <w:rPr>
                <w:rFonts w:ascii="Arial" w:cs="Arial" w:eastAsia="Arial" w:hAnsi="Arial"/>
                <w:sz w:val="19"/>
                <w:szCs w:val="19"/>
                <w:b w:val="1"/>
                <w:bCs w:val="1"/>
                <w:i w:val="1"/>
                <w:iCs w:val="1"/>
                <w:color w:val="auto"/>
                <w:w w:val="85"/>
              </w:rPr>
              <w:t>shares of our Class A common stock, and the selling stockholders are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-1112520</wp:posOffset>
            </wp:positionV>
            <wp:extent cx="1521460" cy="344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1460" cy="344170"/>
                    </a:xfrm>
                    <a:prstGeom prst="rect">
                      <a:avLst/>
                    </a:prstGeom>
                    <a:noFill/>
                  </pic:spPr>
                </pic:pic>
              </a:graphicData>
            </a:graphic>
          </wp:anchor>
        </w:drawing>
      </w:r>
    </w:p>
    <w:p>
      <w:pPr>
        <w:ind w:left="180" w:right="280" w:firstLine="808"/>
        <w:spacing w:after="0" w:line="297" w:lineRule="auto"/>
        <w:rPr>
          <w:sz w:val="20"/>
          <w:szCs w:val="20"/>
          <w:color w:val="auto"/>
        </w:rPr>
      </w:pPr>
      <w:r>
        <w:rPr>
          <w:rFonts w:ascii="Arial" w:cs="Arial" w:eastAsia="Arial" w:hAnsi="Arial"/>
          <w:sz w:val="16"/>
          <w:szCs w:val="16"/>
          <w:b w:val="1"/>
          <w:bCs w:val="1"/>
          <w:i w:val="1"/>
          <w:iCs w:val="1"/>
          <w:color w:val="auto"/>
        </w:rPr>
        <w:t>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w:t>
      </w:r>
    </w:p>
    <w:p>
      <w:pPr>
        <w:spacing w:after="0" w:line="1" w:lineRule="exact"/>
        <w:rPr>
          <w:sz w:val="20"/>
          <w:szCs w:val="20"/>
          <w:color w:val="auto"/>
        </w:rPr>
      </w:pPr>
    </w:p>
    <w:p>
      <w:pPr>
        <w:ind w:left="180"/>
        <w:spacing w:after="0"/>
        <w:tabs>
          <w:tab w:leader="none" w:pos="1360" w:val="left"/>
          <w:tab w:leader="none" w:pos="2220" w:val="left"/>
        </w:tabs>
        <w:rPr>
          <w:sz w:val="20"/>
          <w:szCs w:val="20"/>
          <w:color w:val="auto"/>
        </w:rPr>
      </w:pPr>
      <w:r>
        <w:rPr>
          <w:rFonts w:ascii="Arial" w:cs="Arial" w:eastAsia="Arial" w:hAnsi="Arial"/>
          <w:sz w:val="19"/>
          <w:szCs w:val="19"/>
          <w:b w:val="1"/>
          <w:bCs w:val="1"/>
          <w:i w:val="1"/>
          <w:iCs w:val="1"/>
          <w:color w:val="auto"/>
        </w:rPr>
        <w:t>between $</w:t>
      </w:r>
      <w:r>
        <w:rPr>
          <w:sz w:val="20"/>
          <w:szCs w:val="20"/>
          <w:color w:val="auto"/>
        </w:rPr>
        <w:tab/>
      </w:r>
      <w:r>
        <w:rPr>
          <w:rFonts w:ascii="Arial" w:cs="Arial" w:eastAsia="Arial" w:hAnsi="Arial"/>
          <w:sz w:val="19"/>
          <w:szCs w:val="19"/>
          <w:b w:val="1"/>
          <w:bCs w:val="1"/>
          <w:i w:val="1"/>
          <w:iCs w:val="1"/>
          <w:color w:val="auto"/>
        </w:rPr>
        <w:t>and $</w:t>
      </w:r>
      <w:r>
        <w:rPr>
          <w:sz w:val="20"/>
          <w:szCs w:val="20"/>
          <w:color w:val="auto"/>
        </w:rPr>
        <w:tab/>
      </w:r>
      <w:r>
        <w:rPr>
          <w:rFonts w:ascii="Arial" w:cs="Arial" w:eastAsia="Arial" w:hAnsi="Arial"/>
          <w:sz w:val="16"/>
          <w:szCs w:val="16"/>
          <w:b w:val="1"/>
          <w:bCs w:val="1"/>
          <w:i w:val="1"/>
          <w:iCs w:val="1"/>
          <w:color w:val="auto"/>
        </w:rPr>
        <w:t>per share.</w:t>
      </w:r>
    </w:p>
    <w:p>
      <w:pPr>
        <w:spacing w:after="0" w:line="225" w:lineRule="exact"/>
        <w:rPr>
          <w:sz w:val="20"/>
          <w:szCs w:val="20"/>
          <w:color w:val="auto"/>
        </w:rPr>
      </w:pPr>
    </w:p>
    <w:p>
      <w:pPr>
        <w:jc w:val="both"/>
        <w:ind w:left="180" w:right="180"/>
        <w:spacing w:after="0" w:line="303" w:lineRule="auto"/>
        <w:rPr>
          <w:sz w:val="20"/>
          <w:szCs w:val="20"/>
          <w:color w:val="auto"/>
        </w:rPr>
      </w:pPr>
      <w:r>
        <w:rPr>
          <w:rFonts w:ascii="Arial" w:cs="Arial" w:eastAsia="Arial" w:hAnsi="Arial"/>
          <w:sz w:val="16"/>
          <w:szCs w:val="16"/>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b w:val="1"/>
          <w:bCs w:val="1"/>
          <w:i w:val="1"/>
          <w:iCs w:val="1"/>
          <w:color w:val="auto"/>
        </w:rPr>
        <w:t>Outstanding shares of Class B common stock will represent approximately % of the voting power of our outstanding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224155</wp:posOffset>
            </wp:positionV>
            <wp:extent cx="1557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intend to apply to list our Class A common stock on The Nasdaq Global Select Market under the symbol “ZM.”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259715</wp:posOffset>
            </wp:positionV>
            <wp:extent cx="1557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right="520"/>
        <w:spacing w:after="0" w:line="257" w:lineRule="auto"/>
        <w:rPr>
          <w:rFonts w:ascii="Arial" w:cs="Arial" w:eastAsia="Arial" w:hAnsi="Arial"/>
          <w:sz w:val="23"/>
          <w:szCs w:val="23"/>
          <w:b w:val="1"/>
          <w:bCs w:val="1"/>
          <w:i w:val="1"/>
          <w:iCs w:val="1"/>
          <w:color w:val="auto"/>
        </w:rPr>
      </w:pPr>
      <w:r>
        <w:rPr>
          <w:rFonts w:ascii="Arial" w:cs="Arial" w:eastAsia="Arial" w:hAnsi="Arial"/>
          <w:sz w:val="23"/>
          <w:szCs w:val="23"/>
          <w:b w:val="1"/>
          <w:bCs w:val="1"/>
          <w:i w:val="1"/>
          <w:iCs w:val="1"/>
          <w:color w:val="auto"/>
        </w:rPr>
        <w:t>We are an “emerging growth company” as defined under the federal securities laws. Investing in our Class A common stock involves risks. See “</w:t>
      </w:r>
      <w:hyperlink w:anchor="page20">
        <w:r>
          <w:rPr>
            <w:rFonts w:ascii="Arial" w:cs="Arial" w:eastAsia="Arial" w:hAnsi="Arial"/>
            <w:sz w:val="23"/>
            <w:szCs w:val="23"/>
            <w:b w:val="1"/>
            <w:bCs w:val="1"/>
            <w:i w:val="1"/>
            <w:iCs w:val="1"/>
            <w:u w:val="single" w:color="auto"/>
            <w:color w:val="0000EE"/>
          </w:rPr>
          <w:t>Risk Factors</w:t>
        </w:r>
      </w:hyperlink>
      <w:r>
        <w:rPr>
          <w:rFonts w:ascii="Arial" w:cs="Arial" w:eastAsia="Arial" w:hAnsi="Arial"/>
          <w:sz w:val="23"/>
          <w:szCs w:val="23"/>
          <w:b w:val="1"/>
          <w:bCs w:val="1"/>
          <w:i w:val="1"/>
          <w:iCs w:val="1"/>
          <w:color w:val="auto"/>
        </w:rPr>
        <w:t>”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216535</wp:posOffset>
            </wp:positionV>
            <wp:extent cx="1557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4780" w:type="dxa"/>
        <w:tblCellMar>
          <w:top w:w="0" w:type="dxa"/>
          <w:left w:w="0" w:type="dxa"/>
          <w:bottom w:w="0" w:type="dxa"/>
          <w:right w:w="0" w:type="dxa"/>
        </w:tblCellMar>
      </w:tblPr>
      <w:tr>
        <w:trPr>
          <w:trHeight w:val="241"/>
        </w:trPr>
        <w:tc>
          <w:tcPr>
            <w:tcW w:w="980" w:type="dxa"/>
            <w:vAlign w:val="bottom"/>
          </w:tcPr>
          <w:p>
            <w:pPr>
              <w:ind w:left="300"/>
              <w:spacing w:after="0"/>
              <w:rPr>
                <w:sz w:val="20"/>
                <w:szCs w:val="20"/>
                <w:color w:val="auto"/>
              </w:rPr>
            </w:pPr>
            <w:r>
              <w:rPr>
                <w:rFonts w:ascii="Arial" w:cs="Arial" w:eastAsia="Arial" w:hAnsi="Arial"/>
                <w:sz w:val="19"/>
                <w:szCs w:val="19"/>
                <w:i w:val="1"/>
                <w:iCs w:val="1"/>
                <w:color w:val="auto"/>
                <w:w w:val="89"/>
              </w:rPr>
              <w:t>PRICE $</w:t>
            </w:r>
          </w:p>
        </w:tc>
        <w:tc>
          <w:tcPr>
            <w:tcW w:w="1460" w:type="dxa"/>
            <w:vAlign w:val="bottom"/>
          </w:tcPr>
          <w:p>
            <w:pPr>
              <w:ind w:left="420"/>
              <w:spacing w:after="0"/>
              <w:rPr>
                <w:sz w:val="20"/>
                <w:szCs w:val="20"/>
                <w:color w:val="auto"/>
              </w:rPr>
            </w:pPr>
            <w:r>
              <w:rPr>
                <w:rFonts w:ascii="Arial" w:cs="Arial" w:eastAsia="Arial" w:hAnsi="Arial"/>
                <w:sz w:val="19"/>
                <w:szCs w:val="19"/>
                <w:i w:val="1"/>
                <w:iCs w:val="1"/>
                <w:color w:val="auto"/>
              </w:rPr>
              <w:t>A SHARE</w:t>
            </w:r>
          </w:p>
        </w:tc>
        <w:tc>
          <w:tcPr>
            <w:tcW w:w="1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80" w:type="dxa"/>
            <w:vAlign w:val="bottom"/>
            <w:vMerge w:val="restart"/>
          </w:tcPr>
          <w:p>
            <w:pPr>
              <w:jc w:val="center"/>
              <w:ind w:right="324"/>
              <w:spacing w:after="0"/>
              <w:rPr>
                <w:sz w:val="20"/>
                <w:szCs w:val="20"/>
                <w:color w:val="auto"/>
              </w:rPr>
            </w:pPr>
            <w:r>
              <w:rPr>
                <w:rFonts w:ascii="Arial" w:cs="Arial" w:eastAsia="Arial" w:hAnsi="Arial"/>
                <w:sz w:val="15"/>
                <w:szCs w:val="15"/>
                <w:b w:val="1"/>
                <w:bCs w:val="1"/>
                <w:i w:val="1"/>
                <w:iCs w:val="1"/>
                <w:color w:val="auto"/>
                <w:w w:val="90"/>
              </w:rPr>
              <w:t>Underwriting</w:t>
            </w:r>
          </w:p>
        </w:tc>
        <w:tc>
          <w:tcPr>
            <w:tcW w:w="1660" w:type="dxa"/>
            <w:vAlign w:val="bottom"/>
          </w:tcPr>
          <w:p>
            <w:pPr>
              <w:spacing w:after="0"/>
              <w:rPr>
                <w:sz w:val="24"/>
                <w:szCs w:val="24"/>
                <w:color w:val="auto"/>
              </w:rPr>
            </w:pPr>
          </w:p>
        </w:tc>
        <w:tc>
          <w:tcPr>
            <w:tcW w:w="1300" w:type="dxa"/>
            <w:vAlign w:val="bottom"/>
            <w:vMerge w:val="restart"/>
          </w:tcPr>
          <w:p>
            <w:pPr>
              <w:jc w:val="center"/>
              <w:ind w:left="424"/>
              <w:spacing w:after="0"/>
              <w:rPr>
                <w:sz w:val="20"/>
                <w:szCs w:val="20"/>
                <w:color w:val="auto"/>
              </w:rPr>
            </w:pPr>
            <w:r>
              <w:rPr>
                <w:rFonts w:ascii="Arial" w:cs="Arial" w:eastAsia="Arial" w:hAnsi="Arial"/>
                <w:sz w:val="15"/>
                <w:szCs w:val="15"/>
                <w:b w:val="1"/>
                <w:bCs w:val="1"/>
                <w:i w:val="1"/>
                <w:iCs w:val="1"/>
                <w:color w:val="auto"/>
                <w:w w:val="83"/>
              </w:rPr>
              <w:t>Proceeds to</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460" w:type="dxa"/>
            <w:vAlign w:val="bottom"/>
          </w:tcPr>
          <w:p>
            <w:pPr>
              <w:jc w:val="center"/>
              <w:ind w:right="898"/>
              <w:spacing w:after="0" w:line="157" w:lineRule="exact"/>
              <w:rPr>
                <w:sz w:val="20"/>
                <w:szCs w:val="20"/>
                <w:color w:val="auto"/>
              </w:rPr>
            </w:pPr>
            <w:r>
              <w:rPr>
                <w:rFonts w:ascii="Arial" w:cs="Arial" w:eastAsia="Arial" w:hAnsi="Arial"/>
                <w:sz w:val="15"/>
                <w:szCs w:val="15"/>
                <w:b w:val="1"/>
                <w:bCs w:val="1"/>
                <w:i w:val="1"/>
                <w:iCs w:val="1"/>
                <w:color w:val="auto"/>
                <w:w w:val="87"/>
              </w:rPr>
              <w:t>Price to</w:t>
            </w:r>
          </w:p>
        </w:tc>
        <w:tc>
          <w:tcPr>
            <w:tcW w:w="1480" w:type="dxa"/>
            <w:vAlign w:val="bottom"/>
          </w:tcPr>
          <w:p>
            <w:pPr>
              <w:jc w:val="center"/>
              <w:ind w:right="344"/>
              <w:spacing w:after="0" w:line="157" w:lineRule="exact"/>
              <w:rPr>
                <w:sz w:val="20"/>
                <w:szCs w:val="20"/>
                <w:color w:val="auto"/>
              </w:rPr>
            </w:pPr>
            <w:r>
              <w:rPr>
                <w:rFonts w:ascii="Arial" w:cs="Arial" w:eastAsia="Arial" w:hAnsi="Arial"/>
                <w:sz w:val="15"/>
                <w:szCs w:val="15"/>
                <w:b w:val="1"/>
                <w:bCs w:val="1"/>
                <w:i w:val="1"/>
                <w:iCs w:val="1"/>
                <w:color w:val="auto"/>
                <w:w w:val="87"/>
              </w:rPr>
              <w:t>Discounts and</w:t>
            </w:r>
          </w:p>
        </w:tc>
        <w:tc>
          <w:tcPr>
            <w:tcW w:w="1660" w:type="dxa"/>
            <w:vAlign w:val="bottom"/>
          </w:tcPr>
          <w:p>
            <w:pPr>
              <w:jc w:val="center"/>
              <w:spacing w:after="0" w:line="157" w:lineRule="exact"/>
              <w:rPr>
                <w:sz w:val="20"/>
                <w:szCs w:val="20"/>
                <w:color w:val="auto"/>
              </w:rPr>
            </w:pPr>
            <w:r>
              <w:rPr>
                <w:rFonts w:ascii="Arial" w:cs="Arial" w:eastAsia="Arial" w:hAnsi="Arial"/>
                <w:sz w:val="15"/>
                <w:szCs w:val="15"/>
                <w:b w:val="1"/>
                <w:bCs w:val="1"/>
                <w:i w:val="1"/>
                <w:iCs w:val="1"/>
                <w:color w:val="auto"/>
                <w:w w:val="83"/>
              </w:rPr>
              <w:t>Proceeds to</w:t>
            </w:r>
          </w:p>
        </w:tc>
        <w:tc>
          <w:tcPr>
            <w:tcW w:w="1300" w:type="dxa"/>
            <w:vAlign w:val="bottom"/>
          </w:tcPr>
          <w:p>
            <w:pPr>
              <w:jc w:val="center"/>
              <w:ind w:left="424"/>
              <w:spacing w:after="0" w:line="157" w:lineRule="exact"/>
              <w:rPr>
                <w:sz w:val="20"/>
                <w:szCs w:val="20"/>
                <w:color w:val="auto"/>
              </w:rPr>
            </w:pPr>
            <w:r>
              <w:rPr>
                <w:rFonts w:ascii="Arial" w:cs="Arial" w:eastAsia="Arial" w:hAnsi="Arial"/>
                <w:sz w:val="15"/>
                <w:szCs w:val="15"/>
                <w:b w:val="1"/>
                <w:bCs w:val="1"/>
                <w:i w:val="1"/>
                <w:iCs w:val="1"/>
                <w:color w:val="auto"/>
                <w:w w:val="89"/>
              </w:rPr>
              <w:t>Selling</w:t>
            </w: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1460" w:type="dxa"/>
            <w:vAlign w:val="bottom"/>
          </w:tcPr>
          <w:p>
            <w:pPr>
              <w:jc w:val="center"/>
              <w:ind w:right="898"/>
              <w:spacing w:after="0"/>
              <w:rPr>
                <w:sz w:val="20"/>
                <w:szCs w:val="20"/>
                <w:color w:val="auto"/>
              </w:rPr>
            </w:pPr>
            <w:r>
              <w:rPr>
                <w:rFonts w:ascii="Arial" w:cs="Arial" w:eastAsia="Arial" w:hAnsi="Arial"/>
                <w:sz w:val="15"/>
                <w:szCs w:val="15"/>
                <w:b w:val="1"/>
                <w:bCs w:val="1"/>
                <w:i w:val="1"/>
                <w:iCs w:val="1"/>
                <w:color w:val="auto"/>
                <w:w w:val="88"/>
              </w:rPr>
              <w:t>Public</w:t>
            </w:r>
          </w:p>
        </w:tc>
        <w:tc>
          <w:tcPr>
            <w:tcW w:w="1480" w:type="dxa"/>
            <w:vAlign w:val="bottom"/>
          </w:tcPr>
          <w:p>
            <w:pPr>
              <w:jc w:val="center"/>
              <w:ind w:right="324"/>
              <w:spacing w:after="0"/>
              <w:rPr>
                <w:sz w:val="20"/>
                <w:szCs w:val="20"/>
                <w:color w:val="auto"/>
              </w:rPr>
            </w:pPr>
            <w:r>
              <w:rPr>
                <w:rFonts w:ascii="Arial" w:cs="Arial" w:eastAsia="Arial" w:hAnsi="Arial"/>
                <w:sz w:val="15"/>
                <w:szCs w:val="15"/>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660" w:type="dxa"/>
            <w:vAlign w:val="bottom"/>
          </w:tcPr>
          <w:p>
            <w:pPr>
              <w:jc w:val="center"/>
              <w:spacing w:after="0"/>
              <w:rPr>
                <w:sz w:val="20"/>
                <w:szCs w:val="20"/>
                <w:color w:val="auto"/>
              </w:rPr>
            </w:pPr>
            <w:r>
              <w:rPr>
                <w:rFonts w:ascii="Arial" w:cs="Arial" w:eastAsia="Arial" w:hAnsi="Arial"/>
                <w:sz w:val="15"/>
                <w:szCs w:val="15"/>
                <w:b w:val="1"/>
                <w:bCs w:val="1"/>
                <w:i w:val="1"/>
                <w:iCs w:val="1"/>
                <w:color w:val="auto"/>
                <w:w w:val="88"/>
              </w:rPr>
              <w:t>Zoom</w:t>
            </w:r>
          </w:p>
        </w:tc>
        <w:tc>
          <w:tcPr>
            <w:tcW w:w="1300" w:type="dxa"/>
            <w:vAlign w:val="bottom"/>
          </w:tcPr>
          <w:p>
            <w:pPr>
              <w:jc w:val="center"/>
              <w:ind w:left="404"/>
              <w:spacing w:after="0"/>
              <w:rPr>
                <w:sz w:val="20"/>
                <w:szCs w:val="20"/>
                <w:color w:val="auto"/>
              </w:rPr>
            </w:pPr>
            <w:r>
              <w:rPr>
                <w:rFonts w:ascii="Arial" w:cs="Arial" w:eastAsia="Arial" w:hAnsi="Arial"/>
                <w:sz w:val="15"/>
                <w:szCs w:val="15"/>
                <w:b w:val="1"/>
                <w:bCs w:val="1"/>
                <w:i w:val="1"/>
                <w:iCs w:val="1"/>
                <w:u w:val="single" w:color="auto"/>
                <w:color w:val="auto"/>
                <w:w w:val="86"/>
              </w:rPr>
              <w:t>Stockholders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0</wp:posOffset>
            </wp:positionV>
            <wp:extent cx="461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1645" cy="8890"/>
                    </a:xfrm>
                    <a:prstGeom prst="rect">
                      <a:avLst/>
                    </a:prstGeom>
                    <a:noFill/>
                  </pic:spPr>
                </pic:pic>
              </a:graphicData>
            </a:graphic>
          </wp:anchor>
        </w:drawing>
      </w:r>
    </w:p>
    <w:p>
      <w:pPr>
        <w:sectPr>
          <w:pgSz w:w="12240" w:h="15840" w:orient="portrait"/>
          <w:cols w:equalWidth="0" w:num="1">
            <w:col w:w="11820"/>
          </w:cols>
          <w:pgMar w:left="120" w:top="336" w:right="300" w:bottom="0" w:gutter="0" w:footer="0" w:header="0"/>
        </w:sectPr>
      </w:pPr>
    </w:p>
    <w:tbl>
      <w:tblPr>
        <w:tblLayout w:type="fixed"/>
        <w:tblInd w:w="180" w:type="dxa"/>
        <w:tblCellMar>
          <w:top w:w="0" w:type="dxa"/>
          <w:left w:w="0" w:type="dxa"/>
          <w:bottom w:w="0" w:type="dxa"/>
          <w:right w:w="0" w:type="dxa"/>
        </w:tblCellMar>
      </w:tblPr>
      <w:tr>
        <w:trPr>
          <w:trHeight w:val="208"/>
        </w:trPr>
        <w:tc>
          <w:tcPr>
            <w:tcW w:w="3100" w:type="dxa"/>
            <w:vAlign w:val="bottom"/>
          </w:tcPr>
          <w:p>
            <w:pPr>
              <w:spacing w:after="0" w:line="208" w:lineRule="exact"/>
              <w:rPr>
                <w:sz w:val="20"/>
                <w:szCs w:val="20"/>
                <w:color w:val="auto"/>
              </w:rPr>
            </w:pPr>
            <w:r>
              <w:rPr>
                <w:rFonts w:ascii="Arial" w:cs="Arial" w:eastAsia="Arial" w:hAnsi="Arial"/>
                <w:sz w:val="19"/>
                <w:szCs w:val="19"/>
                <w:i w:val="1"/>
                <w:iCs w:val="1"/>
                <w:color w:val="auto"/>
              </w:rPr>
              <w:t>Per Share</w:t>
            </w:r>
          </w:p>
        </w:tc>
        <w:tc>
          <w:tcPr>
            <w:tcW w:w="2480" w:type="dxa"/>
            <w:vAlign w:val="bottom"/>
          </w:tcPr>
          <w:p>
            <w:pPr>
              <w:spacing w:after="0"/>
              <w:rPr>
                <w:sz w:val="18"/>
                <w:szCs w:val="18"/>
                <w:color w:val="auto"/>
              </w:rPr>
            </w:pPr>
          </w:p>
        </w:tc>
        <w:tc>
          <w:tcPr>
            <w:tcW w:w="500" w:type="dxa"/>
            <w:vAlign w:val="bottom"/>
            <w:tcBorders>
              <w:top w:val="single" w:sz="8" w:color="auto"/>
            </w:tcBorders>
          </w:tcPr>
          <w:p>
            <w:pPr>
              <w:jc w:val="right"/>
              <w:ind w:right="245"/>
              <w:spacing w:after="0" w:line="208" w:lineRule="exact"/>
              <w:rPr>
                <w:sz w:val="20"/>
                <w:szCs w:val="20"/>
                <w:color w:val="auto"/>
              </w:rPr>
            </w:pPr>
            <w:r>
              <w:rPr>
                <w:rFonts w:ascii="Arial" w:cs="Arial" w:eastAsia="Arial" w:hAnsi="Arial"/>
                <w:sz w:val="19"/>
                <w:szCs w:val="19"/>
                <w:i w:val="1"/>
                <w:iCs w:val="1"/>
                <w:color w:val="auto"/>
              </w:rPr>
              <w:t>$</w:t>
            </w:r>
          </w:p>
        </w:tc>
        <w:tc>
          <w:tcPr>
            <w:tcW w:w="1000" w:type="dxa"/>
            <w:vAlign w:val="bottom"/>
          </w:tcPr>
          <w:p>
            <w:pPr>
              <w:spacing w:after="0"/>
              <w:rPr>
                <w:sz w:val="18"/>
                <w:szCs w:val="18"/>
                <w:color w:val="auto"/>
              </w:rPr>
            </w:pPr>
          </w:p>
        </w:tc>
        <w:tc>
          <w:tcPr>
            <w:tcW w:w="1000" w:type="dxa"/>
            <w:vAlign w:val="bottom"/>
            <w:tcBorders>
              <w:top w:val="single" w:sz="8" w:color="auto"/>
            </w:tcBorders>
          </w:tcPr>
          <w:p>
            <w:pPr>
              <w:jc w:val="right"/>
              <w:ind w:right="445"/>
              <w:spacing w:after="0" w:line="208" w:lineRule="exact"/>
              <w:rPr>
                <w:sz w:val="20"/>
                <w:szCs w:val="20"/>
                <w:color w:val="auto"/>
              </w:rPr>
            </w:pPr>
            <w:r>
              <w:rPr>
                <w:rFonts w:ascii="Arial" w:cs="Arial" w:eastAsia="Arial" w:hAnsi="Arial"/>
                <w:sz w:val="19"/>
                <w:szCs w:val="19"/>
                <w:i w:val="1"/>
                <w:iCs w:val="1"/>
                <w:color w:val="auto"/>
              </w:rPr>
              <w:t>$</w:t>
            </w:r>
          </w:p>
        </w:tc>
      </w:tr>
      <w:tr>
        <w:trPr>
          <w:trHeight w:val="241"/>
        </w:trPr>
        <w:tc>
          <w:tcPr>
            <w:tcW w:w="3100" w:type="dxa"/>
            <w:vAlign w:val="bottom"/>
          </w:tcPr>
          <w:p>
            <w:pPr>
              <w:spacing w:after="0"/>
              <w:rPr>
                <w:sz w:val="20"/>
                <w:szCs w:val="20"/>
                <w:color w:val="auto"/>
              </w:rPr>
            </w:pPr>
            <w:r>
              <w:rPr>
                <w:rFonts w:ascii="Arial" w:cs="Arial" w:eastAsia="Arial" w:hAnsi="Arial"/>
                <w:sz w:val="19"/>
                <w:szCs w:val="19"/>
                <w:i w:val="1"/>
                <w:iCs w:val="1"/>
                <w:color w:val="auto"/>
              </w:rPr>
              <w:t>Total</w:t>
            </w:r>
          </w:p>
        </w:tc>
        <w:tc>
          <w:tcPr>
            <w:tcW w:w="2480" w:type="dxa"/>
            <w:vAlign w:val="bottom"/>
          </w:tcPr>
          <w:p>
            <w:pPr>
              <w:jc w:val="right"/>
              <w:spacing w:after="0"/>
              <w:rPr>
                <w:sz w:val="20"/>
                <w:szCs w:val="20"/>
                <w:color w:val="auto"/>
              </w:rPr>
            </w:pPr>
            <w:r>
              <w:rPr>
                <w:rFonts w:ascii="Arial" w:cs="Arial" w:eastAsia="Arial" w:hAnsi="Arial"/>
                <w:sz w:val="19"/>
                <w:szCs w:val="19"/>
                <w:i w:val="1"/>
                <w:iCs w:val="1"/>
                <w:color w:val="auto"/>
              </w:rPr>
              <w:t>$</w:t>
            </w:r>
          </w:p>
        </w:tc>
        <w:tc>
          <w:tcPr>
            <w:tcW w:w="500" w:type="dxa"/>
            <w:vAlign w:val="bottom"/>
          </w:tcPr>
          <w:p>
            <w:pPr>
              <w:spacing w:after="0"/>
              <w:rPr>
                <w:sz w:val="20"/>
                <w:szCs w:val="20"/>
                <w:color w:val="auto"/>
              </w:rPr>
            </w:pPr>
          </w:p>
        </w:tc>
        <w:tc>
          <w:tcPr>
            <w:tcW w:w="2000" w:type="dxa"/>
            <w:vAlign w:val="bottom"/>
            <w:gridSpan w:val="2"/>
          </w:tcPr>
          <w:p>
            <w:pPr>
              <w:jc w:val="right"/>
              <w:ind w:right="625"/>
              <w:spacing w:after="0"/>
              <w:rPr>
                <w:sz w:val="20"/>
                <w:szCs w:val="20"/>
                <w:color w:val="auto"/>
              </w:rPr>
            </w:pPr>
            <w:r>
              <w:rPr>
                <w:rFonts w:ascii="Arial" w:cs="Arial" w:eastAsia="Arial" w:hAnsi="Arial"/>
                <w:sz w:val="19"/>
                <w:szCs w:val="19"/>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See the section titled “Underwriters” for a description of the compensation payable to the underwriters.</w:t>
      </w:r>
    </w:p>
    <w:p>
      <w:pPr>
        <w:spacing w:after="0" w:line="20" w:lineRule="exact"/>
        <w:rPr>
          <w:sz w:val="20"/>
          <w:szCs w:val="20"/>
          <w:color w:val="auto"/>
        </w:rPr>
      </w:pPr>
      <w:r>
        <w:rPr>
          <w:sz w:val="20"/>
          <w:szCs w:val="20"/>
          <w:color w:val="auto"/>
        </w:rPr>
        <w:br w:type="column"/>
      </w:r>
    </w:p>
    <w:p>
      <w:pPr>
        <w:ind w:left="200"/>
        <w:spacing w:after="0"/>
        <w:tabs>
          <w:tab w:leader="none" w:pos="1900" w:val="left"/>
        </w:tabs>
        <w:rPr>
          <w:sz w:val="20"/>
          <w:szCs w:val="20"/>
          <w:color w:val="auto"/>
        </w:rPr>
      </w:pPr>
      <w:r>
        <w:rPr>
          <w:rFonts w:ascii="Arial" w:cs="Arial" w:eastAsia="Arial" w:hAnsi="Arial"/>
          <w:sz w:val="17"/>
          <w:szCs w:val="17"/>
          <w:i w:val="1"/>
          <w:iCs w:val="1"/>
          <w:color w:val="auto"/>
        </w:rPr>
        <w:t>$</w:t>
      </w:r>
      <w:r>
        <w:rPr>
          <w:sz w:val="20"/>
          <w:szCs w:val="20"/>
          <w:color w:val="auto"/>
        </w:rPr>
        <w:tab/>
      </w:r>
      <w:r>
        <w:rPr>
          <w:rFonts w:ascii="Arial" w:cs="Arial" w:eastAsia="Arial" w:hAnsi="Arial"/>
          <w:sz w:val="17"/>
          <w:szCs w:val="17"/>
          <w:i w:val="1"/>
          <w:iCs w:val="1"/>
          <w:color w:val="auto"/>
        </w:rPr>
        <w:t>$</w:t>
      </w:r>
    </w:p>
    <w:p>
      <w:pPr>
        <w:spacing w:after="0" w:line="46" w:lineRule="exact"/>
        <w:rPr>
          <w:sz w:val="20"/>
          <w:szCs w:val="20"/>
          <w:color w:val="auto"/>
        </w:rPr>
      </w:pPr>
    </w:p>
    <w:p>
      <w:pPr>
        <w:spacing w:after="0"/>
        <w:tabs>
          <w:tab w:leader="none" w:pos="1720" w:val="left"/>
        </w:tabs>
        <w:rPr>
          <w:sz w:val="20"/>
          <w:szCs w:val="20"/>
          <w:color w:val="auto"/>
        </w:rPr>
      </w:pPr>
      <w:r>
        <w:rPr>
          <w:rFonts w:ascii="Arial" w:cs="Arial" w:eastAsia="Arial" w:hAnsi="Arial"/>
          <w:sz w:val="19"/>
          <w:szCs w:val="19"/>
          <w:i w:val="1"/>
          <w:iCs w:val="1"/>
          <w:color w:val="auto"/>
        </w:rPr>
        <w:t>$</w:t>
      </w:r>
      <w:r>
        <w:rPr>
          <w:sz w:val="20"/>
          <w:szCs w:val="20"/>
          <w:color w:val="auto"/>
        </w:rPr>
        <w:tab/>
      </w:r>
      <w:r>
        <w:rPr>
          <w:rFonts w:ascii="Arial" w:cs="Arial" w:eastAsia="Arial" w:hAnsi="Arial"/>
          <w:sz w:val="19"/>
          <w:szCs w:val="19"/>
          <w:i w:val="1"/>
          <w:iCs w:val="1"/>
          <w:color w:val="auto"/>
        </w:rPr>
        <w:t>$</w:t>
      </w:r>
    </w:p>
    <w:p>
      <w:pPr>
        <w:spacing w:after="0" w:line="591" w:lineRule="exact"/>
        <w:rPr>
          <w:sz w:val="20"/>
          <w:szCs w:val="20"/>
          <w:color w:val="auto"/>
        </w:rPr>
      </w:pPr>
    </w:p>
    <w:p>
      <w:pPr>
        <w:sectPr>
          <w:pgSz w:w="12240" w:h="15840" w:orient="portrait"/>
          <w:cols w:equalWidth="0" w:num="2">
            <w:col w:w="8580" w:space="580"/>
            <w:col w:w="2660"/>
          </w:cols>
          <w:pgMar w:left="120" w:top="336" w:right="300" w:bottom="0" w:gutter="0" w:footer="0" w:header="0"/>
          <w:type w:val="continuous"/>
        </w:sectPr>
      </w:pPr>
    </w:p>
    <w:p>
      <w:pPr>
        <w:spacing w:after="0" w:line="61" w:lineRule="exact"/>
        <w:rPr>
          <w:sz w:val="20"/>
          <w:szCs w:val="20"/>
          <w:color w:val="auto"/>
        </w:rPr>
      </w:pPr>
    </w:p>
    <w:p>
      <w:pPr>
        <w:ind w:left="180"/>
        <w:spacing w:after="0"/>
        <w:tabs>
          <w:tab w:leader="none" w:pos="8900" w:val="left"/>
        </w:tabs>
        <w:rPr>
          <w:sz w:val="20"/>
          <w:szCs w:val="20"/>
          <w:color w:val="auto"/>
        </w:rPr>
      </w:pPr>
      <w:r>
        <w:rPr>
          <w:rFonts w:ascii="Arial" w:cs="Arial" w:eastAsia="Arial" w:hAnsi="Arial"/>
          <w:sz w:val="19"/>
          <w:szCs w:val="19"/>
          <w:i w:val="1"/>
          <w:iCs w:val="1"/>
          <w:color w:val="auto"/>
        </w:rPr>
        <w:t>We and the selling stockholders have granted the underwriters the right to purchase up to an additional</w:t>
      </w:r>
      <w:r>
        <w:rPr>
          <w:sz w:val="20"/>
          <w:szCs w:val="20"/>
          <w:color w:val="auto"/>
        </w:rPr>
        <w:tab/>
      </w:r>
      <w:r>
        <w:rPr>
          <w:rFonts w:ascii="Arial" w:cs="Arial" w:eastAsia="Arial" w:hAnsi="Arial"/>
          <w:sz w:val="16"/>
          <w:szCs w:val="16"/>
          <w:i w:val="1"/>
          <w:iCs w:val="1"/>
          <w:color w:val="auto"/>
        </w:rPr>
        <w:t>shares of Class A common stock to</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cover overallotments, if any.</w:t>
      </w:r>
    </w:p>
    <w:p>
      <w:pPr>
        <w:spacing w:after="0" w:line="225"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720" w:type="dxa"/>
            <w:vAlign w:val="bottom"/>
            <w:gridSpan w:val="3"/>
          </w:tcPr>
          <w:p>
            <w:pPr>
              <w:spacing w:after="0"/>
              <w:rPr>
                <w:sz w:val="20"/>
                <w:szCs w:val="20"/>
                <w:color w:val="auto"/>
              </w:rPr>
            </w:pPr>
            <w:r>
              <w:rPr>
                <w:rFonts w:ascii="Arial" w:cs="Arial" w:eastAsia="Arial" w:hAnsi="Arial"/>
                <w:sz w:val="19"/>
                <w:szCs w:val="19"/>
                <w:i w:val="1"/>
                <w:iCs w:val="1"/>
                <w:color w:val="auto"/>
                <w:w w:val="89"/>
              </w:rPr>
              <w:t>The underwriters expect to deliver the shares of Class A common stock to purchasers on</w:t>
            </w:r>
          </w:p>
        </w:tc>
        <w:tc>
          <w:tcPr>
            <w:tcW w:w="1920" w:type="dxa"/>
            <w:vAlign w:val="bottom"/>
            <w:gridSpan w:val="2"/>
          </w:tcPr>
          <w:p>
            <w:pPr>
              <w:jc w:val="right"/>
              <w:ind w:right="344"/>
              <w:spacing w:after="0"/>
              <w:rPr>
                <w:sz w:val="20"/>
                <w:szCs w:val="20"/>
                <w:color w:val="auto"/>
              </w:rPr>
            </w:pPr>
            <w:r>
              <w:rPr>
                <w:rFonts w:ascii="Arial" w:cs="Arial" w:eastAsia="Arial" w:hAnsi="Arial"/>
                <w:sz w:val="19"/>
                <w:szCs w:val="19"/>
                <w:i w:val="1"/>
                <w:iCs w:val="1"/>
                <w:color w:val="auto"/>
              </w:rPr>
              <w:t>, 2019.</w:t>
            </w:r>
          </w:p>
        </w:tc>
        <w:tc>
          <w:tcPr>
            <w:tcW w:w="92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72"/>
        </w:trPr>
        <w:tc>
          <w:tcPr>
            <w:tcW w:w="2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gridSpan w:val="2"/>
          </w:tcPr>
          <w:p>
            <w:pPr>
              <w:spacing w:after="0"/>
              <w:rPr>
                <w:sz w:val="24"/>
                <w:szCs w:val="24"/>
                <w:color w:val="auto"/>
              </w:rPr>
            </w:pPr>
          </w:p>
        </w:tc>
        <w:tc>
          <w:tcPr>
            <w:tcW w:w="2080" w:type="dxa"/>
            <w:vAlign w:val="bottom"/>
          </w:tcPr>
          <w:p>
            <w:pPr>
              <w:spacing w:after="0"/>
              <w:rPr>
                <w:sz w:val="24"/>
                <w:szCs w:val="24"/>
                <w:color w:val="auto"/>
              </w:rPr>
            </w:pPr>
          </w:p>
        </w:tc>
      </w:tr>
      <w:tr>
        <w:trPr>
          <w:trHeight w:val="521"/>
        </w:trPr>
        <w:tc>
          <w:tcPr>
            <w:tcW w:w="2320" w:type="dxa"/>
            <w:vAlign w:val="bottom"/>
          </w:tcPr>
          <w:p>
            <w:pPr>
              <w:spacing w:after="0"/>
              <w:rPr>
                <w:sz w:val="20"/>
                <w:szCs w:val="20"/>
                <w:color w:val="auto"/>
              </w:rPr>
            </w:pPr>
            <w:r>
              <w:rPr>
                <w:rFonts w:ascii="Arial" w:cs="Arial" w:eastAsia="Arial" w:hAnsi="Arial"/>
                <w:sz w:val="19"/>
                <w:szCs w:val="19"/>
                <w:i w:val="1"/>
                <w:iCs w:val="1"/>
                <w:color w:val="auto"/>
              </w:rPr>
              <w:t>MORGAN STANLEY</w:t>
            </w:r>
          </w:p>
        </w:tc>
        <w:tc>
          <w:tcPr>
            <w:tcW w:w="4400" w:type="dxa"/>
            <w:vAlign w:val="bottom"/>
            <w:gridSpan w:val="2"/>
          </w:tcPr>
          <w:p>
            <w:pPr>
              <w:ind w:left="980"/>
              <w:spacing w:after="0"/>
              <w:rPr>
                <w:sz w:val="20"/>
                <w:szCs w:val="20"/>
                <w:color w:val="auto"/>
              </w:rPr>
            </w:pPr>
            <w:r>
              <w:rPr>
                <w:rFonts w:ascii="Arial" w:cs="Arial" w:eastAsia="Arial" w:hAnsi="Arial"/>
                <w:sz w:val="19"/>
                <w:szCs w:val="19"/>
                <w:i w:val="1"/>
                <w:iCs w:val="1"/>
                <w:color w:val="auto"/>
              </w:rPr>
              <w:t>J.P. MORGAN</w:t>
            </w:r>
          </w:p>
        </w:tc>
        <w:tc>
          <w:tcPr>
            <w:tcW w:w="2840" w:type="dxa"/>
            <w:vAlign w:val="bottom"/>
            <w:gridSpan w:val="3"/>
          </w:tcPr>
          <w:p>
            <w:pPr>
              <w:jc w:val="center"/>
              <w:ind w:right="284"/>
              <w:spacing w:after="0"/>
              <w:rPr>
                <w:sz w:val="20"/>
                <w:szCs w:val="20"/>
                <w:color w:val="auto"/>
              </w:rPr>
            </w:pPr>
            <w:r>
              <w:rPr>
                <w:rFonts w:ascii="Arial" w:cs="Arial" w:eastAsia="Arial" w:hAnsi="Arial"/>
                <w:sz w:val="19"/>
                <w:szCs w:val="19"/>
                <w:i w:val="1"/>
                <w:iCs w:val="1"/>
                <w:color w:val="auto"/>
                <w:w w:val="93"/>
              </w:rPr>
              <w:t>GOLDMAN SACHS &amp; CO. LLC</w:t>
            </w:r>
          </w:p>
        </w:tc>
        <w:tc>
          <w:tcPr>
            <w:tcW w:w="2080" w:type="dxa"/>
            <w:vAlign w:val="bottom"/>
          </w:tcPr>
          <w:p>
            <w:pPr>
              <w:jc w:val="right"/>
              <w:spacing w:after="0"/>
              <w:rPr>
                <w:sz w:val="20"/>
                <w:szCs w:val="20"/>
                <w:color w:val="auto"/>
              </w:rPr>
            </w:pPr>
            <w:r>
              <w:rPr>
                <w:rFonts w:ascii="Arial" w:cs="Arial" w:eastAsia="Arial" w:hAnsi="Arial"/>
                <w:sz w:val="19"/>
                <w:szCs w:val="19"/>
                <w:i w:val="1"/>
                <w:iCs w:val="1"/>
                <w:color w:val="auto"/>
              </w:rPr>
              <w:t>CREDIT SUISSE</w:t>
            </w:r>
          </w:p>
        </w:tc>
      </w:tr>
      <w:tr>
        <w:trPr>
          <w:trHeight w:val="336"/>
        </w:trPr>
        <w:tc>
          <w:tcPr>
            <w:tcW w:w="2320" w:type="dxa"/>
            <w:vAlign w:val="bottom"/>
          </w:tcPr>
          <w:p>
            <w:pPr>
              <w:spacing w:after="0"/>
              <w:rPr>
                <w:sz w:val="20"/>
                <w:szCs w:val="20"/>
                <w:color w:val="auto"/>
              </w:rPr>
            </w:pPr>
            <w:r>
              <w:rPr>
                <w:rFonts w:ascii="Arial" w:cs="Arial" w:eastAsia="Arial" w:hAnsi="Arial"/>
                <w:sz w:val="17"/>
                <w:szCs w:val="17"/>
                <w:i w:val="1"/>
                <w:iCs w:val="1"/>
                <w:color w:val="auto"/>
              </w:rPr>
              <w:t>BofA MERRILL LYNCH</w:t>
            </w:r>
          </w:p>
        </w:tc>
        <w:tc>
          <w:tcPr>
            <w:tcW w:w="4400" w:type="dxa"/>
            <w:vAlign w:val="bottom"/>
            <w:gridSpan w:val="2"/>
          </w:tcPr>
          <w:p>
            <w:pPr>
              <w:ind w:left="2260"/>
              <w:spacing w:after="0"/>
              <w:rPr>
                <w:sz w:val="20"/>
                <w:szCs w:val="20"/>
                <w:color w:val="auto"/>
              </w:rPr>
            </w:pPr>
            <w:r>
              <w:rPr>
                <w:rFonts w:ascii="Arial" w:cs="Arial" w:eastAsia="Arial" w:hAnsi="Arial"/>
                <w:sz w:val="17"/>
                <w:szCs w:val="17"/>
                <w:i w:val="1"/>
                <w:iCs w:val="1"/>
                <w:color w:val="auto"/>
              </w:rPr>
              <w:t>RBC CAPITAL MARKETS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7"/>
                <w:szCs w:val="17"/>
                <w:i w:val="1"/>
                <w:iCs w:val="1"/>
                <w:color w:val="auto"/>
                <w:w w:val="89"/>
              </w:rPr>
              <w:t>WELLS FARGO SECURITIES</w:t>
            </w:r>
          </w:p>
        </w:tc>
      </w:tr>
      <w:tr>
        <w:trPr>
          <w:trHeight w:val="308"/>
        </w:trPr>
        <w:tc>
          <w:tcPr>
            <w:tcW w:w="2320" w:type="dxa"/>
            <w:vAlign w:val="bottom"/>
          </w:tcPr>
          <w:p>
            <w:pPr>
              <w:spacing w:after="0"/>
              <w:rPr>
                <w:sz w:val="20"/>
                <w:szCs w:val="20"/>
                <w:color w:val="auto"/>
              </w:rPr>
            </w:pPr>
            <w:r>
              <w:rPr>
                <w:rFonts w:ascii="Arial" w:cs="Arial" w:eastAsia="Arial" w:hAnsi="Arial"/>
                <w:sz w:val="15"/>
                <w:szCs w:val="15"/>
                <w:i w:val="1"/>
                <w:iCs w:val="1"/>
                <w:color w:val="auto"/>
              </w:rPr>
              <w:t>JMP SECURITIES</w:t>
            </w:r>
          </w:p>
        </w:tc>
        <w:tc>
          <w:tcPr>
            <w:tcW w:w="4400" w:type="dxa"/>
            <w:vAlign w:val="bottom"/>
            <w:gridSpan w:val="2"/>
          </w:tcPr>
          <w:p>
            <w:pPr>
              <w:ind w:left="660"/>
              <w:spacing w:after="0"/>
              <w:rPr>
                <w:sz w:val="20"/>
                <w:szCs w:val="20"/>
                <w:color w:val="auto"/>
              </w:rPr>
            </w:pPr>
            <w:r>
              <w:rPr>
                <w:rFonts w:ascii="Arial" w:cs="Arial" w:eastAsia="Arial" w:hAnsi="Arial"/>
                <w:sz w:val="15"/>
                <w:szCs w:val="15"/>
                <w:i w:val="1"/>
                <w:iCs w:val="1"/>
                <w:color w:val="auto"/>
              </w:rPr>
              <w:t>KEYBANC CAPITAL MARKETS</w:t>
            </w:r>
          </w:p>
        </w:tc>
        <w:tc>
          <w:tcPr>
            <w:tcW w:w="3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Arial" w:cs="Arial" w:eastAsia="Arial" w:hAnsi="Arial"/>
                <w:sz w:val="15"/>
                <w:szCs w:val="15"/>
                <w:i w:val="1"/>
                <w:iCs w:val="1"/>
                <w:color w:val="auto"/>
              </w:rPr>
              <w:t>PIPER JAFFRAY</w:t>
            </w:r>
          </w:p>
        </w:tc>
        <w:tc>
          <w:tcPr>
            <w:tcW w:w="920" w:type="dxa"/>
            <w:vAlign w:val="bottom"/>
          </w:tcPr>
          <w:p>
            <w:pPr>
              <w:ind w:left="440"/>
              <w:spacing w:after="0"/>
              <w:rPr>
                <w:sz w:val="20"/>
                <w:szCs w:val="20"/>
                <w:color w:val="auto"/>
              </w:rPr>
            </w:pPr>
            <w:r>
              <w:rPr>
                <w:rFonts w:ascii="Arial" w:cs="Arial" w:eastAsia="Arial" w:hAnsi="Arial"/>
                <w:sz w:val="15"/>
                <w:szCs w:val="15"/>
                <w:i w:val="1"/>
                <w:iCs w:val="1"/>
                <w:color w:val="auto"/>
                <w:w w:val="90"/>
              </w:rPr>
              <w:t>STIFEL</w:t>
            </w:r>
          </w:p>
        </w:tc>
        <w:tc>
          <w:tcPr>
            <w:tcW w:w="2080" w:type="dxa"/>
            <w:vAlign w:val="bottom"/>
          </w:tcPr>
          <w:p>
            <w:pPr>
              <w:jc w:val="right"/>
              <w:spacing w:after="0"/>
              <w:rPr>
                <w:sz w:val="20"/>
                <w:szCs w:val="20"/>
                <w:color w:val="auto"/>
              </w:rPr>
            </w:pPr>
            <w:r>
              <w:rPr>
                <w:rFonts w:ascii="Arial" w:cs="Arial" w:eastAsia="Arial" w:hAnsi="Arial"/>
                <w:sz w:val="15"/>
                <w:szCs w:val="15"/>
                <w:i w:val="1"/>
                <w:iCs w:val="1"/>
                <w:color w:val="auto"/>
              </w:rPr>
              <w:t>WILLIAM BLAIR</w:t>
            </w:r>
          </w:p>
        </w:tc>
      </w:tr>
    </w:tbl>
    <w:p>
      <w:pPr>
        <w:spacing w:after="0" w:line="198" w:lineRule="exact"/>
        <w:rPr>
          <w:sz w:val="20"/>
          <w:szCs w:val="20"/>
          <w:color w:val="auto"/>
        </w:rPr>
      </w:pPr>
    </w:p>
    <w:p>
      <w:pPr>
        <w:sectPr>
          <w:pgSz w:w="12240" w:h="15840" w:orient="portrait"/>
          <w:cols w:equalWidth="0" w:num="1">
            <w:col w:w="11820"/>
          </w:cols>
          <w:pgMar w:left="120" w:top="336" w:right="300" w:bottom="0" w:gutter="0" w:footer="0" w:header="0"/>
          <w:type w:val="continuous"/>
        </w:sectPr>
      </w:pPr>
    </w:p>
    <w:p>
      <w:pPr>
        <w:ind w:left="1120"/>
        <w:spacing w:after="0"/>
        <w:rPr>
          <w:sz w:val="20"/>
          <w:szCs w:val="20"/>
          <w:color w:val="auto"/>
        </w:rPr>
      </w:pPr>
      <w:r>
        <w:rPr>
          <w:rFonts w:ascii="Arial" w:cs="Arial" w:eastAsia="Arial" w:hAnsi="Arial"/>
          <w:sz w:val="17"/>
          <w:szCs w:val="17"/>
          <w:i w:val="1"/>
          <w:iCs w:val="1"/>
          <w:color w:val="auto"/>
        </w:rPr>
        <w:t>, 2019</w:t>
      </w:r>
    </w:p>
    <w:p>
      <w:pPr>
        <w:sectPr>
          <w:pgSz w:w="12240" w:h="15840" w:orient="portrait"/>
          <w:cols w:equalWidth="0" w:num="1">
            <w:col w:w="11820"/>
          </w:cols>
          <w:pgMar w:left="120" w:top="336" w:right="300" w:bottom="0" w:gutter="0" w:footer="0" w:header="0"/>
          <w:type w:val="continuous"/>
        </w:sectPr>
      </w:pPr>
    </w:p>
    <w:bookmarkStart w:id="3" w:name="page4"/>
    <w:bookmarkEnd w:id="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Prospectus</w:t>
      </w:r>
    </w:p>
    <w:p>
      <w:pPr>
        <w:sectPr>
          <w:pgSz w:w="12240" w:h="15840" w:orient="portrait"/>
          <w:cols w:equalWidth="0" w:num="1">
            <w:col w:w="11780"/>
          </w:cols>
          <w:pgMar w:left="120" w:top="336" w:right="340" w:bottom="1440" w:gutter="0" w:footer="0" w:header="0"/>
        </w:sectPr>
      </w:pPr>
    </w:p>
    <w:p>
      <w:pPr>
        <w:spacing w:after="0" w:line="321"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5200" w:type="dxa"/>
            <w:vAlign w:val="bottom"/>
            <w:gridSpan w:val="19"/>
            <w:vMerge w:val="restart"/>
          </w:tcPr>
          <w:p>
            <w:pPr>
              <w:spacing w:after="0"/>
              <w:rPr>
                <w:rFonts w:ascii="Arial" w:cs="Arial" w:eastAsia="Arial" w:hAnsi="Arial"/>
                <w:sz w:val="19"/>
                <w:szCs w:val="19"/>
                <w:color w:val="0000EE"/>
              </w:rPr>
            </w:pPr>
            <w:hyperlink w:anchor="page5">
              <w:r>
                <w:rPr>
                  <w:rFonts w:ascii="Arial" w:cs="Arial" w:eastAsia="Arial" w:hAnsi="Arial"/>
                  <w:sz w:val="19"/>
                  <w:szCs w:val="19"/>
                  <w:color w:val="0000EE"/>
                </w:rPr>
                <w:t>A LETTER FROM ERIC S. YUAN</w:t>
              </w:r>
            </w:hyperlink>
          </w:p>
        </w:tc>
        <w:tc>
          <w:tcPr>
            <w:tcW w:w="3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80"/>
        </w:trPr>
        <w:tc>
          <w:tcPr>
            <w:tcW w:w="5200" w:type="dxa"/>
            <w:vAlign w:val="bottom"/>
            <w:gridSpan w:val="19"/>
            <w:vMerge w:val="continue"/>
          </w:tcPr>
          <w:p>
            <w:pPr>
              <w:spacing w:after="0"/>
              <w:rPr>
                <w:sz w:val="15"/>
                <w:szCs w:val="15"/>
                <w:color w:val="auto"/>
              </w:rPr>
            </w:pPr>
          </w:p>
        </w:tc>
        <w:tc>
          <w:tcPr>
            <w:tcW w:w="3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9"/>
                <w:szCs w:val="19"/>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760" w:type="dxa"/>
            <w:vAlign w:val="bottom"/>
            <w:tcBorders>
              <w:top w:val="single" w:sz="8" w:color="0000EE"/>
            </w:tcBorders>
            <w:gridSpan w:val="13"/>
          </w:tcPr>
          <w:p>
            <w:pPr>
              <w:spacing w:after="0" w:line="208" w:lineRule="exact"/>
              <w:rPr>
                <w:rFonts w:ascii="Arial" w:cs="Arial" w:eastAsia="Arial" w:hAnsi="Arial"/>
                <w:sz w:val="19"/>
                <w:szCs w:val="19"/>
                <w:color w:val="0000EE"/>
              </w:rPr>
            </w:pPr>
            <w:hyperlink w:anchor="page8">
              <w:r>
                <w:rPr>
                  <w:rFonts w:ascii="Arial" w:cs="Arial" w:eastAsia="Arial" w:hAnsi="Arial"/>
                  <w:sz w:val="19"/>
                  <w:szCs w:val="19"/>
                  <w:color w:val="0000EE"/>
                </w:rPr>
                <w:t>PROSPECTUS SUMMARY</w:t>
              </w:r>
            </w:hyperlink>
          </w:p>
        </w:tc>
        <w:tc>
          <w:tcPr>
            <w:tcW w:w="2440" w:type="dxa"/>
            <w:vAlign w:val="bottom"/>
            <w:gridSpan w:val="6"/>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08"/>
        </w:trPr>
        <w:tc>
          <w:tcPr>
            <w:tcW w:w="2200" w:type="dxa"/>
            <w:vAlign w:val="bottom"/>
            <w:tcBorders>
              <w:top w:val="single" w:sz="8" w:color="0000EE"/>
            </w:tcBorders>
            <w:gridSpan w:val="11"/>
          </w:tcPr>
          <w:p>
            <w:pPr>
              <w:spacing w:after="0" w:line="208" w:lineRule="exact"/>
              <w:rPr>
                <w:rFonts w:ascii="Arial" w:cs="Arial" w:eastAsia="Arial" w:hAnsi="Arial"/>
                <w:sz w:val="19"/>
                <w:szCs w:val="19"/>
                <w:color w:val="0000EE"/>
              </w:rPr>
            </w:pPr>
            <w:hyperlink w:anchor="page20">
              <w:r>
                <w:rPr>
                  <w:rFonts w:ascii="Arial" w:cs="Arial" w:eastAsia="Arial" w:hAnsi="Arial"/>
                  <w:sz w:val="19"/>
                  <w:szCs w:val="19"/>
                  <w:color w:val="0000EE"/>
                </w:rPr>
                <w:t>RISK FACTORS</w:t>
              </w:r>
            </w:hyperlink>
          </w:p>
        </w:tc>
        <w:tc>
          <w:tcPr>
            <w:tcW w:w="3000" w:type="dxa"/>
            <w:vAlign w:val="bottom"/>
            <w:gridSpan w:val="8"/>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0" w:type="dxa"/>
            <w:vAlign w:val="bottom"/>
            <w:tcBorders>
              <w:bottom w:val="single" w:sz="8" w:color="0000EE"/>
            </w:tcBorders>
            <w:gridSpan w:val="17"/>
          </w:tcPr>
          <w:p>
            <w:pPr>
              <w:spacing w:after="0" w:line="208" w:lineRule="exact"/>
              <w:rPr>
                <w:rFonts w:ascii="Arial" w:cs="Arial" w:eastAsia="Arial" w:hAnsi="Arial"/>
                <w:sz w:val="19"/>
                <w:szCs w:val="19"/>
                <w:color w:val="0000EE"/>
                <w:w w:val="96"/>
              </w:rPr>
            </w:pPr>
            <w:hyperlink w:anchor="page51">
              <w:r>
                <w:rPr>
                  <w:rFonts w:ascii="Arial" w:cs="Arial" w:eastAsia="Arial" w:hAnsi="Arial"/>
                  <w:sz w:val="19"/>
                  <w:szCs w:val="19"/>
                  <w:color w:val="0000EE"/>
                  <w:w w:val="96"/>
                </w:rPr>
                <w:t>SPECIAL NOTE REGARDING FORWARD-LOOKING</w:t>
              </w:r>
            </w:hyperlink>
          </w:p>
        </w:tc>
        <w:tc>
          <w:tcPr>
            <w:tcW w:w="8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200" w:type="dxa"/>
            <w:vAlign w:val="bottom"/>
            <w:tcBorders>
              <w:bottom w:val="single" w:sz="8" w:color="0000EE"/>
            </w:tcBorders>
            <w:gridSpan w:val="6"/>
          </w:tcPr>
          <w:p>
            <w:pPr>
              <w:spacing w:after="0" w:line="208" w:lineRule="exact"/>
              <w:rPr>
                <w:rFonts w:ascii="Arial" w:cs="Arial" w:eastAsia="Arial" w:hAnsi="Arial"/>
                <w:sz w:val="19"/>
                <w:szCs w:val="19"/>
                <w:color w:val="0000EE"/>
                <w:w w:val="92"/>
              </w:rPr>
            </w:pPr>
            <w:hyperlink w:anchor="page51">
              <w:r>
                <w:rPr>
                  <w:rFonts w:ascii="Arial" w:cs="Arial" w:eastAsia="Arial" w:hAnsi="Arial"/>
                  <w:sz w:val="19"/>
                  <w:szCs w:val="19"/>
                  <w:color w:val="0000EE"/>
                  <w:w w:val="92"/>
                </w:rPr>
                <w:t>STATEMENTS</w:t>
              </w:r>
            </w:hyperlink>
          </w:p>
        </w:tc>
        <w:tc>
          <w:tcPr>
            <w:tcW w:w="3800" w:type="dxa"/>
            <w:vAlign w:val="bottom"/>
            <w:gridSpan w:val="12"/>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46</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52">
              <w:r>
                <w:rPr>
                  <w:rFonts w:ascii="Arial" w:cs="Arial" w:eastAsia="Arial" w:hAnsi="Arial"/>
                  <w:sz w:val="19"/>
                  <w:szCs w:val="19"/>
                  <w:color w:val="0000EE"/>
                </w:rPr>
                <w:t>MARKET AND INDUSTRY DATA</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08"/>
        </w:trPr>
        <w:tc>
          <w:tcPr>
            <w:tcW w:w="1680" w:type="dxa"/>
            <w:vAlign w:val="bottom"/>
            <w:tcBorders>
              <w:top w:val="single" w:sz="8" w:color="0000EE"/>
              <w:bottom w:val="single" w:sz="8" w:color="0000EE"/>
            </w:tcBorders>
            <w:gridSpan w:val="10"/>
          </w:tcPr>
          <w:p>
            <w:pPr>
              <w:spacing w:after="0" w:line="208" w:lineRule="exact"/>
              <w:rPr>
                <w:rFonts w:ascii="Arial" w:cs="Arial" w:eastAsia="Arial" w:hAnsi="Arial"/>
                <w:sz w:val="19"/>
                <w:szCs w:val="19"/>
                <w:color w:val="0000EE"/>
                <w:w w:val="90"/>
              </w:rPr>
            </w:pPr>
            <w:hyperlink w:anchor="page53">
              <w:r>
                <w:rPr>
                  <w:rFonts w:ascii="Arial" w:cs="Arial" w:eastAsia="Arial" w:hAnsi="Arial"/>
                  <w:sz w:val="19"/>
                  <w:szCs w:val="19"/>
                  <w:color w:val="0000EE"/>
                  <w:w w:val="90"/>
                </w:rPr>
                <w:t>USE OF PROCEEDS</w:t>
              </w:r>
            </w:hyperlink>
          </w:p>
        </w:tc>
        <w:tc>
          <w:tcPr>
            <w:tcW w:w="1120" w:type="dxa"/>
            <w:vAlign w:val="bottom"/>
            <w:tcBorders>
              <w:top w:val="single" w:sz="8" w:color="0000EE"/>
            </w:tcBorders>
            <w:gridSpan w:val="4"/>
          </w:tcPr>
          <w:p>
            <w:pPr>
              <w:spacing w:after="0"/>
              <w:rPr>
                <w:sz w:val="18"/>
                <w:szCs w:val="18"/>
                <w:color w:val="auto"/>
              </w:rPr>
            </w:pPr>
          </w:p>
        </w:tc>
        <w:tc>
          <w:tcPr>
            <w:tcW w:w="2400" w:type="dxa"/>
            <w:vAlign w:val="bottom"/>
            <w:gridSpan w:val="5"/>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53">
              <w:r>
                <w:rPr>
                  <w:rFonts w:ascii="Arial" w:cs="Arial" w:eastAsia="Arial" w:hAnsi="Arial"/>
                  <w:sz w:val="19"/>
                  <w:szCs w:val="19"/>
                  <w:color w:val="0000EE"/>
                </w:rPr>
                <w:t>DIVIDEND POLICY</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08"/>
        </w:trPr>
        <w:tc>
          <w:tcPr>
            <w:tcW w:w="1660" w:type="dxa"/>
            <w:vAlign w:val="bottom"/>
            <w:tcBorders>
              <w:top w:val="single" w:sz="8" w:color="0000EE"/>
            </w:tcBorders>
            <w:gridSpan w:val="9"/>
          </w:tcPr>
          <w:p>
            <w:pPr>
              <w:spacing w:after="0" w:line="208" w:lineRule="exact"/>
              <w:rPr>
                <w:rFonts w:ascii="Arial" w:cs="Arial" w:eastAsia="Arial" w:hAnsi="Arial"/>
                <w:sz w:val="19"/>
                <w:szCs w:val="19"/>
                <w:color w:val="0000EE"/>
              </w:rPr>
            </w:pPr>
            <w:hyperlink w:anchor="page54">
              <w:r>
                <w:rPr>
                  <w:rFonts w:ascii="Arial" w:cs="Arial" w:eastAsia="Arial" w:hAnsi="Arial"/>
                  <w:sz w:val="19"/>
                  <w:szCs w:val="19"/>
                  <w:color w:val="0000EE"/>
                </w:rPr>
                <w:t>CAPITALIZATION</w:t>
              </w:r>
            </w:hyperlink>
          </w:p>
        </w:tc>
        <w:tc>
          <w:tcPr>
            <w:tcW w:w="3540" w:type="dxa"/>
            <w:vAlign w:val="bottom"/>
            <w:gridSpan w:val="10"/>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49</w:t>
            </w:r>
          </w:p>
        </w:tc>
        <w:tc>
          <w:tcPr>
            <w:tcW w:w="0" w:type="dxa"/>
            <w:vAlign w:val="bottom"/>
          </w:tcPr>
          <w:p>
            <w:pPr>
              <w:spacing w:after="0"/>
              <w:rPr>
                <w:sz w:val="1"/>
                <w:szCs w:val="1"/>
                <w:color w:val="auto"/>
              </w:rPr>
            </w:pPr>
          </w:p>
        </w:tc>
      </w:tr>
      <w:tr>
        <w:trPr>
          <w:trHeight w:val="208"/>
        </w:trPr>
        <w:tc>
          <w:tcPr>
            <w:tcW w:w="920" w:type="dxa"/>
            <w:vAlign w:val="bottom"/>
            <w:tcBorders>
              <w:top w:val="single" w:sz="8" w:color="0000EE"/>
              <w:bottom w:val="single" w:sz="8" w:color="0000EE"/>
            </w:tcBorders>
            <w:gridSpan w:val="3"/>
          </w:tcPr>
          <w:p>
            <w:pPr>
              <w:spacing w:after="0" w:line="208" w:lineRule="exact"/>
              <w:rPr>
                <w:rFonts w:ascii="Arial" w:cs="Arial" w:eastAsia="Arial" w:hAnsi="Arial"/>
                <w:sz w:val="19"/>
                <w:szCs w:val="19"/>
                <w:color w:val="0000EE"/>
              </w:rPr>
            </w:pPr>
            <w:hyperlink w:anchor="page56">
              <w:r>
                <w:rPr>
                  <w:rFonts w:ascii="Arial" w:cs="Arial" w:eastAsia="Arial" w:hAnsi="Arial"/>
                  <w:sz w:val="19"/>
                  <w:szCs w:val="19"/>
                  <w:color w:val="0000EE"/>
                </w:rPr>
                <w:t>DILUTION</w:t>
              </w:r>
            </w:hyperlink>
          </w:p>
        </w:tc>
        <w:tc>
          <w:tcPr>
            <w:tcW w:w="620" w:type="dxa"/>
            <w:vAlign w:val="bottom"/>
            <w:tcBorders>
              <w:top w:val="single" w:sz="8" w:color="0000EE"/>
            </w:tcBorders>
            <w:gridSpan w:val="5"/>
          </w:tcPr>
          <w:p>
            <w:pPr>
              <w:spacing w:after="0"/>
              <w:rPr>
                <w:sz w:val="18"/>
                <w:szCs w:val="18"/>
                <w:color w:val="auto"/>
              </w:rPr>
            </w:pPr>
          </w:p>
        </w:tc>
        <w:tc>
          <w:tcPr>
            <w:tcW w:w="3660" w:type="dxa"/>
            <w:vAlign w:val="bottom"/>
            <w:gridSpan w:val="11"/>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0000EE"/>
            </w:tcBorders>
            <w:gridSpan w:val="16"/>
          </w:tcPr>
          <w:p>
            <w:pPr>
              <w:spacing w:after="0" w:line="208" w:lineRule="exact"/>
              <w:rPr>
                <w:rFonts w:ascii="Arial" w:cs="Arial" w:eastAsia="Arial" w:hAnsi="Arial"/>
                <w:sz w:val="19"/>
                <w:szCs w:val="19"/>
                <w:color w:val="0000EE"/>
                <w:w w:val="97"/>
              </w:rPr>
            </w:pPr>
            <w:hyperlink w:anchor="page58">
              <w:r>
                <w:rPr>
                  <w:rFonts w:ascii="Arial" w:cs="Arial" w:eastAsia="Arial" w:hAnsi="Arial"/>
                  <w:sz w:val="19"/>
                  <w:szCs w:val="19"/>
                  <w:color w:val="0000EE"/>
                  <w:w w:val="97"/>
                </w:rPr>
                <w:t>SELECTED CONSOLIDATED FINANCIAL DATA</w:t>
              </w:r>
            </w:hyperlink>
          </w:p>
        </w:tc>
        <w:tc>
          <w:tcPr>
            <w:tcW w:w="1140" w:type="dxa"/>
            <w:vAlign w:val="bottom"/>
            <w:gridSpan w:val="3"/>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08"/>
        </w:trPr>
        <w:tc>
          <w:tcPr>
            <w:tcW w:w="4440" w:type="dxa"/>
            <w:vAlign w:val="bottom"/>
            <w:tcBorders>
              <w:bottom w:val="single" w:sz="8" w:color="0000EE"/>
            </w:tcBorders>
            <w:gridSpan w:val="18"/>
          </w:tcPr>
          <w:p>
            <w:pPr>
              <w:spacing w:after="0" w:line="208" w:lineRule="exact"/>
              <w:rPr>
                <w:rFonts w:ascii="Arial" w:cs="Arial" w:eastAsia="Arial" w:hAnsi="Arial"/>
                <w:sz w:val="19"/>
                <w:szCs w:val="19"/>
                <w:color w:val="0000EE"/>
                <w:w w:val="97"/>
              </w:rPr>
            </w:pPr>
            <w:hyperlink w:anchor="page60">
              <w:r>
                <w:rPr>
                  <w:rFonts w:ascii="Arial" w:cs="Arial" w:eastAsia="Arial" w:hAnsi="Arial"/>
                  <w:sz w:val="19"/>
                  <w:szCs w:val="19"/>
                  <w:color w:val="0000EE"/>
                  <w:w w:val="97"/>
                </w:rPr>
                <w:t>MANAGEMENT’S DISCUSSION AND ANALYSIS OF</w:t>
              </w:r>
            </w:hyperlink>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5000" w:type="dxa"/>
            <w:vAlign w:val="bottom"/>
            <w:gridSpan w:val="18"/>
          </w:tcPr>
          <w:p>
            <w:pPr>
              <w:spacing w:after="0" w:line="208" w:lineRule="exact"/>
              <w:rPr>
                <w:rFonts w:ascii="Arial" w:cs="Arial" w:eastAsia="Arial" w:hAnsi="Arial"/>
                <w:sz w:val="19"/>
                <w:szCs w:val="19"/>
                <w:color w:val="0000EE"/>
              </w:rPr>
            </w:pPr>
            <w:hyperlink w:anchor="page60">
              <w:r>
                <w:rPr>
                  <w:rFonts w:ascii="Arial" w:cs="Arial" w:eastAsia="Arial" w:hAnsi="Arial"/>
                  <w:sz w:val="19"/>
                  <w:szCs w:val="19"/>
                  <w:color w:val="0000EE"/>
                </w:rPr>
                <w:t>FINANCIAL CONDITION AND RESULTS OF</w:t>
              </w:r>
            </w:hyperlink>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1160" w:type="dxa"/>
            <w:vAlign w:val="bottom"/>
            <w:tcBorders>
              <w:top w:val="single" w:sz="8" w:color="0000EE"/>
              <w:bottom w:val="single" w:sz="8" w:color="0000EE"/>
            </w:tcBorders>
            <w:gridSpan w:val="4"/>
          </w:tcPr>
          <w:p>
            <w:pPr>
              <w:spacing w:after="0" w:line="208" w:lineRule="exact"/>
              <w:rPr>
                <w:rFonts w:ascii="Arial" w:cs="Arial" w:eastAsia="Arial" w:hAnsi="Arial"/>
                <w:sz w:val="19"/>
                <w:szCs w:val="19"/>
                <w:color w:val="0000EE"/>
                <w:w w:val="91"/>
              </w:rPr>
            </w:pPr>
            <w:hyperlink w:anchor="page60">
              <w:r>
                <w:rPr>
                  <w:rFonts w:ascii="Arial" w:cs="Arial" w:eastAsia="Arial" w:hAnsi="Arial"/>
                  <w:sz w:val="19"/>
                  <w:szCs w:val="19"/>
                  <w:color w:val="0000EE"/>
                  <w:w w:val="91"/>
                </w:rPr>
                <w:t>OPERATIONS</w:t>
              </w:r>
            </w:hyperlink>
          </w:p>
        </w:tc>
        <w:tc>
          <w:tcPr>
            <w:tcW w:w="2560" w:type="dxa"/>
            <w:vAlign w:val="bottom"/>
            <w:tcBorders>
              <w:top w:val="single" w:sz="8" w:color="0000EE"/>
            </w:tcBorders>
            <w:gridSpan w:val="10"/>
          </w:tcPr>
          <w:p>
            <w:pPr>
              <w:spacing w:after="0"/>
              <w:rPr>
                <w:sz w:val="18"/>
                <w:szCs w:val="18"/>
                <w:color w:val="auto"/>
              </w:rPr>
            </w:pPr>
          </w:p>
        </w:tc>
        <w:tc>
          <w:tcPr>
            <w:tcW w:w="1280" w:type="dxa"/>
            <w:vAlign w:val="bottom"/>
            <w:gridSpan w:val="4"/>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78">
              <w:r>
                <w:rPr>
                  <w:rFonts w:ascii="Arial" w:cs="Arial" w:eastAsia="Arial" w:hAnsi="Arial"/>
                  <w:sz w:val="19"/>
                  <w:szCs w:val="19"/>
                  <w:color w:val="0000EE"/>
                </w:rPr>
                <w:t>BUSINESS</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380" w:type="dxa"/>
            <w:vAlign w:val="bottom"/>
            <w:tcBorders>
              <w:bottom w:val="single" w:sz="8" w:color="0000EE"/>
            </w:tcBorders>
            <w:gridSpan w:val="6"/>
          </w:tcPr>
          <w:p>
            <w:pPr>
              <w:spacing w:after="0" w:line="208" w:lineRule="exact"/>
              <w:rPr>
                <w:rFonts w:ascii="Arial" w:cs="Arial" w:eastAsia="Arial" w:hAnsi="Arial"/>
                <w:sz w:val="19"/>
                <w:szCs w:val="19"/>
                <w:color w:val="0000EE"/>
                <w:w w:val="99"/>
              </w:rPr>
            </w:pPr>
            <w:hyperlink w:anchor="page93">
              <w:r>
                <w:rPr>
                  <w:rFonts w:ascii="Arial" w:cs="Arial" w:eastAsia="Arial" w:hAnsi="Arial"/>
                  <w:sz w:val="19"/>
                  <w:szCs w:val="19"/>
                  <w:color w:val="0000EE"/>
                  <w:w w:val="99"/>
                </w:rPr>
                <w:t>MANAGEMENT</w:t>
              </w:r>
            </w:hyperlink>
          </w:p>
        </w:tc>
        <w:tc>
          <w:tcPr>
            <w:tcW w:w="3820" w:type="dxa"/>
            <w:vAlign w:val="bottom"/>
            <w:gridSpan w:val="13"/>
          </w:tcPr>
          <w:p>
            <w:pPr>
              <w:spacing w:after="0"/>
              <w:rPr>
                <w:sz w:val="18"/>
                <w:szCs w:val="18"/>
                <w:color w:val="auto"/>
              </w:rPr>
            </w:pPr>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88</w:t>
            </w:r>
          </w:p>
        </w:tc>
        <w:tc>
          <w:tcPr>
            <w:tcW w:w="0" w:type="dxa"/>
            <w:vAlign w:val="bottom"/>
          </w:tcPr>
          <w:p>
            <w:pPr>
              <w:spacing w:after="0"/>
              <w:rPr>
                <w:sz w:val="1"/>
                <w:szCs w:val="1"/>
                <w:color w:val="auto"/>
              </w:rPr>
            </w:pPr>
          </w:p>
        </w:tc>
      </w:tr>
      <w:tr>
        <w:trPr>
          <w:trHeight w:val="208"/>
        </w:trPr>
        <w:tc>
          <w:tcPr>
            <w:tcW w:w="5200" w:type="dxa"/>
            <w:vAlign w:val="bottom"/>
            <w:gridSpan w:val="19"/>
          </w:tcPr>
          <w:p>
            <w:pPr>
              <w:spacing w:after="0" w:line="208" w:lineRule="exact"/>
              <w:rPr>
                <w:rFonts w:ascii="Arial" w:cs="Arial" w:eastAsia="Arial" w:hAnsi="Arial"/>
                <w:sz w:val="19"/>
                <w:szCs w:val="19"/>
                <w:color w:val="0000EE"/>
              </w:rPr>
            </w:pPr>
            <w:hyperlink w:anchor="page101">
              <w:r>
                <w:rPr>
                  <w:rFonts w:ascii="Arial" w:cs="Arial" w:eastAsia="Arial" w:hAnsi="Arial"/>
                  <w:sz w:val="19"/>
                  <w:szCs w:val="19"/>
                  <w:color w:val="0000EE"/>
                </w:rPr>
                <w:t>EXECUTIVE COMPENSATION</w:t>
              </w:r>
            </w:hyperlink>
          </w:p>
        </w:tc>
        <w:tc>
          <w:tcPr>
            <w:tcW w:w="340" w:type="dxa"/>
            <w:vAlign w:val="bottom"/>
            <w:gridSpan w:val="2"/>
          </w:tcPr>
          <w:p>
            <w:pPr>
              <w:jc w:val="right"/>
              <w:ind w:right="20"/>
              <w:spacing w:after="0" w:line="208" w:lineRule="exact"/>
              <w:rPr>
                <w:sz w:val="20"/>
                <w:szCs w:val="20"/>
                <w:color w:val="auto"/>
              </w:rPr>
            </w:pPr>
            <w:r>
              <w:rPr>
                <w:rFonts w:ascii="Arial" w:cs="Arial" w:eastAsia="Arial" w:hAnsi="Arial"/>
                <w:sz w:val="19"/>
                <w:szCs w:val="19"/>
                <w:color w:val="auto"/>
              </w:rPr>
              <w:t>96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300" w:type="dxa"/>
            <w:vAlign w:val="bottom"/>
            <w:gridSpan w:val="15"/>
            <w:vMerge w:val="restart"/>
          </w:tcPr>
          <w:p>
            <w:pPr>
              <w:spacing w:after="0"/>
              <w:rPr>
                <w:rFonts w:ascii="Arial" w:cs="Arial" w:eastAsia="Arial" w:hAnsi="Arial"/>
                <w:sz w:val="19"/>
                <w:szCs w:val="19"/>
                <w:color w:val="0000EE"/>
              </w:rPr>
            </w:pPr>
            <w:hyperlink w:anchor="page110">
              <w:r>
                <w:rPr>
                  <w:rFonts w:ascii="Arial" w:cs="Arial" w:eastAsia="Arial" w:hAnsi="Arial"/>
                  <w:sz w:val="19"/>
                  <w:szCs w:val="19"/>
                  <w:color w:val="0000EE"/>
                </w:rPr>
                <w:t>CERTAIN RELATIONSHIPS AND RELATED PARTY</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65"/>
        </w:trPr>
        <w:tc>
          <w:tcPr>
            <w:tcW w:w="5300" w:type="dxa"/>
            <w:vAlign w:val="bottom"/>
            <w:gridSpan w:val="15"/>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80" w:type="dxa"/>
            <w:vAlign w:val="bottom"/>
            <w:tcBorders>
              <w:top w:val="single" w:sz="8" w:color="0000EE"/>
            </w:tcBorders>
          </w:tcPr>
          <w:p>
            <w:pPr>
              <w:spacing w:after="0"/>
              <w:rPr>
                <w:sz w:val="18"/>
                <w:szCs w:val="18"/>
                <w:color w:val="auto"/>
              </w:rPr>
            </w:pPr>
          </w:p>
        </w:tc>
        <w:tc>
          <w:tcPr>
            <w:tcW w:w="1460" w:type="dxa"/>
            <w:vAlign w:val="bottom"/>
            <w:tcBorders>
              <w:top w:val="single" w:sz="8" w:color="0000EE"/>
              <w:bottom w:val="single" w:sz="8" w:color="0000EE"/>
            </w:tcBorders>
            <w:gridSpan w:val="4"/>
          </w:tcPr>
          <w:p>
            <w:pPr>
              <w:ind w:left="20"/>
              <w:spacing w:after="0" w:line="208" w:lineRule="exact"/>
              <w:rPr>
                <w:rFonts w:ascii="Arial" w:cs="Arial" w:eastAsia="Arial" w:hAnsi="Arial"/>
                <w:sz w:val="19"/>
                <w:szCs w:val="19"/>
                <w:color w:val="0000EE"/>
                <w:w w:val="95"/>
              </w:rPr>
            </w:pPr>
            <w:hyperlink w:anchor="page110">
              <w:r>
                <w:rPr>
                  <w:rFonts w:ascii="Arial" w:cs="Arial" w:eastAsia="Arial" w:hAnsi="Arial"/>
                  <w:sz w:val="19"/>
                  <w:szCs w:val="19"/>
                  <w:color w:val="0000EE"/>
                  <w:w w:val="95"/>
                </w:rPr>
                <w:t>TRANSACTIONS</w:t>
              </w:r>
            </w:hyperlink>
          </w:p>
        </w:tc>
        <w:tc>
          <w:tcPr>
            <w:tcW w:w="2640" w:type="dxa"/>
            <w:vAlign w:val="bottom"/>
            <w:tcBorders>
              <w:top w:val="single" w:sz="8" w:color="0000EE"/>
            </w:tcBorders>
            <w:gridSpan w:val="7"/>
          </w:tcPr>
          <w:p>
            <w:pPr>
              <w:spacing w:after="0"/>
              <w:rPr>
                <w:sz w:val="18"/>
                <w:szCs w:val="18"/>
                <w:color w:val="auto"/>
              </w:rPr>
            </w:pPr>
          </w:p>
        </w:tc>
        <w:tc>
          <w:tcPr>
            <w:tcW w:w="1020" w:type="dxa"/>
            <w:vAlign w:val="bottom"/>
            <w:gridSpan w:val="3"/>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13">
              <w:r>
                <w:rPr>
                  <w:rFonts w:ascii="Arial" w:cs="Arial" w:eastAsia="Arial" w:hAnsi="Arial"/>
                  <w:sz w:val="19"/>
                  <w:szCs w:val="19"/>
                  <w:color w:val="0000EE"/>
                </w:rPr>
                <w:t>PRINCIPAL AND SELLING STOCKHOLDERS</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08"/>
        </w:trPr>
        <w:tc>
          <w:tcPr>
            <w:tcW w:w="3800" w:type="dxa"/>
            <w:vAlign w:val="bottom"/>
            <w:tcBorders>
              <w:top w:val="single" w:sz="8" w:color="0000EE"/>
            </w:tcBorders>
            <w:gridSpan w:val="10"/>
          </w:tcPr>
          <w:p>
            <w:pPr>
              <w:spacing w:after="0" w:line="208" w:lineRule="exact"/>
              <w:rPr>
                <w:rFonts w:ascii="Arial" w:cs="Arial" w:eastAsia="Arial" w:hAnsi="Arial"/>
                <w:sz w:val="19"/>
                <w:szCs w:val="19"/>
                <w:color w:val="0000EE"/>
              </w:rPr>
            </w:pPr>
            <w:hyperlink w:anchor="page116">
              <w:r>
                <w:rPr>
                  <w:rFonts w:ascii="Arial" w:cs="Arial" w:eastAsia="Arial" w:hAnsi="Arial"/>
                  <w:sz w:val="19"/>
                  <w:szCs w:val="19"/>
                  <w:color w:val="0000EE"/>
                </w:rPr>
                <w:t>DESCRIPTION OF CAPITAL STOCK</w:t>
              </w:r>
            </w:hyperlink>
          </w:p>
        </w:tc>
        <w:tc>
          <w:tcPr>
            <w:tcW w:w="1500" w:type="dxa"/>
            <w:vAlign w:val="bottom"/>
            <w:gridSpan w:val="5"/>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111</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60" w:type="dxa"/>
            <w:vAlign w:val="bottom"/>
            <w:tcBorders>
              <w:bottom w:val="single" w:sz="8" w:color="0000EE"/>
            </w:tcBorders>
            <w:gridSpan w:val="8"/>
          </w:tcPr>
          <w:p>
            <w:pPr>
              <w:spacing w:after="0" w:line="208" w:lineRule="exact"/>
              <w:rPr>
                <w:rFonts w:ascii="Arial" w:cs="Arial" w:eastAsia="Arial" w:hAnsi="Arial"/>
                <w:sz w:val="19"/>
                <w:szCs w:val="19"/>
                <w:color w:val="0000EE"/>
                <w:w w:val="95"/>
              </w:rPr>
            </w:pPr>
            <w:hyperlink w:anchor="page123">
              <w:r>
                <w:rPr>
                  <w:rFonts w:ascii="Arial" w:cs="Arial" w:eastAsia="Arial" w:hAnsi="Arial"/>
                  <w:sz w:val="19"/>
                  <w:szCs w:val="19"/>
                  <w:color w:val="0000EE"/>
                  <w:w w:val="95"/>
                </w:rPr>
                <w:t>SHARES ELIGIBLE FOR FUTURE SALE</w:t>
              </w:r>
            </w:hyperlink>
          </w:p>
        </w:tc>
        <w:tc>
          <w:tcPr>
            <w:tcW w:w="1940" w:type="dxa"/>
            <w:vAlign w:val="bottom"/>
            <w:gridSpan w:val="7"/>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118</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26">
              <w:r>
                <w:rPr>
                  <w:rFonts w:ascii="Arial" w:cs="Arial" w:eastAsia="Arial" w:hAnsi="Arial"/>
                  <w:sz w:val="19"/>
                  <w:szCs w:val="19"/>
                  <w:color w:val="0000EE"/>
                </w:rPr>
                <w:t>MATERIAL U.S. FEDERAL INCOME TAX</w:t>
              </w:r>
            </w:hyperlink>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 w:type="dxa"/>
            <w:vAlign w:val="bottom"/>
          </w:tcPr>
          <w:p>
            <w:pPr>
              <w:spacing w:after="0"/>
              <w:rPr>
                <w:sz w:val="18"/>
                <w:szCs w:val="18"/>
                <w:color w:val="auto"/>
              </w:rPr>
            </w:pPr>
          </w:p>
        </w:tc>
        <w:tc>
          <w:tcPr>
            <w:tcW w:w="4340" w:type="dxa"/>
            <w:vAlign w:val="bottom"/>
            <w:tcBorders>
              <w:bottom w:val="single" w:sz="8" w:color="0000EE"/>
            </w:tcBorders>
            <w:gridSpan w:val="12"/>
          </w:tcPr>
          <w:p>
            <w:pPr>
              <w:ind w:left="20"/>
              <w:spacing w:after="0" w:line="208" w:lineRule="exact"/>
              <w:rPr>
                <w:rFonts w:ascii="Arial" w:cs="Arial" w:eastAsia="Arial" w:hAnsi="Arial"/>
                <w:sz w:val="19"/>
                <w:szCs w:val="19"/>
                <w:color w:val="0000EE"/>
                <w:w w:val="93"/>
              </w:rPr>
            </w:pPr>
            <w:hyperlink w:anchor="page126">
              <w:r>
                <w:rPr>
                  <w:rFonts w:ascii="Arial" w:cs="Arial" w:eastAsia="Arial" w:hAnsi="Arial"/>
                  <w:sz w:val="19"/>
                  <w:szCs w:val="19"/>
                  <w:color w:val="0000EE"/>
                  <w:w w:val="93"/>
                </w:rPr>
                <w:t>CONSEQUENCES TO NON-U.S. HOLDERS OF OUR</w:t>
              </w:r>
            </w:hyperlink>
          </w:p>
        </w:tc>
        <w:tc>
          <w:tcPr>
            <w:tcW w:w="7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0" w:type="dxa"/>
            <w:vAlign w:val="bottom"/>
          </w:tcPr>
          <w:p>
            <w:pPr>
              <w:spacing w:after="0"/>
              <w:rPr>
                <w:sz w:val="18"/>
                <w:szCs w:val="18"/>
                <w:color w:val="auto"/>
              </w:rPr>
            </w:pPr>
          </w:p>
        </w:tc>
        <w:tc>
          <w:tcPr>
            <w:tcW w:w="2380" w:type="dxa"/>
            <w:vAlign w:val="bottom"/>
            <w:tcBorders>
              <w:bottom w:val="single" w:sz="8" w:color="0000EE"/>
            </w:tcBorders>
            <w:gridSpan w:val="5"/>
          </w:tcPr>
          <w:p>
            <w:pPr>
              <w:ind w:left="20"/>
              <w:spacing w:after="0" w:line="208" w:lineRule="exact"/>
              <w:rPr>
                <w:rFonts w:ascii="Arial" w:cs="Arial" w:eastAsia="Arial" w:hAnsi="Arial"/>
                <w:sz w:val="19"/>
                <w:szCs w:val="19"/>
                <w:color w:val="0000EE"/>
                <w:w w:val="95"/>
              </w:rPr>
            </w:pPr>
            <w:hyperlink w:anchor="page126">
              <w:r>
                <w:rPr>
                  <w:rFonts w:ascii="Arial" w:cs="Arial" w:eastAsia="Arial" w:hAnsi="Arial"/>
                  <w:sz w:val="19"/>
                  <w:szCs w:val="19"/>
                  <w:color w:val="0000EE"/>
                  <w:w w:val="95"/>
                </w:rPr>
                <w:t>CLASS A COMMON STOCK</w:t>
              </w:r>
            </w:hyperlink>
          </w:p>
        </w:tc>
        <w:tc>
          <w:tcPr>
            <w:tcW w:w="2740" w:type="dxa"/>
            <w:vAlign w:val="bottom"/>
            <w:gridSpan w:val="9"/>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208"/>
        </w:trPr>
        <w:tc>
          <w:tcPr>
            <w:tcW w:w="1480" w:type="dxa"/>
            <w:vAlign w:val="bottom"/>
            <w:tcBorders>
              <w:bottom w:val="single" w:sz="8" w:color="0000EE"/>
            </w:tcBorders>
            <w:gridSpan w:val="3"/>
          </w:tcPr>
          <w:p>
            <w:pPr>
              <w:spacing w:after="0" w:line="208" w:lineRule="exact"/>
              <w:rPr>
                <w:rFonts w:ascii="Arial" w:cs="Arial" w:eastAsia="Arial" w:hAnsi="Arial"/>
                <w:sz w:val="19"/>
                <w:szCs w:val="19"/>
                <w:color w:val="0000EE"/>
                <w:w w:val="94"/>
              </w:rPr>
            </w:pPr>
            <w:hyperlink w:anchor="page130">
              <w:r>
                <w:rPr>
                  <w:rFonts w:ascii="Arial" w:cs="Arial" w:eastAsia="Arial" w:hAnsi="Arial"/>
                  <w:sz w:val="19"/>
                  <w:szCs w:val="19"/>
                  <w:color w:val="0000EE"/>
                  <w:w w:val="94"/>
                </w:rPr>
                <w:t>UNDERWRITERS</w:t>
              </w:r>
            </w:hyperlink>
          </w:p>
        </w:tc>
        <w:tc>
          <w:tcPr>
            <w:tcW w:w="3820" w:type="dxa"/>
            <w:vAlign w:val="bottom"/>
            <w:gridSpan w:val="12"/>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208"/>
        </w:trPr>
        <w:tc>
          <w:tcPr>
            <w:tcW w:w="1540" w:type="dxa"/>
            <w:vAlign w:val="bottom"/>
            <w:tcBorders>
              <w:bottom w:val="single" w:sz="8" w:color="0000EE"/>
            </w:tcBorders>
            <w:gridSpan w:val="4"/>
          </w:tcPr>
          <w:p>
            <w:pPr>
              <w:spacing w:after="0" w:line="208" w:lineRule="exact"/>
              <w:rPr>
                <w:rFonts w:ascii="Arial" w:cs="Arial" w:eastAsia="Arial" w:hAnsi="Arial"/>
                <w:sz w:val="19"/>
                <w:szCs w:val="19"/>
                <w:color w:val="0000EE"/>
                <w:w w:val="96"/>
              </w:rPr>
            </w:pPr>
            <w:hyperlink w:anchor="page139">
              <w:r>
                <w:rPr>
                  <w:rFonts w:ascii="Arial" w:cs="Arial" w:eastAsia="Arial" w:hAnsi="Arial"/>
                  <w:sz w:val="19"/>
                  <w:szCs w:val="19"/>
                  <w:color w:val="0000EE"/>
                  <w:w w:val="96"/>
                </w:rPr>
                <w:t>LEGAL MATTERS</w:t>
              </w:r>
            </w:hyperlink>
          </w:p>
        </w:tc>
        <w:tc>
          <w:tcPr>
            <w:tcW w:w="3760" w:type="dxa"/>
            <w:vAlign w:val="bottom"/>
            <w:gridSpan w:val="11"/>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08"/>
        </w:trPr>
        <w:tc>
          <w:tcPr>
            <w:tcW w:w="820" w:type="dxa"/>
            <w:vAlign w:val="bottom"/>
            <w:tcBorders>
              <w:bottom w:val="single" w:sz="8" w:color="0000EE"/>
            </w:tcBorders>
            <w:gridSpan w:val="2"/>
          </w:tcPr>
          <w:p>
            <w:pPr>
              <w:spacing w:after="0" w:line="208" w:lineRule="exact"/>
              <w:rPr>
                <w:rFonts w:ascii="Arial" w:cs="Arial" w:eastAsia="Arial" w:hAnsi="Arial"/>
                <w:sz w:val="19"/>
                <w:szCs w:val="19"/>
                <w:color w:val="0000EE"/>
                <w:w w:val="90"/>
              </w:rPr>
            </w:pPr>
            <w:hyperlink w:anchor="page139">
              <w:r>
                <w:rPr>
                  <w:rFonts w:ascii="Arial" w:cs="Arial" w:eastAsia="Arial" w:hAnsi="Arial"/>
                  <w:sz w:val="19"/>
                  <w:szCs w:val="19"/>
                  <w:color w:val="0000EE"/>
                  <w:w w:val="90"/>
                </w:rPr>
                <w:t>EXPERTS</w:t>
              </w:r>
            </w:hyperlink>
          </w:p>
        </w:tc>
        <w:tc>
          <w:tcPr>
            <w:tcW w:w="4480" w:type="dxa"/>
            <w:vAlign w:val="bottom"/>
            <w:gridSpan w:val="13"/>
          </w:tcPr>
          <w:p>
            <w:pPr>
              <w:spacing w:after="0"/>
              <w:rPr>
                <w:sz w:val="18"/>
                <w:szCs w:val="18"/>
                <w:color w:val="auto"/>
              </w:rPr>
            </w:pPr>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39">
              <w:r>
                <w:rPr>
                  <w:rFonts w:ascii="Arial" w:cs="Arial" w:eastAsia="Arial" w:hAnsi="Arial"/>
                  <w:sz w:val="19"/>
                  <w:szCs w:val="19"/>
                  <w:color w:val="0000EE"/>
                </w:rPr>
                <w:t>WHERE YOU CAN FIND MORE INFORMATION</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134</w:t>
            </w:r>
          </w:p>
        </w:tc>
        <w:tc>
          <w:tcPr>
            <w:tcW w:w="0" w:type="dxa"/>
            <w:vAlign w:val="bottom"/>
          </w:tcPr>
          <w:p>
            <w:pPr>
              <w:spacing w:after="0"/>
              <w:rPr>
                <w:sz w:val="1"/>
                <w:szCs w:val="1"/>
                <w:color w:val="auto"/>
              </w:rPr>
            </w:pPr>
          </w:p>
        </w:tc>
      </w:tr>
      <w:tr>
        <w:trPr>
          <w:trHeight w:val="20"/>
        </w:trPr>
        <w:tc>
          <w:tcPr>
            <w:tcW w:w="4020" w:type="dxa"/>
            <w:vAlign w:val="bottom"/>
            <w:gridSpan w:val="11"/>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gridSpan w:val="15"/>
          </w:tcPr>
          <w:p>
            <w:pPr>
              <w:spacing w:after="0" w:line="208" w:lineRule="exact"/>
              <w:rPr>
                <w:rFonts w:ascii="Arial" w:cs="Arial" w:eastAsia="Arial" w:hAnsi="Arial"/>
                <w:sz w:val="19"/>
                <w:szCs w:val="19"/>
                <w:color w:val="0000EE"/>
              </w:rPr>
            </w:pPr>
            <w:hyperlink w:anchor="page140">
              <w:r>
                <w:rPr>
                  <w:rFonts w:ascii="Arial" w:cs="Arial" w:eastAsia="Arial" w:hAnsi="Arial"/>
                  <w:sz w:val="19"/>
                  <w:szCs w:val="19"/>
                  <w:color w:val="0000EE"/>
                </w:rPr>
                <w:t>INDEX TO CONSOLIDATED FINANCIAL STATEMENTS</w:t>
              </w:r>
            </w:hyperlink>
          </w:p>
        </w:tc>
        <w:tc>
          <w:tcPr>
            <w:tcW w:w="340" w:type="dxa"/>
            <w:vAlign w:val="bottom"/>
          </w:tcPr>
          <w:p>
            <w:pPr>
              <w:jc w:val="right"/>
              <w:spacing w:after="0" w:line="208" w:lineRule="exact"/>
              <w:rPr>
                <w:sz w:val="20"/>
                <w:szCs w:val="20"/>
                <w:color w:val="auto"/>
              </w:rPr>
            </w:pPr>
            <w:r>
              <w:rPr>
                <w:rFonts w:ascii="Arial" w:cs="Arial" w:eastAsia="Arial" w:hAnsi="Arial"/>
                <w:sz w:val="19"/>
                <w:szCs w:val="19"/>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941705</wp:posOffset>
            </wp:positionV>
            <wp:extent cx="1557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1126" w:lineRule="exact"/>
        <w:rPr>
          <w:sz w:val="20"/>
          <w:szCs w:val="20"/>
          <w:color w:val="auto"/>
        </w:rPr>
      </w:pPr>
    </w:p>
    <w:p>
      <w:pPr>
        <w:sectPr>
          <w:pgSz w:w="12240" w:h="15840" w:orient="portrait"/>
          <w:cols w:equalWidth="0" w:num="2">
            <w:col w:w="5700" w:space="420"/>
            <w:col w:w="5660"/>
          </w:cols>
          <w:pgMar w:left="120" w:top="336" w:right="3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201" w:lineRule="exact"/>
        <w:rPr>
          <w:sz w:val="20"/>
          <w:szCs w:val="20"/>
          <w:color w:val="auto"/>
        </w:rPr>
      </w:pPr>
    </w:p>
    <w:p>
      <w:pPr>
        <w:ind w:left="180" w:right="240" w:firstLine="465"/>
        <w:spacing w:after="0" w:line="287"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6"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i</w:t>
      </w:r>
    </w:p>
    <w:p>
      <w:pPr>
        <w:sectPr>
          <w:pgSz w:w="12240" w:h="15840" w:orient="portrait"/>
          <w:cols w:equalWidth="0" w:num="1">
            <w:col w:w="11780"/>
          </w:cols>
          <w:pgMar w:left="120" w:top="336" w:right="340" w:bottom="1440" w:gutter="0" w:footer="0" w:header="0"/>
          <w:type w:val="continuous"/>
        </w:sectPr>
      </w:pPr>
    </w:p>
    <w:bookmarkStart w:id="4" w:name="page5"/>
    <w:bookmarkEnd w:id="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A LETTER FROM ERIC S. YUAN</w:t>
      </w:r>
    </w:p>
    <w:p>
      <w:pPr>
        <w:spacing w:after="0" w:line="244" w:lineRule="exact"/>
        <w:rPr>
          <w:sz w:val="20"/>
          <w:szCs w:val="20"/>
          <w:color w:val="auto"/>
        </w:rPr>
      </w:pPr>
    </w:p>
    <w:p>
      <w:pPr>
        <w:ind w:left="180" w:right="280"/>
        <w:spacing w:after="0" w:line="275" w:lineRule="auto"/>
        <w:rPr>
          <w:sz w:val="20"/>
          <w:szCs w:val="20"/>
          <w:color w:val="auto"/>
        </w:rPr>
      </w:pPr>
      <w:r>
        <w:rPr>
          <w:rFonts w:ascii="Arial" w:cs="Arial" w:eastAsia="Arial" w:hAnsi="Arial"/>
          <w:sz w:val="19"/>
          <w:szCs w:val="19"/>
          <w:color w:val="auto"/>
        </w:rPr>
        <w:t>Thank you for reading our prospectus and considering an investment in Zoom. As the founder and CEO of Zoom, it is my privilege to share with you what we’re all about.</w:t>
      </w:r>
    </w:p>
    <w:p>
      <w:pPr>
        <w:spacing w:after="0" w:line="184"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color w:val="auto"/>
        </w:rPr>
        <w:t>Life is about the pursuit of happiness. The greatest, most sustainable happiness comes from making others happy. Delivering happiness is what we do at Zoom.</w:t>
      </w:r>
    </w:p>
    <w:p>
      <w:pPr>
        <w:spacing w:after="0" w:line="184" w:lineRule="exact"/>
        <w:rPr>
          <w:sz w:val="20"/>
          <w:szCs w:val="20"/>
          <w:color w:val="auto"/>
        </w:rPr>
      </w:pPr>
    </w:p>
    <w:p>
      <w:pPr>
        <w:ind w:left="180"/>
        <w:spacing w:after="0" w:line="284" w:lineRule="auto"/>
        <w:rPr>
          <w:sz w:val="20"/>
          <w:szCs w:val="20"/>
          <w:color w:val="auto"/>
        </w:rPr>
      </w:pPr>
      <w:r>
        <w:rPr>
          <w:rFonts w:ascii="Arial" w:cs="Arial" w:eastAsia="Arial" w:hAnsi="Arial"/>
          <w:sz w:val="18"/>
          <w:szCs w:val="18"/>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78" w:lineRule="exact"/>
        <w:rPr>
          <w:sz w:val="20"/>
          <w:szCs w:val="20"/>
          <w:color w:val="auto"/>
        </w:rPr>
      </w:pPr>
    </w:p>
    <w:p>
      <w:pPr>
        <w:jc w:val="both"/>
        <w:ind w:left="180" w:right="220"/>
        <w:spacing w:after="0" w:line="298" w:lineRule="auto"/>
        <w:rPr>
          <w:sz w:val="20"/>
          <w:szCs w:val="20"/>
          <w:color w:val="auto"/>
        </w:rPr>
      </w:pPr>
      <w:r>
        <w:rPr>
          <w:rFonts w:ascii="Arial" w:cs="Arial" w:eastAsia="Arial" w:hAnsi="Arial"/>
          <w:sz w:val="17"/>
          <w:szCs w:val="17"/>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70" w:lineRule="exact"/>
        <w:rPr>
          <w:sz w:val="20"/>
          <w:szCs w:val="20"/>
          <w:color w:val="auto"/>
        </w:rPr>
      </w:pPr>
    </w:p>
    <w:p>
      <w:pPr>
        <w:ind w:left="180" w:right="140"/>
        <w:spacing w:after="0" w:line="259" w:lineRule="auto"/>
        <w:rPr>
          <w:sz w:val="20"/>
          <w:szCs w:val="20"/>
          <w:color w:val="auto"/>
        </w:rPr>
      </w:pPr>
      <w:r>
        <w:rPr>
          <w:rFonts w:ascii="Arial" w:cs="Arial" w:eastAsia="Arial" w:hAnsi="Arial"/>
          <w:sz w:val="19"/>
          <w:szCs w:val="19"/>
          <w:color w:val="auto"/>
        </w:rPr>
        <w:t>Happiness delivers results. In 2018, our average customer Net Promoter Score has been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98" w:lineRule="exact"/>
        <w:rPr>
          <w:sz w:val="20"/>
          <w:szCs w:val="20"/>
          <w:color w:val="auto"/>
        </w:rPr>
      </w:pPr>
    </w:p>
    <w:p>
      <w:pPr>
        <w:ind w:left="180" w:right="80"/>
        <w:spacing w:after="0" w:line="256" w:lineRule="auto"/>
        <w:rPr>
          <w:sz w:val="20"/>
          <w:szCs w:val="20"/>
          <w:color w:val="auto"/>
        </w:rPr>
      </w:pPr>
      <w:r>
        <w:rPr>
          <w:rFonts w:ascii="Arial" w:cs="Arial" w:eastAsia="Arial" w:hAnsi="Arial"/>
          <w:sz w:val="19"/>
          <w:szCs w:val="19"/>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204" w:lineRule="exact"/>
        <w:rPr>
          <w:sz w:val="20"/>
          <w:szCs w:val="20"/>
          <w:color w:val="auto"/>
        </w:rPr>
      </w:pPr>
    </w:p>
    <w:p>
      <w:pPr>
        <w:ind w:left="180" w:right="20"/>
        <w:spacing w:after="0" w:line="259" w:lineRule="auto"/>
        <w:rPr>
          <w:sz w:val="20"/>
          <w:szCs w:val="20"/>
          <w:color w:val="auto"/>
        </w:rPr>
      </w:pPr>
      <w:r>
        <w:rPr>
          <w:rFonts w:ascii="Arial" w:cs="Arial" w:eastAsia="Arial" w:hAnsi="Arial"/>
          <w:sz w:val="19"/>
          <w:szCs w:val="19"/>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care deeply for our community, our customers, our team and our company. And today, we want to add you to that list.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1077595" cy="26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759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w:t>
      </w:r>
    </w:p>
    <w:p>
      <w:pPr>
        <w:sectPr>
          <w:pgSz w:w="12240" w:h="15840" w:orient="portrait"/>
          <w:cols w:equalWidth="0" w:num="1">
            <w:col w:w="11820"/>
          </w:cols>
          <w:pgMar w:left="120" w:top="336" w:right="300" w:bottom="1440" w:gutter="0" w:footer="0" w:header="0"/>
        </w:sectPr>
      </w:pPr>
    </w:p>
    <w:bookmarkStart w:id="5" w:name="page6"/>
    <w:bookmarkEnd w:id="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760"/>
        <w:spacing w:after="0"/>
        <w:rPr>
          <w:sz w:val="20"/>
          <w:szCs w:val="20"/>
          <w:color w:val="auto"/>
        </w:rPr>
      </w:pPr>
      <w:r>
        <w:rPr>
          <w:rFonts w:ascii="Arial" w:cs="Arial" w:eastAsia="Arial" w:hAnsi="Arial"/>
          <w:sz w:val="19"/>
          <w:szCs w:val="19"/>
          <w:color w:val="auto"/>
        </w:rPr>
        <w:t>[THIS PAGE INTENTIONALLY LEFT BLANK]</w:t>
      </w:r>
    </w:p>
    <w:p>
      <w:pPr>
        <w:sectPr>
          <w:pgSz w:w="12240" w:h="15840" w:orient="portrait"/>
          <w:cols w:equalWidth="0" w:num="1">
            <w:col w:w="10680"/>
          </w:cols>
          <w:pgMar w:left="120" w:top="336" w:right="1440" w:bottom="1440" w:gutter="0" w:footer="0" w:header="0"/>
        </w:sectPr>
      </w:pPr>
    </w:p>
    <w:bookmarkStart w:id="6" w:name="page7"/>
    <w:bookmarkEnd w:id="6"/>
    <w:p>
      <w:pPr>
        <w:jc w:val="right"/>
        <w:spacing w:after="0"/>
        <w:rPr>
          <w:sz w:val="20"/>
          <w:szCs w:val="20"/>
          <w:color w:val="auto"/>
        </w:rPr>
      </w:pPr>
    </w:p>
    <w:p>
      <w:pPr>
        <w:sectPr>
          <w:pgSz w:w="12240" w:h="15840"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532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93305" cy="65328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PROSPECTUS SUMMARY</w:t>
      </w:r>
    </w:p>
    <w:p>
      <w:pPr>
        <w:spacing w:after="0" w:line="244" w:lineRule="exact"/>
        <w:rPr>
          <w:sz w:val="20"/>
          <w:szCs w:val="20"/>
          <w:color w:val="auto"/>
        </w:rPr>
      </w:pPr>
    </w:p>
    <w:p>
      <w:pPr>
        <w:ind w:left="380" w:right="120" w:firstLine="450"/>
        <w:spacing w:after="0" w:line="254" w:lineRule="auto"/>
        <w:rPr>
          <w:sz w:val="20"/>
          <w:szCs w:val="20"/>
          <w:color w:val="auto"/>
        </w:rPr>
      </w:pPr>
      <w:r>
        <w:rPr>
          <w:rFonts w:ascii="Arial" w:cs="Arial" w:eastAsia="Arial" w:hAnsi="Arial"/>
          <w:sz w:val="19"/>
          <w:szCs w:val="19"/>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9"/>
          <w:szCs w:val="19"/>
          <w:b w:val="1"/>
          <w:bCs w:val="1"/>
          <w:color w:val="auto"/>
        </w:rPr>
        <w:t>ZOOM VIDEO COMMUNICATIONS, INC.</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380" w:right="80" w:firstLine="450"/>
        <w:spacing w:after="0" w:line="291"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5" w:lineRule="exact"/>
        <w:rPr>
          <w:sz w:val="20"/>
          <w:szCs w:val="20"/>
          <w:color w:val="auto"/>
        </w:rPr>
      </w:pPr>
    </w:p>
    <w:p>
      <w:pPr>
        <w:ind w:left="380" w:firstLine="450"/>
        <w:spacing w:after="0" w:line="271" w:lineRule="auto"/>
        <w:rPr>
          <w:sz w:val="20"/>
          <w:szCs w:val="20"/>
          <w:color w:val="auto"/>
        </w:rPr>
      </w:pPr>
      <w:r>
        <w:rPr>
          <w:rFonts w:ascii="Arial" w:cs="Arial" w:eastAsia="Arial" w:hAnsi="Arial"/>
          <w:sz w:val="18"/>
          <w:szCs w:val="18"/>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89" w:lineRule="exact"/>
        <w:rPr>
          <w:sz w:val="20"/>
          <w:szCs w:val="20"/>
          <w:color w:val="auto"/>
        </w:rPr>
      </w:pPr>
    </w:p>
    <w:p>
      <w:pPr>
        <w:ind w:left="380" w:firstLine="450"/>
        <w:spacing w:after="0" w:line="308" w:lineRule="auto"/>
        <w:rPr>
          <w:sz w:val="20"/>
          <w:szCs w:val="20"/>
          <w:color w:val="auto"/>
        </w:rPr>
      </w:pPr>
      <w:r>
        <w:rPr>
          <w:rFonts w:ascii="Arial" w:cs="Arial" w:eastAsia="Arial" w:hAnsi="Arial"/>
          <w:sz w:val="17"/>
          <w:szCs w:val="17"/>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60" w:lineRule="exact"/>
        <w:rPr>
          <w:sz w:val="20"/>
          <w:szCs w:val="20"/>
          <w:color w:val="auto"/>
        </w:rPr>
      </w:pPr>
    </w:p>
    <w:p>
      <w:pPr>
        <w:ind w:left="380" w:right="40" w:firstLine="450"/>
        <w:spacing w:after="0" w:line="277" w:lineRule="auto"/>
        <w:rPr>
          <w:sz w:val="20"/>
          <w:szCs w:val="20"/>
          <w:color w:val="auto"/>
        </w:rPr>
      </w:pPr>
      <w:r>
        <w:rPr>
          <w:rFonts w:ascii="Arial" w:cs="Arial" w:eastAsia="Arial" w:hAnsi="Arial"/>
          <w:sz w:val="18"/>
          <w:szCs w:val="18"/>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85" w:lineRule="exact"/>
        <w:rPr>
          <w:sz w:val="20"/>
          <w:szCs w:val="20"/>
          <w:color w:val="auto"/>
        </w:rPr>
      </w:pPr>
    </w:p>
    <w:p>
      <w:pPr>
        <w:ind w:left="380" w:right="160" w:firstLine="450"/>
        <w:spacing w:after="0" w:line="259" w:lineRule="auto"/>
        <w:rPr>
          <w:sz w:val="20"/>
          <w:szCs w:val="20"/>
          <w:color w:val="auto"/>
        </w:rPr>
      </w:pPr>
      <w:r>
        <w:rPr>
          <w:rFonts w:ascii="Arial" w:cs="Arial" w:eastAsia="Arial" w:hAnsi="Arial"/>
          <w:sz w:val="19"/>
          <w:szCs w:val="19"/>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3</w:t>
      </w:r>
    </w:p>
    <w:p>
      <w:pPr>
        <w:sectPr>
          <w:pgSz w:w="12240" w:h="15840" w:orient="portrait"/>
          <w:cols w:equalWidth="0" w:num="1">
            <w:col w:w="11620"/>
          </w:cols>
          <w:pgMar w:left="120" w:top="336" w:right="500" w:bottom="1440" w:gutter="0" w:footer="0" w:header="0"/>
        </w:sectPr>
      </w:pPr>
    </w:p>
    <w:bookmarkStart w:id="8" w:name="page9"/>
    <w:bookmarkEnd w:id="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58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93305" cy="675894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160"/>
        <w:spacing w:after="0" w:line="263" w:lineRule="auto"/>
        <w:rPr>
          <w:sz w:val="20"/>
          <w:szCs w:val="20"/>
          <w:color w:val="auto"/>
        </w:rPr>
      </w:pPr>
      <w:r>
        <w:rPr>
          <w:rFonts w:ascii="Arial" w:cs="Arial" w:eastAsia="Arial" w:hAnsi="Arial"/>
          <w:sz w:val="19"/>
          <w:szCs w:val="19"/>
          <w:color w:val="auto"/>
        </w:rPr>
        <w:t>easily experience 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94" w:lineRule="exact"/>
        <w:rPr>
          <w:sz w:val="20"/>
          <w:szCs w:val="20"/>
          <w:color w:val="auto"/>
        </w:rPr>
      </w:pPr>
    </w:p>
    <w:p>
      <w:pPr>
        <w:ind w:left="380" w:right="20" w:firstLine="450"/>
        <w:spacing w:after="0" w:line="274" w:lineRule="auto"/>
        <w:rPr>
          <w:sz w:val="20"/>
          <w:szCs w:val="20"/>
          <w:color w:val="auto"/>
        </w:rPr>
      </w:pPr>
      <w:r>
        <w:rPr>
          <w:rFonts w:ascii="Arial" w:cs="Arial" w:eastAsia="Arial" w:hAnsi="Arial"/>
          <w:sz w:val="18"/>
          <w:szCs w:val="18"/>
          <w:color w:val="auto"/>
        </w:rPr>
        <w:t>The happiness we bring is recognized by customers and industry analysts alike. In 2018, our average customer Net Promoter Score (NPS) has been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Viral enthusiasm begins with our users as they experience our platform – it just works. This enthusiasm continues as meeting participants become</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paid hosts and as businesses of all sizes become our customers. Our sales efforts funnel this viral demand into routes-to-market that are optimized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each customer opportunity, which can include our direct sales force, online channel, resellers and strategic partners. Our sales model allows us</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 efficiently turn a single non-paying user into a full enterprise deployment. As of January 31, 2019, 66% of our 521 customers with more than</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$100,000 of annual recurring revenue (ARR) started with at least one free host prior to subscribing, with these 521 customers representing 33% of</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ARR in the fiscal year ended January 31, 2019. We define ARR as the annualized revenue run-rate of a contracted customer agreement at a</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point in time. We calculate ARR by taking the monthly recurring revenue (MRR) and multiplying it by 12. MRR is defined as recurring revenue for</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last month of the period from all customers under contract with us for a recurring subscription, including monthly subscribers who have not</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provided any indication that they intend to cancel. MRR should be viewed independently of revenue as MRR is an operating metric and not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intended to be a replacement or forecast of revenue.</w:t>
      </w:r>
    </w:p>
    <w:p>
      <w:pPr>
        <w:spacing w:after="0" w:line="225" w:lineRule="exact"/>
        <w:rPr>
          <w:sz w:val="20"/>
          <w:szCs w:val="20"/>
          <w:color w:val="auto"/>
        </w:rPr>
      </w:pPr>
    </w:p>
    <w:p>
      <w:pPr>
        <w:ind w:left="380" w:firstLine="450"/>
        <w:spacing w:after="0" w:line="285" w:lineRule="auto"/>
        <w:rPr>
          <w:sz w:val="20"/>
          <w:szCs w:val="20"/>
          <w:color w:val="auto"/>
        </w:rPr>
      </w:pPr>
      <w:r>
        <w:rPr>
          <w:rFonts w:ascii="Arial" w:cs="Arial" w:eastAsia="Arial" w:hAnsi="Arial"/>
          <w:sz w:val="17"/>
          <w:szCs w:val="17"/>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spacing w:after="0" w:line="1" w:lineRule="exact"/>
        <w:rPr>
          <w:sz w:val="20"/>
          <w:szCs w:val="20"/>
          <w:color w:val="auto"/>
        </w:rPr>
      </w:pPr>
    </w:p>
    <w:p>
      <w:pPr>
        <w:jc w:val="both"/>
        <w:ind w:left="380" w:right="40"/>
        <w:spacing w:after="0" w:line="255" w:lineRule="auto"/>
        <w:rPr>
          <w:sz w:val="20"/>
          <w:szCs w:val="20"/>
          <w:color w:val="auto"/>
        </w:rPr>
      </w:pPr>
      <w:r>
        <w:rPr>
          <w:rFonts w:ascii="Arial" w:cs="Arial" w:eastAsia="Arial" w:hAnsi="Arial"/>
          <w:sz w:val="19"/>
          <w:szCs w:val="19"/>
          <w:color w:val="auto"/>
        </w:rPr>
        <w:t>$60.8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311"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Industry Trends in Our Favor</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Communication is at the Center of Organizational Performance</w:t>
      </w:r>
    </w:p>
    <w:p>
      <w:pPr>
        <w:spacing w:after="0" w:line="124" w:lineRule="exact"/>
        <w:rPr>
          <w:sz w:val="20"/>
          <w:szCs w:val="20"/>
          <w:color w:val="auto"/>
        </w:rPr>
      </w:pPr>
    </w:p>
    <w:p>
      <w:pPr>
        <w:jc w:val="both"/>
        <w:ind w:left="380" w:right="380" w:firstLine="450"/>
        <w:spacing w:after="0" w:line="263" w:lineRule="auto"/>
        <w:rPr>
          <w:sz w:val="20"/>
          <w:szCs w:val="20"/>
          <w:color w:val="auto"/>
        </w:rPr>
      </w:pPr>
      <w:r>
        <w:rPr>
          <w:rFonts w:ascii="Arial" w:cs="Arial" w:eastAsia="Arial" w:hAnsi="Arial"/>
          <w:sz w:val="19"/>
          <w:szCs w:val="19"/>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Communication and Collaboration Must Evolve as the Nature of Work is Changing</w:t>
      </w:r>
    </w:p>
    <w:p>
      <w:pPr>
        <w:spacing w:after="0" w:line="124" w:lineRule="exact"/>
        <w:rPr>
          <w:sz w:val="20"/>
          <w:szCs w:val="20"/>
          <w:color w:val="auto"/>
        </w:rPr>
      </w:pPr>
    </w:p>
    <w:p>
      <w:pPr>
        <w:ind w:left="380" w:right="780" w:firstLine="450"/>
        <w:spacing w:after="0" w:line="275" w:lineRule="auto"/>
        <w:rPr>
          <w:sz w:val="20"/>
          <w:szCs w:val="20"/>
          <w:color w:val="auto"/>
        </w:rPr>
      </w:pPr>
      <w:r>
        <w:rPr>
          <w:rFonts w:ascii="Arial" w:cs="Arial" w:eastAsia="Arial" w:hAnsi="Arial"/>
          <w:sz w:val="19"/>
          <w:szCs w:val="19"/>
          <w:color w:val="auto"/>
        </w:rPr>
        <w:t>The way people work is changing. Organizations must evolve their approach to communication and collaboration in response to the following trends:</w:t>
      </w:r>
    </w:p>
    <w:p>
      <w:pPr>
        <w:spacing w:after="0" w:line="84" w:lineRule="exact"/>
        <w:rPr>
          <w:sz w:val="20"/>
          <w:szCs w:val="20"/>
          <w:color w:val="auto"/>
        </w:rPr>
      </w:pPr>
    </w:p>
    <w:p>
      <w:pPr>
        <w:jc w:val="both"/>
        <w:ind w:left="1240" w:right="40" w:hanging="426"/>
        <w:spacing w:after="0" w:line="263" w:lineRule="auto"/>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Employees are increasingly distributed</w:t>
      </w:r>
      <w:r>
        <w:rPr>
          <w:rFonts w:ascii="Arial" w:cs="Arial" w:eastAsia="Arial" w:hAnsi="Arial"/>
          <w:sz w:val="19"/>
          <w:szCs w:val="19"/>
          <w:color w:val="auto"/>
        </w:rPr>
        <w:t>. Historically, teams were physically located together, even in the largest organizations, to drive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4</w:t>
      </w:r>
    </w:p>
    <w:p>
      <w:pPr>
        <w:sectPr>
          <w:pgSz w:w="12240" w:h="15840" w:orient="portrait"/>
          <w:cols w:equalWidth="0" w:num="1">
            <w:col w:w="11620"/>
          </w:cols>
          <w:pgMar w:left="120" w:top="336" w:right="500" w:bottom="1440" w:gutter="0" w:footer="0" w:header="0"/>
        </w:sectPr>
      </w:pPr>
    </w:p>
    <w:bookmarkStart w:id="9" w:name="page10"/>
    <w:bookmarkEnd w:id="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686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93305" cy="668655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40" w:hanging="426"/>
        <w:spacing w:after="0" w:line="256" w:lineRule="auto"/>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Organizations seek to drive deeper engagement with employees, customers and partners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People derive more personal satisfaction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103" w:lineRule="exact"/>
        <w:rPr>
          <w:rFonts w:ascii="Arial" w:cs="Arial" w:eastAsia="Arial" w:hAnsi="Arial"/>
          <w:sz w:val="19"/>
          <w:szCs w:val="19"/>
          <w:color w:val="auto"/>
        </w:rPr>
      </w:pPr>
    </w:p>
    <w:p>
      <w:pPr>
        <w:ind w:left="1240" w:hanging="426"/>
        <w:spacing w:after="0" w:line="259" w:lineRule="auto"/>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Workforce demographics are changing. </w:t>
      </w:r>
      <w:r>
        <w:rPr>
          <w:rFonts w:ascii="Arial" w:cs="Arial" w:eastAsia="Arial" w:hAnsi="Arial"/>
          <w:sz w:val="19"/>
          <w:szCs w:val="19"/>
          <w:color w:val="auto"/>
        </w:rPr>
        <w:t>Shifting demographics alongside increasingly distributed workforces increase the need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7" w:lineRule="exact"/>
        <w:rPr>
          <w:rFonts w:ascii="Arial" w:cs="Arial" w:eastAsia="Arial" w:hAnsi="Arial"/>
          <w:sz w:val="19"/>
          <w:szCs w:val="19"/>
          <w:color w:val="auto"/>
        </w:rPr>
      </w:pPr>
    </w:p>
    <w:p>
      <w:pPr>
        <w:jc w:val="both"/>
        <w:ind w:left="1240" w:right="80" w:hanging="426"/>
        <w:spacing w:after="0" w:line="263" w:lineRule="auto"/>
        <w:tabs>
          <w:tab w:leader="none" w:pos="12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Employees are influencing IT decisions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are increasingly the primary force for IT modernization at work as they bring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latest technologies from their personal lives to their jobs. Employees often expect to seamlessly communicate on any device and across mediums and, as a result, are increasingly influencing IT decisions.</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19"/>
          <w:szCs w:val="19"/>
          <w:b w:val="1"/>
          <w:bCs w:val="1"/>
          <w:i w:val="1"/>
          <w:iCs w:val="1"/>
          <w:color w:val="auto"/>
        </w:rPr>
        <w:t>Organizations Need a Comprehensive Platform that Enables Modern Communication</w:t>
      </w:r>
    </w:p>
    <w:p>
      <w:pPr>
        <w:spacing w:after="0" w:line="124" w:lineRule="exact"/>
        <w:rPr>
          <w:sz w:val="20"/>
          <w:szCs w:val="20"/>
          <w:color w:val="auto"/>
        </w:rPr>
      </w:pPr>
    </w:p>
    <w:p>
      <w:pPr>
        <w:ind w:left="380" w:right="80" w:firstLine="450"/>
        <w:spacing w:after="0" w:line="256" w:lineRule="auto"/>
        <w:rPr>
          <w:sz w:val="20"/>
          <w:szCs w:val="20"/>
          <w:color w:val="auto"/>
        </w:rPr>
      </w:pPr>
      <w:r>
        <w:rPr>
          <w:rFonts w:ascii="Arial" w:cs="Arial" w:eastAsia="Arial" w:hAnsi="Arial"/>
          <w:sz w:val="19"/>
          <w:szCs w:val="19"/>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20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To effectively enable modern communication, a comprehensive platform must have the following qualities:</w:t>
      </w:r>
    </w:p>
    <w:p>
      <w:pPr>
        <w:spacing w:after="0" w:line="138" w:lineRule="exact"/>
        <w:rPr>
          <w:sz w:val="20"/>
          <w:szCs w:val="20"/>
          <w:color w:val="auto"/>
        </w:rPr>
      </w:pPr>
    </w:p>
    <w:p>
      <w:pPr>
        <w:ind w:left="1240" w:right="200" w:hanging="426"/>
        <w:spacing w:after="0" w:line="275" w:lineRule="auto"/>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Reliable, high-quality communications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have a significant need for a platform that reliably delivers high-quality video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voice, even with varying levels of network performance.</w:t>
      </w:r>
    </w:p>
    <w:p>
      <w:pPr>
        <w:spacing w:after="0" w:line="84" w:lineRule="exact"/>
        <w:rPr>
          <w:rFonts w:ascii="Arial" w:cs="Arial" w:eastAsia="Arial" w:hAnsi="Arial"/>
          <w:sz w:val="19"/>
          <w:szCs w:val="19"/>
          <w:color w:val="auto"/>
        </w:rPr>
      </w:pPr>
    </w:p>
    <w:p>
      <w:pPr>
        <w:jc w:val="both"/>
        <w:ind w:left="1240" w:right="720" w:hanging="426"/>
        <w:spacing w:after="0" w:line="33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Easy to 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drive broad adoption, a platform’s user interface must be intuitive and easily navigable. In addition, users want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that have feature parity across devices and seamlessly integrate with their calendars, contacts and overall workflows.</w:t>
      </w:r>
    </w:p>
    <w:p>
      <w:pPr>
        <w:spacing w:after="0" w:line="37" w:lineRule="exact"/>
        <w:rPr>
          <w:rFonts w:ascii="Arial" w:cs="Arial" w:eastAsia="Arial" w:hAnsi="Arial"/>
          <w:sz w:val="17"/>
          <w:szCs w:val="17"/>
          <w:color w:val="auto"/>
        </w:rPr>
      </w:pPr>
    </w:p>
    <w:p>
      <w:pPr>
        <w:ind w:left="1240" w:right="140" w:hanging="426"/>
        <w:spacing w:after="0" w:line="33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Easy to deploy and manage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want a single platform that is easy to deploy, leverages existing network infrastructure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conference room hardware and is simple to manage at scale through an intuitive administrative console and reporting system.</w:t>
      </w:r>
    </w:p>
    <w:p>
      <w:pPr>
        <w:spacing w:after="0" w:line="37" w:lineRule="exact"/>
        <w:rPr>
          <w:rFonts w:ascii="Arial" w:cs="Arial" w:eastAsia="Arial" w:hAnsi="Arial"/>
          <w:sz w:val="17"/>
          <w:szCs w:val="17"/>
          <w:color w:val="auto"/>
        </w:rPr>
      </w:pPr>
    </w:p>
    <w:p>
      <w:pPr>
        <w:ind w:left="1240" w:right="20" w:hanging="426"/>
        <w:spacing w:after="0" w:line="263" w:lineRule="auto"/>
        <w:tabs>
          <w:tab w:leader="none" w:pos="124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Attractive return on investment</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want a single platform that not only reduces the costs of proprietary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conference room investments but also provides other opportunities for further cost savings, such as reducing unnecessary and expensive business travel.</w:t>
      </w:r>
    </w:p>
    <w:p>
      <w:pPr>
        <w:spacing w:after="0" w:line="94" w:lineRule="exact"/>
        <w:rPr>
          <w:rFonts w:ascii="Arial" w:cs="Arial" w:eastAsia="Arial" w:hAnsi="Arial"/>
          <w:sz w:val="19"/>
          <w:szCs w:val="19"/>
          <w:color w:val="auto"/>
        </w:rPr>
      </w:pPr>
    </w:p>
    <w:p>
      <w:pPr>
        <w:ind w:left="1240" w:hanging="426"/>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need a communications platform that can be optimized for their footprint and scales as they grow.</w:t>
      </w:r>
    </w:p>
    <w:p>
      <w:pPr>
        <w:spacing w:after="0" w:line="149" w:lineRule="exact"/>
        <w:rPr>
          <w:rFonts w:ascii="Arial" w:cs="Arial" w:eastAsia="Arial" w:hAnsi="Arial"/>
          <w:sz w:val="18"/>
          <w:szCs w:val="18"/>
          <w:color w:val="auto"/>
        </w:rPr>
      </w:pPr>
    </w:p>
    <w:p>
      <w:pPr>
        <w:ind w:left="1240" w:hanging="426"/>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Organizations need a platform that integrates with their physical workspaces and existing business applications.</w:t>
      </w:r>
    </w:p>
    <w:p>
      <w:pPr>
        <w:spacing w:after="0" w:line="149" w:lineRule="exact"/>
        <w:rPr>
          <w:rFonts w:ascii="Arial" w:cs="Arial" w:eastAsia="Arial" w:hAnsi="Arial"/>
          <w:sz w:val="18"/>
          <w:szCs w:val="18"/>
          <w:color w:val="auto"/>
        </w:rPr>
      </w:pPr>
    </w:p>
    <w:p>
      <w:pPr>
        <w:ind w:left="1240" w:hanging="426"/>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Flexible terms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also want to purchase technology under flexible terms that are right-sized for their business needs.</w:t>
      </w:r>
    </w:p>
    <w:p>
      <w:pPr>
        <w:spacing w:after="0" w:line="357"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Platform</w:t>
      </w:r>
    </w:p>
    <w:p>
      <w:pPr>
        <w:spacing w:after="0" w:line="130" w:lineRule="exact"/>
        <w:rPr>
          <w:sz w:val="20"/>
          <w:szCs w:val="20"/>
          <w:color w:val="auto"/>
        </w:rPr>
      </w:pPr>
    </w:p>
    <w:p>
      <w:pPr>
        <w:ind w:left="380" w:right="360" w:firstLine="450"/>
        <w:spacing w:after="0" w:line="275"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5</w:t>
      </w:r>
    </w:p>
    <w:p>
      <w:pPr>
        <w:sectPr>
          <w:pgSz w:w="12240" w:h="15840" w:orient="portrait"/>
          <w:cols w:equalWidth="0" w:num="1">
            <w:col w:w="11600"/>
          </w:cols>
          <w:pgMar w:left="120" w:top="336" w:right="520" w:bottom="1440" w:gutter="0" w:footer="0" w:header="0"/>
        </w:sectPr>
      </w:pPr>
    </w:p>
    <w:bookmarkStart w:id="10" w:name="page11"/>
    <w:bookmarkEnd w:id="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04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93305" cy="670496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80" w:right="340"/>
        <w:spacing w:after="0" w:line="275" w:lineRule="auto"/>
        <w:rPr>
          <w:sz w:val="20"/>
          <w:szCs w:val="20"/>
          <w:color w:val="auto"/>
        </w:rPr>
      </w:pPr>
      <w:r>
        <w:rPr>
          <w:rFonts w:ascii="Arial" w:cs="Arial" w:eastAsia="Arial" w:hAnsi="Arial"/>
          <w:sz w:val="19"/>
          <w:szCs w:val="19"/>
          <w:color w:val="auto"/>
        </w:rPr>
        <w:t>platform enables face-to-face video experiences and connects thousands of users across disparate devices and locations in a single meeting. We strive to make Zoom meetings better than in-person meetings.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9"/>
          <w:szCs w:val="19"/>
          <w:color w:val="auto"/>
        </w:rPr>
        <w:t>Key benefits of our platform include:</w:t>
      </w:r>
    </w:p>
    <w:p>
      <w:pPr>
        <w:spacing w:after="0" w:line="138" w:lineRule="exact"/>
        <w:rPr>
          <w:sz w:val="20"/>
          <w:szCs w:val="20"/>
          <w:color w:val="auto"/>
        </w:rPr>
      </w:pPr>
    </w:p>
    <w:p>
      <w:pPr>
        <w:ind w:left="1240" w:right="180" w:hanging="426"/>
        <w:spacing w:after="0" w:line="284"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Reliable, high-quality communications that enable productivity, connectedness and trust. </w:t>
      </w:r>
      <w:r>
        <w:rPr>
          <w:rFonts w:ascii="Arial" w:cs="Arial" w:eastAsia="Arial" w:hAnsi="Arial"/>
          <w:sz w:val="18"/>
          <w:szCs w:val="18"/>
          <w:color w:val="auto"/>
        </w:rPr>
        <w:t>Our platform delivers a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reliable communications experience across devices even with varying bandwidths and network performance. In fact, our platform can continue to deliver a productive meeting experience even with up to 40% packet loss.</w:t>
      </w:r>
    </w:p>
    <w:p>
      <w:pPr>
        <w:spacing w:after="0" w:line="78" w:lineRule="exact"/>
        <w:rPr>
          <w:rFonts w:ascii="Arial" w:cs="Arial" w:eastAsia="Arial" w:hAnsi="Arial"/>
          <w:sz w:val="18"/>
          <w:szCs w:val="18"/>
          <w:color w:val="auto"/>
        </w:rPr>
      </w:pPr>
    </w:p>
    <w:p>
      <w:pPr>
        <w:ind w:left="1240" w:right="180" w:hanging="426"/>
        <w:spacing w:after="0" w:line="263"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use. </w:t>
      </w:r>
      <w:r>
        <w:rPr>
          <w:rFonts w:ascii="Arial" w:cs="Arial" w:eastAsia="Arial" w:hAnsi="Arial"/>
          <w:sz w:val="19"/>
          <w:szCs w:val="19"/>
          <w:color w:val="auto"/>
        </w:rPr>
        <w:t>We provide a consolidated, intuitive interface for video, voice, chat and content sharing that can be easily navigated even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first time users. We enable calendar integration, easy synchronization with conference room equipment and feature parity across devices.</w:t>
      </w:r>
    </w:p>
    <w:p>
      <w:pPr>
        <w:spacing w:after="0" w:line="94" w:lineRule="exact"/>
        <w:rPr>
          <w:rFonts w:ascii="Arial" w:cs="Arial" w:eastAsia="Arial" w:hAnsi="Arial"/>
          <w:sz w:val="19"/>
          <w:szCs w:val="19"/>
          <w:color w:val="auto"/>
        </w:rPr>
      </w:pPr>
    </w:p>
    <w:p>
      <w:pPr>
        <w:jc w:val="both"/>
        <w:ind w:left="1240" w:right="360" w:hanging="426"/>
        <w:spacing w:after="0" w:line="263"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deploy and manage. </w:t>
      </w:r>
      <w:r>
        <w:rPr>
          <w:rFonts w:ascii="Arial" w:cs="Arial" w:eastAsia="Arial" w:hAnsi="Arial"/>
          <w:sz w:val="19"/>
          <w:szCs w:val="19"/>
          <w:color w:val="auto"/>
        </w:rPr>
        <w:t>Our cloud-native platform is easy to deploy and manage by both IT administrators and business users,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even when integrating with existing infrastructure. Our platform removes the need for the integration of disparate communications tools, product-specific knowledge and high-touch user support and troubleshooting.</w:t>
      </w:r>
    </w:p>
    <w:p>
      <w:pPr>
        <w:spacing w:after="0" w:line="88" w:lineRule="exact"/>
        <w:rPr>
          <w:rFonts w:ascii="Arial" w:cs="Arial" w:eastAsia="Arial" w:hAnsi="Arial"/>
          <w:sz w:val="19"/>
          <w:szCs w:val="19"/>
          <w:color w:val="auto"/>
        </w:rPr>
      </w:pPr>
    </w:p>
    <w:p>
      <w:pPr>
        <w:jc w:val="both"/>
        <w:ind w:left="1240" w:right="160" w:hanging="426"/>
        <w:spacing w:after="0" w:line="266"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Attractive return on investment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platform drives higher employee engagement and improved collaboration, resulting in increased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organizational productivity. Switching to our platform also reduces the costs associated with expensive on-premises infrastructure and continual maintenance.</w:t>
      </w:r>
    </w:p>
    <w:p>
      <w:pPr>
        <w:spacing w:after="0" w:line="92" w:lineRule="exact"/>
        <w:rPr>
          <w:rFonts w:ascii="Arial" w:cs="Arial" w:eastAsia="Arial" w:hAnsi="Arial"/>
          <w:sz w:val="19"/>
          <w:szCs w:val="19"/>
          <w:color w:val="auto"/>
        </w:rPr>
      </w:pPr>
    </w:p>
    <w:p>
      <w:pPr>
        <w:ind w:left="1240" w:right="100" w:hanging="426"/>
        <w:spacing w:after="0" w:line="33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cloud-native platform was purpose-built to scale with organizations as they grow in size and complexity.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the highest quality experience for organizations of all sizes and for meetings, whether with two or thousands of users.</w:t>
      </w:r>
    </w:p>
    <w:p>
      <w:pPr>
        <w:spacing w:after="0" w:line="37" w:lineRule="exact"/>
        <w:rPr>
          <w:rFonts w:ascii="Arial" w:cs="Arial" w:eastAsia="Arial" w:hAnsi="Arial"/>
          <w:sz w:val="17"/>
          <w:szCs w:val="17"/>
          <w:color w:val="auto"/>
        </w:rPr>
      </w:pPr>
    </w:p>
    <w:p>
      <w:pPr>
        <w:ind w:left="1240" w:right="160" w:hanging="426"/>
        <w:spacing w:after="0" w:line="263"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Integrated. </w:t>
      </w:r>
      <w:r>
        <w:rPr>
          <w:rFonts w:ascii="Arial" w:cs="Arial" w:eastAsia="Arial" w:hAnsi="Arial"/>
          <w:sz w:val="19"/>
          <w:szCs w:val="19"/>
          <w:color w:val="auto"/>
        </w:rPr>
        <w:t>Our platform integrates with cloud software applications provided by companies such as Atlassian, Dropbox, Google,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LinkedIn, Microsoft, salesforce.com, Slack and others. We also have an ecosystem of hardware partners through which we deploy our Zoom Rooms and Conference Room Connector offerings.</w:t>
      </w:r>
    </w:p>
    <w:p>
      <w:pPr>
        <w:spacing w:after="0" w:line="94" w:lineRule="exact"/>
        <w:rPr>
          <w:rFonts w:ascii="Arial" w:cs="Arial" w:eastAsia="Arial" w:hAnsi="Arial"/>
          <w:sz w:val="19"/>
          <w:szCs w:val="19"/>
          <w:color w:val="auto"/>
        </w:rPr>
      </w:pPr>
    </w:p>
    <w:p>
      <w:pPr>
        <w:ind w:left="1240" w:right="820" w:hanging="426"/>
        <w:spacing w:after="0" w:line="275" w:lineRule="auto"/>
        <w:tabs>
          <w:tab w:leader="none" w:pos="124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Flexible terms. </w:t>
      </w:r>
      <w:r>
        <w:rPr>
          <w:rFonts w:ascii="Arial" w:cs="Arial" w:eastAsia="Arial" w:hAnsi="Arial"/>
          <w:sz w:val="19"/>
          <w:szCs w:val="19"/>
          <w:color w:val="auto"/>
        </w:rPr>
        <w:t>Customers can subscribe to our communications platform based on the number of hosts that they require on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month-to-month basis or purchase one- to multi-year subscriptions.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Competitive Strengths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Our competitive strengths include:</w:t>
      </w:r>
    </w:p>
    <w:p>
      <w:pPr>
        <w:spacing w:after="0" w:line="125" w:lineRule="exact"/>
        <w:rPr>
          <w:sz w:val="20"/>
          <w:szCs w:val="20"/>
          <w:color w:val="auto"/>
        </w:rPr>
      </w:pPr>
    </w:p>
    <w:p>
      <w:pPr>
        <w:ind w:left="1240" w:right="40" w:hanging="426"/>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60" w:lineRule="exact"/>
        <w:rPr>
          <w:rFonts w:ascii="Arial" w:cs="Arial" w:eastAsia="Arial" w:hAnsi="Arial"/>
          <w:sz w:val="17"/>
          <w:szCs w:val="17"/>
          <w:color w:val="auto"/>
        </w:rPr>
      </w:pPr>
    </w:p>
    <w:p>
      <w:pPr>
        <w:ind w:left="1240" w:hanging="426"/>
        <w:spacing w:after="0"/>
        <w:tabs>
          <w:tab w:leader="none" w:pos="124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A recognized market leader</w:t>
      </w:r>
      <w:r>
        <w:rPr>
          <w:rFonts w:ascii="Arial" w:cs="Arial" w:eastAsia="Arial" w:hAnsi="Arial"/>
          <w:sz w:val="19"/>
          <w:szCs w:val="19"/>
          <w:color w:val="auto"/>
        </w:rPr>
        <w:t>. We have been recognized by industry analysts as a market leader.</w:t>
      </w:r>
    </w:p>
    <w:p>
      <w:pPr>
        <w:spacing w:after="0" w:line="138" w:lineRule="exact"/>
        <w:rPr>
          <w:rFonts w:ascii="Arial" w:cs="Arial" w:eastAsia="Arial" w:hAnsi="Arial"/>
          <w:sz w:val="19"/>
          <w:szCs w:val="19"/>
          <w:color w:val="auto"/>
        </w:rPr>
      </w:pPr>
    </w:p>
    <w:p>
      <w:pPr>
        <w:ind w:left="1240" w:right="380" w:hanging="426"/>
        <w:spacing w:after="0" w:line="284"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demand driven by individual users. </w:t>
      </w:r>
      <w:r>
        <w:rPr>
          <w:rFonts w:ascii="Arial" w:cs="Arial" w:eastAsia="Arial" w:hAnsi="Arial"/>
          <w:sz w:val="18"/>
          <w:szCs w:val="18"/>
          <w:color w:val="auto"/>
        </w:rPr>
        <w:t>Our rapid adoption is driven by a virtuous cycle of positive user experiences. Individuals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8" w:lineRule="exact"/>
        <w:rPr>
          <w:rFonts w:ascii="Arial" w:cs="Arial" w:eastAsia="Arial" w:hAnsi="Arial"/>
          <w:sz w:val="18"/>
          <w:szCs w:val="18"/>
          <w:color w:val="auto"/>
        </w:rPr>
      </w:pPr>
    </w:p>
    <w:p>
      <w:pPr>
        <w:ind w:left="1240" w:hanging="426"/>
        <w:spacing w:after="0" w:line="263" w:lineRule="auto"/>
        <w:tabs>
          <w:tab w:leader="none" w:pos="124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Growing base of happy customers. </w:t>
      </w:r>
      <w:r>
        <w:rPr>
          <w:rFonts w:ascii="Arial" w:cs="Arial" w:eastAsia="Arial" w:hAnsi="Arial"/>
          <w:sz w:val="19"/>
          <w:szCs w:val="19"/>
          <w:color w:val="auto"/>
        </w:rPr>
        <w:t>We believe that making and keeping users happy is critical to growing our business. We believe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customer NPS, which on average has been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6</w:t>
      </w:r>
    </w:p>
    <w:p>
      <w:pPr>
        <w:sectPr>
          <w:pgSz w:w="12240" w:h="15840" w:orient="portrait"/>
          <w:cols w:equalWidth="0" w:num="1">
            <w:col w:w="11600"/>
          </w:cols>
          <w:pgMar w:left="120" w:top="336" w:right="520" w:bottom="1440" w:gutter="0" w:footer="0" w:header="0"/>
        </w:sectPr>
      </w:pPr>
    </w:p>
    <w:bookmarkStart w:id="11" w:name="page12"/>
    <w:bookmarkEnd w:id="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913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93305" cy="69132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40" w:right="60" w:hanging="426"/>
        <w:spacing w:after="0" w:line="263" w:lineRule="auto"/>
        <w:tabs>
          <w:tab w:leader="none" w:pos="124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Multipronged go-to-market strategy. </w:t>
      </w:r>
      <w:r>
        <w:rPr>
          <w:rFonts w:ascii="Arial" w:cs="Arial" w:eastAsia="Arial" w:hAnsi="Arial"/>
          <w:sz w:val="19"/>
          <w:szCs w:val="19"/>
          <w:color w:val="auto"/>
        </w:rPr>
        <w:t>We have a multipronged go-to-market strategy that integrates the viral enthusiasm for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94" w:lineRule="exact"/>
        <w:rPr>
          <w:rFonts w:ascii="Arial" w:cs="Arial" w:eastAsia="Arial" w:hAnsi="Arial"/>
          <w:sz w:val="19"/>
          <w:szCs w:val="19"/>
          <w:color w:val="auto"/>
        </w:rPr>
      </w:pPr>
    </w:p>
    <w:p>
      <w:pPr>
        <w:ind w:left="1240" w:right="200" w:hanging="426"/>
        <w:spacing w:after="0" w:line="304"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the 90-day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31, 2019, our customer support team had a customer satisfaction score (CSAT) of over 90%.</w:t>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Culture of Happiness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Our culture of delivering happiness drives our mission, vision and values and is fundamental to everything we do at Zoom:</w:t>
      </w:r>
    </w:p>
    <w:p>
      <w:pPr>
        <w:spacing w:after="0" w:line="138" w:lineRule="exact"/>
        <w:rPr>
          <w:sz w:val="20"/>
          <w:szCs w:val="20"/>
          <w:color w:val="auto"/>
        </w:rPr>
      </w:pPr>
    </w:p>
    <w:p>
      <w:pPr>
        <w:ind w:left="1240" w:hanging="426"/>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Mission</w:t>
      </w:r>
      <w:r>
        <w:rPr>
          <w:rFonts w:ascii="Arial" w:cs="Arial" w:eastAsia="Arial" w:hAnsi="Arial"/>
          <w:sz w:val="19"/>
          <w:szCs w:val="19"/>
          <w:color w:val="auto"/>
        </w:rPr>
        <w:t>. Our mission is to make video communications frictionless.</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Vision</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vision is to empower people to accomplish more through video communications.</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Values</w:t>
      </w:r>
      <w:r>
        <w:rPr>
          <w:rFonts w:ascii="Arial" w:cs="Arial" w:eastAsia="Arial" w:hAnsi="Arial"/>
          <w:sz w:val="19"/>
          <w:szCs w:val="19"/>
          <w:color w:val="auto"/>
        </w:rPr>
        <w:t>. We care for our community, our customers, our company, our teammates and ourselves.</w:t>
      </w:r>
    </w:p>
    <w:p>
      <w:pPr>
        <w:spacing w:after="0" w:line="238" w:lineRule="exact"/>
        <w:rPr>
          <w:sz w:val="20"/>
          <w:szCs w:val="20"/>
          <w:color w:val="auto"/>
        </w:rPr>
      </w:pPr>
    </w:p>
    <w:p>
      <w:pPr>
        <w:ind w:left="380" w:right="420" w:firstLine="450"/>
        <w:spacing w:after="0" w:line="263" w:lineRule="auto"/>
        <w:rPr>
          <w:sz w:val="20"/>
          <w:szCs w:val="20"/>
          <w:color w:val="auto"/>
        </w:rPr>
      </w:pPr>
      <w:r>
        <w:rPr>
          <w:rFonts w:ascii="Arial" w:cs="Arial" w:eastAsia="Arial" w:hAnsi="Arial"/>
          <w:sz w:val="19"/>
          <w:szCs w:val="19"/>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Market Opportunity</w:t>
      </w:r>
    </w:p>
    <w:p>
      <w:pPr>
        <w:spacing w:after="0" w:line="130" w:lineRule="exact"/>
        <w:rPr>
          <w:sz w:val="20"/>
          <w:szCs w:val="20"/>
          <w:color w:val="auto"/>
        </w:rPr>
      </w:pPr>
    </w:p>
    <w:p>
      <w:pPr>
        <w:ind w:left="380" w:right="140" w:firstLine="450"/>
        <w:spacing w:after="0" w:line="256" w:lineRule="auto"/>
        <w:rPr>
          <w:sz w:val="20"/>
          <w:szCs w:val="20"/>
          <w:color w:val="auto"/>
        </w:rPr>
      </w:pPr>
      <w:r>
        <w:rPr>
          <w:rFonts w:ascii="Arial" w:cs="Arial" w:eastAsia="Arial" w:hAnsi="Arial"/>
          <w:sz w:val="19"/>
          <w:szCs w:val="19"/>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204" w:lineRule="exact"/>
        <w:rPr>
          <w:sz w:val="20"/>
          <w:szCs w:val="20"/>
          <w:color w:val="auto"/>
        </w:rPr>
      </w:pPr>
    </w:p>
    <w:p>
      <w:pPr>
        <w:ind w:left="380" w:firstLine="450"/>
        <w:spacing w:after="0" w:line="256" w:lineRule="auto"/>
        <w:rPr>
          <w:sz w:val="20"/>
          <w:szCs w:val="20"/>
          <w:color w:val="auto"/>
        </w:rPr>
      </w:pPr>
      <w:r>
        <w:rPr>
          <w:rFonts w:ascii="Arial" w:cs="Arial" w:eastAsia="Arial" w:hAnsi="Arial"/>
          <w:sz w:val="19"/>
          <w:szCs w:val="19"/>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31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Our Growth Strategy</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We focus on the following elements of our strategy to drive our growth:</w:t>
      </w:r>
    </w:p>
    <w:p>
      <w:pPr>
        <w:spacing w:after="0" w:line="138" w:lineRule="exact"/>
        <w:rPr>
          <w:sz w:val="20"/>
          <w:szCs w:val="20"/>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keep our existing customers happy;</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drive new customer acquisition;</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expand within existing customers;</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innovate our platform continuously;</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accelerate international expansion; and</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7</w:t>
      </w:r>
    </w:p>
    <w:p>
      <w:pPr>
        <w:sectPr>
          <w:pgSz w:w="12240" w:h="15840" w:orient="portrait"/>
          <w:cols w:equalWidth="0" w:num="1">
            <w:col w:w="11620"/>
          </w:cols>
          <w:pgMar w:left="120" w:top="336" w:right="500" w:bottom="1440" w:gutter="0" w:footer="0" w:header="0"/>
        </w:sectPr>
      </w:pPr>
    </w:p>
    <w:bookmarkStart w:id="12" w:name="page13"/>
    <w:bookmarkEnd w:id="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342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93305" cy="63423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Summary Risk Factors</w:t>
      </w:r>
    </w:p>
    <w:p>
      <w:pPr>
        <w:spacing w:after="0" w:line="130" w:lineRule="exact"/>
        <w:rPr>
          <w:sz w:val="20"/>
          <w:szCs w:val="20"/>
          <w:color w:val="auto"/>
        </w:rPr>
      </w:pPr>
    </w:p>
    <w:p>
      <w:pPr>
        <w:ind w:left="380" w:right="140" w:firstLine="450"/>
        <w:spacing w:after="0" w:line="275" w:lineRule="auto"/>
        <w:rPr>
          <w:sz w:val="20"/>
          <w:szCs w:val="20"/>
          <w:color w:val="auto"/>
        </w:rPr>
      </w:pPr>
      <w:r>
        <w:rPr>
          <w:rFonts w:ascii="Arial" w:cs="Arial" w:eastAsia="Arial" w:hAnsi="Arial"/>
          <w:sz w:val="19"/>
          <w:szCs w:val="19"/>
          <w:color w:val="auto"/>
        </w:rPr>
        <w:t>Our business is subject to numerous risks, as more fully described in the section titled “Risk Factors” immediately following this prospectus summary. These risks include, among others:</w:t>
      </w:r>
    </w:p>
    <w:p>
      <w:pPr>
        <w:spacing w:after="0" w:line="84" w:lineRule="exact"/>
        <w:rPr>
          <w:sz w:val="20"/>
          <w:szCs w:val="20"/>
          <w:color w:val="auto"/>
        </w:rPr>
      </w:pPr>
    </w:p>
    <w:p>
      <w:pPr>
        <w:ind w:left="1240" w:right="140" w:hanging="426"/>
        <w:spacing w:after="0" w:line="336"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7" w:lineRule="exact"/>
        <w:rPr>
          <w:rFonts w:ascii="Arial" w:cs="Arial" w:eastAsia="Arial" w:hAnsi="Arial"/>
          <w:sz w:val="17"/>
          <w:szCs w:val="17"/>
          <w:color w:val="auto"/>
        </w:rPr>
      </w:pPr>
    </w:p>
    <w:p>
      <w:pPr>
        <w:ind w:left="1240" w:hanging="426"/>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have a limited operating history, which makes it difficult to evaluate our prospects and future results of operations;</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operate in competitive markets, and we must continue to compete effectively;</w:t>
      </w:r>
    </w:p>
    <w:p>
      <w:pPr>
        <w:spacing w:after="0" w:line="138" w:lineRule="exact"/>
        <w:rPr>
          <w:rFonts w:ascii="Arial" w:cs="Arial" w:eastAsia="Arial" w:hAnsi="Arial"/>
          <w:sz w:val="19"/>
          <w:szCs w:val="19"/>
          <w:color w:val="auto"/>
        </w:rPr>
      </w:pPr>
    </w:p>
    <w:p>
      <w:pPr>
        <w:ind w:left="1240" w:hanging="426"/>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may not be able to sustain our revenue growth rate in the future;</w:t>
      </w:r>
    </w:p>
    <w:p>
      <w:pPr>
        <w:spacing w:after="0" w:line="138" w:lineRule="exact"/>
        <w:rPr>
          <w:rFonts w:ascii="Arial" w:cs="Arial" w:eastAsia="Arial" w:hAnsi="Arial"/>
          <w:sz w:val="19"/>
          <w:szCs w:val="19"/>
          <w:color w:val="auto"/>
        </w:rPr>
      </w:pPr>
    </w:p>
    <w:p>
      <w:pPr>
        <w:ind w:left="1240" w:right="240" w:hanging="426"/>
        <w:spacing w:after="0" w:line="275" w:lineRule="auto"/>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Interruptions, delays or outages in service from our co-located data centers and a variety of other factors would impair the delivery of our services, require us to issue credits or pay penalties and harm our business;</w:t>
      </w:r>
    </w:p>
    <w:p>
      <w:pPr>
        <w:spacing w:after="0" w:line="84" w:lineRule="exact"/>
        <w:rPr>
          <w:rFonts w:ascii="Arial" w:cs="Arial" w:eastAsia="Arial" w:hAnsi="Arial"/>
          <w:sz w:val="19"/>
          <w:szCs w:val="19"/>
          <w:color w:val="auto"/>
        </w:rPr>
      </w:pPr>
    </w:p>
    <w:p>
      <w:pPr>
        <w:ind w:left="1240" w:right="420" w:hanging="426"/>
        <w:spacing w:after="0" w:line="263" w:lineRule="auto"/>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94" w:lineRule="exact"/>
        <w:rPr>
          <w:rFonts w:ascii="Arial" w:cs="Arial" w:eastAsia="Arial" w:hAnsi="Arial"/>
          <w:sz w:val="19"/>
          <w:szCs w:val="19"/>
          <w:color w:val="auto"/>
        </w:rPr>
      </w:pPr>
    </w:p>
    <w:p>
      <w:pPr>
        <w:ind w:left="1240" w:hanging="42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we increase sales to large organizations, our sales cycles could lengthen, and we could experience greater deployment challenges;</w:t>
      </w:r>
    </w:p>
    <w:p>
      <w:pPr>
        <w:spacing w:after="0" w:line="161" w:lineRule="exact"/>
        <w:rPr>
          <w:rFonts w:ascii="Arial" w:cs="Arial" w:eastAsia="Arial" w:hAnsi="Arial"/>
          <w:sz w:val="17"/>
          <w:szCs w:val="17"/>
          <w:color w:val="auto"/>
        </w:rPr>
      </w:pPr>
    </w:p>
    <w:p>
      <w:pPr>
        <w:ind w:left="1240" w:right="320" w:hanging="426"/>
        <w:spacing w:after="0" w:line="275" w:lineRule="auto"/>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generate revenue from sales of subscriptions to our platform, and any decline in demand for our platform or for communications and collaboration technologies in general would harm our business;</w:t>
      </w:r>
    </w:p>
    <w:p>
      <w:pPr>
        <w:spacing w:after="0" w:line="84" w:lineRule="exact"/>
        <w:rPr>
          <w:rFonts w:ascii="Arial" w:cs="Arial" w:eastAsia="Arial" w:hAnsi="Arial"/>
          <w:sz w:val="19"/>
          <w:szCs w:val="19"/>
          <w:color w:val="auto"/>
        </w:rPr>
      </w:pPr>
    </w:p>
    <w:p>
      <w:pPr>
        <w:ind w:left="1240" w:right="300" w:hanging="426"/>
        <w:spacing w:after="0" w:line="263" w:lineRule="auto"/>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94" w:lineRule="exact"/>
        <w:rPr>
          <w:rFonts w:ascii="Arial" w:cs="Arial" w:eastAsia="Arial" w:hAnsi="Arial"/>
          <w:sz w:val="19"/>
          <w:szCs w:val="19"/>
          <w:color w:val="auto"/>
        </w:rPr>
      </w:pPr>
    </w:p>
    <w:p>
      <w:pPr>
        <w:ind w:left="1240" w:hanging="426"/>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may not be able to respond to rapid technological changes, extend our platform or develop new features; and</w:t>
      </w:r>
    </w:p>
    <w:p>
      <w:pPr>
        <w:spacing w:after="0" w:line="138" w:lineRule="exact"/>
        <w:rPr>
          <w:rFonts w:ascii="Arial" w:cs="Arial" w:eastAsia="Arial" w:hAnsi="Arial"/>
          <w:sz w:val="19"/>
          <w:szCs w:val="19"/>
          <w:color w:val="auto"/>
        </w:rPr>
      </w:pPr>
    </w:p>
    <w:p>
      <w:pPr>
        <w:ind w:left="1240" w:right="380" w:hanging="426"/>
        <w:spacing w:after="0" w:line="263" w:lineRule="auto"/>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Corporate Information</w:t>
      </w:r>
    </w:p>
    <w:p>
      <w:pPr>
        <w:spacing w:after="0" w:line="130" w:lineRule="exact"/>
        <w:rPr>
          <w:sz w:val="20"/>
          <w:szCs w:val="20"/>
          <w:color w:val="auto"/>
        </w:rPr>
      </w:pPr>
    </w:p>
    <w:p>
      <w:pPr>
        <w:ind w:left="380" w:right="60" w:firstLine="450"/>
        <w:spacing w:after="0" w:line="274" w:lineRule="auto"/>
        <w:rPr>
          <w:sz w:val="20"/>
          <w:szCs w:val="20"/>
          <w:color w:val="auto"/>
        </w:rPr>
      </w:pPr>
      <w:r>
        <w:rPr>
          <w:rFonts w:ascii="Arial" w:cs="Arial" w:eastAsia="Arial" w:hAnsi="Arial"/>
          <w:sz w:val="18"/>
          <w:szCs w:val="18"/>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 Our telephone number is (888) 799-9666. Our website address is https://zoom.us. Information contained on, or that can be accessed through, our website is not incorporated by reference into this prospectus, and you should not consider information on our website to be part of this prospectus.</w:t>
      </w:r>
    </w:p>
    <w:p>
      <w:pPr>
        <w:spacing w:after="0" w:line="188" w:lineRule="exact"/>
        <w:rPr>
          <w:sz w:val="20"/>
          <w:szCs w:val="20"/>
          <w:color w:val="auto"/>
        </w:rPr>
      </w:pPr>
    </w:p>
    <w:p>
      <w:pPr>
        <w:jc w:val="both"/>
        <w:ind w:left="380" w:firstLine="450"/>
        <w:spacing w:after="0" w:line="263" w:lineRule="auto"/>
        <w:rPr>
          <w:sz w:val="20"/>
          <w:szCs w:val="20"/>
          <w:color w:val="auto"/>
        </w:rPr>
      </w:pPr>
      <w:r>
        <w:rPr>
          <w:rFonts w:ascii="Arial" w:cs="Arial" w:eastAsia="Arial" w:hAnsi="Arial"/>
          <w:sz w:val="19"/>
          <w:szCs w:val="19"/>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8</w:t>
      </w:r>
    </w:p>
    <w:p>
      <w:pPr>
        <w:sectPr>
          <w:pgSz w:w="12240" w:h="15840" w:orient="portrait"/>
          <w:cols w:equalWidth="0" w:num="1">
            <w:col w:w="11620"/>
          </w:cols>
          <w:pgMar w:left="120" w:top="336" w:right="500" w:bottom="1440" w:gutter="0" w:footer="0" w:header="0"/>
        </w:sectPr>
      </w:pPr>
    </w:p>
    <w:bookmarkStart w:id="13" w:name="page14"/>
    <w:bookmarkEnd w:id="1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4241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93305" cy="424180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Implications of Being an Emerging Growth Company</w:t>
      </w:r>
    </w:p>
    <w:p>
      <w:pPr>
        <w:spacing w:after="0" w:line="130" w:lineRule="exact"/>
        <w:rPr>
          <w:sz w:val="20"/>
          <w:szCs w:val="20"/>
          <w:color w:val="auto"/>
        </w:rPr>
      </w:pPr>
    </w:p>
    <w:p>
      <w:pPr>
        <w:ind w:left="380" w:right="120" w:firstLine="450"/>
        <w:spacing w:after="0" w:line="284"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8" w:lineRule="exact"/>
        <w:rPr>
          <w:sz w:val="20"/>
          <w:szCs w:val="20"/>
          <w:color w:val="auto"/>
        </w:rPr>
      </w:pPr>
    </w:p>
    <w:p>
      <w:pPr>
        <w:ind w:left="1240" w:right="20" w:hanging="426"/>
        <w:spacing w:after="0" w:line="275" w:lineRule="auto"/>
        <w:tabs>
          <w:tab w:leader="none" w:pos="12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not being required to comply for a certain period of time with the auditor attestation requirements of Section 404 of the Sarbanes-Oxley Act of 2002, as amended (the Sarbanes-Oxley Act);</w:t>
      </w:r>
    </w:p>
    <w:p>
      <w:pPr>
        <w:spacing w:after="0" w:line="84" w:lineRule="exact"/>
        <w:rPr>
          <w:rFonts w:ascii="Arial" w:cs="Arial" w:eastAsia="Arial" w:hAnsi="Arial"/>
          <w:sz w:val="19"/>
          <w:szCs w:val="19"/>
          <w:color w:val="auto"/>
        </w:rPr>
      </w:pPr>
    </w:p>
    <w:p>
      <w:pPr>
        <w:ind w:left="1240" w:right="100" w:hanging="426"/>
        <w:spacing w:after="0" w:line="275" w:lineRule="auto"/>
        <w:tabs>
          <w:tab w:leader="none" w:pos="12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reduced disclosure obligations regarding executive compensation in our periodic reports, proxy statements and registration statements; and</w:t>
      </w:r>
    </w:p>
    <w:p>
      <w:pPr>
        <w:spacing w:after="0" w:line="84" w:lineRule="exact"/>
        <w:rPr>
          <w:rFonts w:ascii="Arial" w:cs="Arial" w:eastAsia="Arial" w:hAnsi="Arial"/>
          <w:sz w:val="19"/>
          <w:szCs w:val="19"/>
          <w:color w:val="auto"/>
        </w:rPr>
      </w:pPr>
    </w:p>
    <w:p>
      <w:pPr>
        <w:ind w:left="1240" w:right="640" w:hanging="426"/>
        <w:spacing w:after="0" w:line="275" w:lineRule="auto"/>
        <w:tabs>
          <w:tab w:leader="none" w:pos="12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exemptions from the requirements of holding a stockholder advisory vote on executive compensation and any golden parachute payments not previously approved.</w:t>
      </w:r>
    </w:p>
    <w:p>
      <w:pPr>
        <w:spacing w:after="0" w:line="184" w:lineRule="exact"/>
        <w:rPr>
          <w:sz w:val="20"/>
          <w:szCs w:val="20"/>
          <w:color w:val="auto"/>
        </w:rPr>
      </w:pPr>
    </w:p>
    <w:p>
      <w:pPr>
        <w:ind w:left="380" w:firstLine="450"/>
        <w:spacing w:after="0" w:line="285" w:lineRule="auto"/>
        <w:rPr>
          <w:sz w:val="20"/>
          <w:szCs w:val="20"/>
          <w:color w:val="auto"/>
        </w:rPr>
      </w:pPr>
      <w:r>
        <w:rPr>
          <w:rFonts w:ascii="Arial" w:cs="Arial" w:eastAsia="Arial" w:hAnsi="Arial"/>
          <w:sz w:val="17"/>
          <w:szCs w:val="17"/>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spacing w:after="0" w:line="1" w:lineRule="exact"/>
        <w:rPr>
          <w:sz w:val="20"/>
          <w:szCs w:val="20"/>
          <w:color w:val="auto"/>
        </w:rPr>
      </w:pPr>
    </w:p>
    <w:p>
      <w:pPr>
        <w:ind w:left="380" w:right="40" w:hanging="8"/>
        <w:spacing w:after="0" w:line="261" w:lineRule="auto"/>
        <w:tabs>
          <w:tab w:leader="none" w:pos="713" w:val="left"/>
        </w:tabs>
        <w:numPr>
          <w:ilvl w:val="0"/>
          <w:numId w:val="13"/>
        </w:numPr>
        <w:rPr>
          <w:rFonts w:ascii="Arial" w:cs="Arial" w:eastAsia="Arial" w:hAnsi="Arial"/>
          <w:sz w:val="19"/>
          <w:szCs w:val="19"/>
          <w:color w:val="auto"/>
        </w:rPr>
      </w:pPr>
      <w:r>
        <w:rPr>
          <w:rFonts w:ascii="Arial" w:cs="Arial" w:eastAsia="Arial" w:hAnsi="Arial"/>
          <w:sz w:val="19"/>
          <w:szCs w:val="19"/>
          <w:color w:val="auto"/>
        </w:rPr>
        <w:t>we issue more than $1.0 billion of non-convertible debt in any three-year period, we will cease to be an emerging growth company prior to the end of such five-year period.</w:t>
      </w:r>
    </w:p>
    <w:p>
      <w:pPr>
        <w:spacing w:after="0" w:line="196" w:lineRule="exact"/>
        <w:rPr>
          <w:sz w:val="20"/>
          <w:szCs w:val="20"/>
          <w:color w:val="auto"/>
        </w:rPr>
      </w:pPr>
    </w:p>
    <w:p>
      <w:pPr>
        <w:jc w:val="both"/>
        <w:ind w:left="380" w:right="160" w:firstLine="450"/>
        <w:spacing w:after="0" w:line="308"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0" w:lineRule="exact"/>
        <w:rPr>
          <w:sz w:val="20"/>
          <w:szCs w:val="20"/>
          <w:color w:val="auto"/>
        </w:rPr>
      </w:pPr>
    </w:p>
    <w:p>
      <w:pPr>
        <w:ind w:left="380" w:right="40" w:firstLine="450"/>
        <w:spacing w:after="0" w:line="298"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9</w:t>
      </w:r>
    </w:p>
    <w:p>
      <w:pPr>
        <w:sectPr>
          <w:pgSz w:w="12240" w:h="15840" w:orient="portrait"/>
          <w:cols w:equalWidth="0" w:num="1">
            <w:col w:w="11580"/>
          </w:cols>
          <w:pgMar w:left="120" w:top="336" w:right="540" w:bottom="1440" w:gutter="0" w:footer="0" w:header="0"/>
        </w:sectPr>
      </w:pPr>
    </w:p>
    <w:bookmarkStart w:id="14" w:name="page15"/>
    <w:bookmarkEnd w:id="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713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93305" cy="67138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19"/>
        <w:spacing w:after="0"/>
        <w:rPr>
          <w:sz w:val="20"/>
          <w:szCs w:val="20"/>
          <w:color w:val="auto"/>
        </w:rPr>
      </w:pPr>
      <w:r>
        <w:rPr>
          <w:rFonts w:ascii="Arial" w:cs="Arial" w:eastAsia="Arial" w:hAnsi="Arial"/>
          <w:sz w:val="19"/>
          <w:szCs w:val="19"/>
          <w:b w:val="1"/>
          <w:bCs w:val="1"/>
          <w:color w:val="auto"/>
        </w:rPr>
        <w:t>THE OFFERING</w:t>
      </w:r>
    </w:p>
    <w:p>
      <w:pPr>
        <w:sectPr>
          <w:pgSz w:w="12240" w:h="15840" w:orient="portrait"/>
          <w:cols w:equalWidth="0" w:num="1">
            <w:col w:w="11580"/>
          </w:cols>
          <w:pgMar w:left="120" w:top="336" w:right="540" w:bottom="1440" w:gutter="0" w:footer="0" w:header="0"/>
        </w:sectPr>
      </w:pPr>
    </w:p>
    <w:p>
      <w:pPr>
        <w:spacing w:after="0" w:line="34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offered by us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offered by the selling stockholders</w:t>
      </w:r>
    </w:p>
    <w:p>
      <w:pPr>
        <w:spacing w:after="0" w:line="30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A common stock to be outstanding after this offering</w:t>
      </w:r>
    </w:p>
    <w:p>
      <w:pPr>
        <w:spacing w:after="0" w:line="30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Class B common stock to be outstanding after this offering</w:t>
      </w:r>
    </w:p>
    <w:p>
      <w:pPr>
        <w:spacing w:after="0" w:line="309" w:lineRule="exact"/>
        <w:rPr>
          <w:sz w:val="20"/>
          <w:szCs w:val="20"/>
          <w:color w:val="auto"/>
        </w:rPr>
      </w:pPr>
    </w:p>
    <w:p>
      <w:pPr>
        <w:ind w:left="560" w:right="120" w:hanging="189"/>
        <w:spacing w:after="0" w:line="275" w:lineRule="auto"/>
        <w:rPr>
          <w:sz w:val="20"/>
          <w:szCs w:val="20"/>
          <w:color w:val="auto"/>
        </w:rPr>
      </w:pPr>
      <w:r>
        <w:rPr>
          <w:rFonts w:ascii="Arial" w:cs="Arial" w:eastAsia="Arial" w:hAnsi="Arial"/>
          <w:sz w:val="19"/>
          <w:szCs w:val="19"/>
          <w:color w:val="auto"/>
        </w:rPr>
        <w:t>Total Class A and Class B common stock to be outstanding after this offering</w:t>
      </w:r>
    </w:p>
    <w:p>
      <w:pPr>
        <w:spacing w:after="0" w:line="27" w:lineRule="exact"/>
        <w:rPr>
          <w:sz w:val="20"/>
          <w:szCs w:val="20"/>
          <w:color w:val="auto"/>
        </w:rPr>
      </w:pPr>
    </w:p>
    <w:p>
      <w:pPr>
        <w:ind w:left="560" w:hanging="189"/>
        <w:spacing w:after="0" w:line="275" w:lineRule="auto"/>
        <w:rPr>
          <w:sz w:val="20"/>
          <w:szCs w:val="20"/>
          <w:color w:val="auto"/>
        </w:rPr>
      </w:pPr>
      <w:r>
        <w:rPr>
          <w:rFonts w:ascii="Arial" w:cs="Arial" w:eastAsia="Arial" w:hAnsi="Arial"/>
          <w:sz w:val="19"/>
          <w:szCs w:val="19"/>
          <w:color w:val="auto"/>
        </w:rPr>
        <w:t>Over-allotment option of Class A common stock offered by us and the selling stockholders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Use of proceeds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shares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stock and Class B common stock. The rights of the holders of</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Class A and Class B common stock are identical, except with respect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 are entitled to one vote per share and the holders of Class B</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common stock are entitled to 10 votes per share, on all matters that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are subject to stockholder vote. Each share of Class B common stock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of the holder thereof, and will be converted into one share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exceptions.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our outstanding Class B common stock will hold</w:t>
      </w:r>
    </w:p>
    <w:p>
      <w:pPr>
        <w:spacing w:after="0" w:line="34" w:lineRule="exact"/>
        <w:rPr>
          <w:sz w:val="20"/>
          <w:szCs w:val="20"/>
          <w:color w:val="auto"/>
        </w:rPr>
      </w:pPr>
    </w:p>
    <w:p>
      <w:pPr>
        <w:ind w:firstLine="380"/>
        <w:spacing w:after="0" w:line="280" w:lineRule="auto"/>
        <w:tabs>
          <w:tab w:leader="none" w:pos="5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of the voting power of our outstanding capital stock following this offering, with our directors, executive officers and 5%</w:t>
      </w:r>
    </w:p>
    <w:p>
      <w:pPr>
        <w:ind w:right="20"/>
        <w:spacing w:after="0" w:line="252" w:lineRule="auto"/>
        <w:rPr>
          <w:sz w:val="20"/>
          <w:szCs w:val="20"/>
          <w:color w:val="auto"/>
        </w:rPr>
      </w:pPr>
      <w:r>
        <w:rPr>
          <w:rFonts w:ascii="Arial" w:cs="Arial" w:eastAsia="Arial" w:hAnsi="Arial"/>
          <w:sz w:val="19"/>
          <w:szCs w:val="19"/>
          <w:color w:val="auto"/>
        </w:rPr>
        <w:t>stockholders and their respective affiliates holding % in the aggregate. These holders will have the ability to control the outcome of matters submitted to our shareholders for approval, including the election of our directors and the approval of any change of control transaction. See the section titled “Description of Capital Stock” for additional information.</w:t>
      </w:r>
    </w:p>
    <w:p>
      <w:pPr>
        <w:spacing w:after="0" w:line="65"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auto"/>
        </w:rPr>
        <w:t>We estimate that our net proceeds from the sale of our Class A common stock that we are offering will be approximately</w:t>
      </w:r>
    </w:p>
    <w:p>
      <w:pPr>
        <w:ind w:right="180"/>
        <w:spacing w:after="0" w:line="264" w:lineRule="auto"/>
        <w:rPr>
          <w:sz w:val="20"/>
          <w:szCs w:val="20"/>
          <w:color w:val="auto"/>
        </w:rPr>
      </w:pPr>
      <w:r>
        <w:rPr>
          <w:rFonts w:ascii="Arial" w:cs="Arial" w:eastAsia="Arial" w:hAnsi="Arial"/>
          <w:sz w:val="18"/>
          <w:szCs w:val="18"/>
          <w:color w:val="auto"/>
        </w:rPr>
        <w:t>$ million (or approximately $ million if the underwriters exercise their over-allotment option in full), assuming an initial</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public offering price of $ per share, the midpoint of the estimated price range set forth on the cover page of this prospectus, and after deducting estimated underwriting discounts and commissions and estimated offering expenses.</w:t>
      </w:r>
    </w:p>
    <w:p>
      <w:pPr>
        <w:spacing w:after="0" w:line="200" w:lineRule="exact"/>
        <w:rPr>
          <w:sz w:val="20"/>
          <w:szCs w:val="20"/>
          <w:color w:val="auto"/>
        </w:rPr>
      </w:pPr>
    </w:p>
    <w:p>
      <w:pPr>
        <w:sectPr>
          <w:pgSz w:w="12240" w:h="15840" w:orient="portrait"/>
          <w:cols w:equalWidth="0" w:num="2">
            <w:col w:w="5720" w:space="620"/>
            <w:col w:w="5240"/>
          </w:cols>
          <w:pgMar w:left="120" w:top="336" w:right="5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580"/>
          </w:cols>
          <w:pgMar w:left="120" w:top="336" w:right="540" w:bottom="1440" w:gutter="0" w:footer="0" w:header="0"/>
          <w:type w:val="continuous"/>
        </w:sectPr>
      </w:pPr>
    </w:p>
    <w:bookmarkStart w:id="15" w:name="page16"/>
    <w:bookmarkEnd w:id="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514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93305" cy="6514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We currently intend to use the net proceeds we receive from this</w:t>
      </w:r>
    </w:p>
    <w:p>
      <w:pPr>
        <w:spacing w:after="0" w:line="34"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offering for general corporate purposes, including working capital,</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operating expenses and capital expenditures. We may also use a</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portion of the net proceeds for acquisitions or strategic investments</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in complementary businesses, products, services or technologies,</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although we do not currently have any plans or commitments for any</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such acquisitions or investments. See the section titled “Use of</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9"/>
          <w:szCs w:val="19"/>
          <w:color w:val="auto"/>
        </w:rPr>
        <w:t>Proceeds” for additional information. We will not receive any</w:t>
      </w:r>
    </w:p>
    <w:p>
      <w:pPr>
        <w:spacing w:after="0" w:line="1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proceeds from the sale of shares of Class A common stock by the</w:t>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9"/>
          <w:szCs w:val="19"/>
          <w:color w:val="auto"/>
        </w:rPr>
        <w:t>selling stockholders.</w:t>
      </w:r>
    </w:p>
    <w:p>
      <w:pPr>
        <w:spacing w:after="0" w:line="82" w:lineRule="exact"/>
        <w:rPr>
          <w:sz w:val="20"/>
          <w:szCs w:val="20"/>
          <w:color w:val="auto"/>
        </w:rPr>
      </w:pPr>
    </w:p>
    <w:p>
      <w:pPr>
        <w:ind w:left="380"/>
        <w:spacing w:after="0"/>
        <w:tabs>
          <w:tab w:leader="none" w:pos="6320" w:val="left"/>
        </w:tabs>
        <w:rPr>
          <w:sz w:val="20"/>
          <w:szCs w:val="20"/>
          <w:color w:val="auto"/>
        </w:rPr>
      </w:pPr>
      <w:r>
        <w:rPr>
          <w:rFonts w:ascii="Arial" w:cs="Arial" w:eastAsia="Arial" w:hAnsi="Arial"/>
          <w:sz w:val="19"/>
          <w:szCs w:val="19"/>
          <w:color w:val="auto"/>
        </w:rPr>
        <w:t>Proposed Nasdaq trading symbol</w:t>
      </w:r>
      <w:r>
        <w:rPr>
          <w:sz w:val="20"/>
          <w:szCs w:val="20"/>
          <w:color w:val="auto"/>
        </w:rPr>
        <w:tab/>
      </w:r>
      <w:r>
        <w:rPr>
          <w:rFonts w:ascii="Arial" w:cs="Arial" w:eastAsia="Arial" w:hAnsi="Arial"/>
          <w:sz w:val="19"/>
          <w:szCs w:val="19"/>
          <w:color w:val="auto"/>
        </w:rPr>
        <w:t>“ZM”</w:t>
      </w:r>
    </w:p>
    <w:p>
      <w:pPr>
        <w:spacing w:after="0" w:line="238" w:lineRule="exact"/>
        <w:rPr>
          <w:sz w:val="20"/>
          <w:szCs w:val="20"/>
          <w:color w:val="auto"/>
        </w:rPr>
      </w:pPr>
    </w:p>
    <w:p>
      <w:pPr>
        <w:jc w:val="both"/>
        <w:ind w:left="380" w:right="240" w:firstLine="450"/>
        <w:spacing w:after="0" w:line="263" w:lineRule="auto"/>
        <w:rPr>
          <w:sz w:val="20"/>
          <w:szCs w:val="20"/>
          <w:color w:val="auto"/>
        </w:rPr>
      </w:pPr>
      <w:r>
        <w:rPr>
          <w:rFonts w:ascii="Arial" w:cs="Arial" w:eastAsia="Arial" w:hAnsi="Arial"/>
          <w:sz w:val="19"/>
          <w:szCs w:val="19"/>
          <w:color w:val="auto"/>
        </w:rPr>
        <w:t>The number of shares of our common stock that will be outstanding after this offering is based on no shares of our Class A common stock and 242,618,755 shares of our Class B common stock (including preferred stock on an as-converted basis) outstanding as of December 31, 2018 and excludes:</w:t>
      </w:r>
    </w:p>
    <w:p>
      <w:pPr>
        <w:spacing w:after="0" w:line="95" w:lineRule="exact"/>
        <w:rPr>
          <w:sz w:val="20"/>
          <w:szCs w:val="20"/>
          <w:color w:val="auto"/>
        </w:rPr>
      </w:pPr>
    </w:p>
    <w:p>
      <w:pPr>
        <w:ind w:left="1240" w:right="80" w:hanging="426"/>
        <w:spacing w:after="0" w:line="275" w:lineRule="auto"/>
        <w:tabs>
          <w:tab w:leader="none" w:pos="12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34,763,488 shares of our Class B common stock issuable upon the exercise of options to purchase shares of our Class B common stock outstanding as of December 31, 2018, with a weighted-average exercise price of $1.16 per share;</w:t>
      </w:r>
    </w:p>
    <w:p>
      <w:pPr>
        <w:spacing w:after="0" w:line="84" w:lineRule="exact"/>
        <w:rPr>
          <w:rFonts w:ascii="Arial" w:cs="Arial" w:eastAsia="Arial" w:hAnsi="Arial"/>
          <w:sz w:val="19"/>
          <w:szCs w:val="19"/>
          <w:color w:val="auto"/>
        </w:rPr>
      </w:pPr>
    </w:p>
    <w:p>
      <w:pPr>
        <w:ind w:left="1240" w:right="320" w:hanging="426"/>
        <w:spacing w:after="0" w:line="275" w:lineRule="auto"/>
        <w:tabs>
          <w:tab w:leader="none" w:pos="12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742,400 shares of our Class B common stock issuable upon the exercise of options to purchase shares of our Class B common stock granted after December 31, 2018, with an exercise price of $16.02 per share;</w:t>
      </w:r>
    </w:p>
    <w:p>
      <w:pPr>
        <w:spacing w:after="0" w:line="84" w:lineRule="exact"/>
        <w:rPr>
          <w:rFonts w:ascii="Arial" w:cs="Arial" w:eastAsia="Arial" w:hAnsi="Arial"/>
          <w:sz w:val="19"/>
          <w:szCs w:val="19"/>
          <w:color w:val="auto"/>
        </w:rPr>
      </w:pPr>
    </w:p>
    <w:p>
      <w:pPr>
        <w:ind w:left="1240" w:right="260" w:hanging="426"/>
        <w:spacing w:after="0" w:line="288" w:lineRule="auto"/>
        <w:tabs>
          <w:tab w:leader="none" w:pos="18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shares of our Class A common stock issuable upon the automatic conversion of convertible promissory notes in the principal amount of $15.0 million plus interest in connection with this offering, assuming a conversion date of December 31, 2018 and an</w:t>
      </w:r>
    </w:p>
    <w:p>
      <w:pPr>
        <w:ind w:left="1240" w:right="20"/>
        <w:spacing w:after="0" w:line="261" w:lineRule="auto"/>
        <w:rPr>
          <w:rFonts w:ascii="Arial" w:cs="Arial" w:eastAsia="Arial" w:hAnsi="Arial"/>
          <w:sz w:val="17"/>
          <w:szCs w:val="17"/>
          <w:color w:val="auto"/>
        </w:rPr>
      </w:pPr>
      <w:r>
        <w:rPr>
          <w:rFonts w:ascii="Arial" w:cs="Arial" w:eastAsia="Arial" w:hAnsi="Arial"/>
          <w:sz w:val="19"/>
          <w:szCs w:val="19"/>
          <w:color w:val="auto"/>
        </w:rPr>
        <w:t>assumed initial public offering price of $ per share of Class A common stock, the midpoint of the price range set forth on the cover page of this prospectus;</w:t>
      </w:r>
    </w:p>
    <w:p>
      <w:pPr>
        <w:spacing w:after="0" w:line="96" w:lineRule="exact"/>
        <w:rPr>
          <w:rFonts w:ascii="Arial" w:cs="Arial" w:eastAsia="Arial" w:hAnsi="Arial"/>
          <w:sz w:val="17"/>
          <w:szCs w:val="17"/>
          <w:color w:val="auto"/>
        </w:rPr>
      </w:pPr>
    </w:p>
    <w:p>
      <w:pPr>
        <w:ind w:left="1240" w:right="400" w:hanging="426"/>
        <w:spacing w:after="0" w:line="275" w:lineRule="auto"/>
        <w:tabs>
          <w:tab w:leader="none" w:pos="1858" w:val="left"/>
        </w:tabs>
        <w:numPr>
          <w:ilvl w:val="0"/>
          <w:numId w:val="15"/>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Equity Incentive Plan (2019 Plan), which includes an annual evergreen increase and will become effective in connection with this offering; and</w:t>
      </w:r>
    </w:p>
    <w:p>
      <w:pPr>
        <w:spacing w:after="0" w:line="84" w:lineRule="exact"/>
        <w:rPr>
          <w:rFonts w:ascii="Arial" w:cs="Arial" w:eastAsia="Arial" w:hAnsi="Arial"/>
          <w:sz w:val="19"/>
          <w:szCs w:val="19"/>
          <w:color w:val="auto"/>
        </w:rPr>
      </w:pPr>
    </w:p>
    <w:p>
      <w:pPr>
        <w:ind w:left="1240" w:right="20" w:hanging="426"/>
        <w:spacing w:after="0" w:line="275" w:lineRule="auto"/>
        <w:tabs>
          <w:tab w:leader="none" w:pos="1858" w:val="left"/>
        </w:tabs>
        <w:numPr>
          <w:ilvl w:val="0"/>
          <w:numId w:val="15"/>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Employee Stock Purchase Plan (ESPP), which includes an annual evergreen increase and will become effective in connection with this offering.</w:t>
      </w:r>
    </w:p>
    <w:p>
      <w:pPr>
        <w:spacing w:after="0" w:line="184" w:lineRule="exact"/>
        <w:rPr>
          <w:sz w:val="20"/>
          <w:szCs w:val="20"/>
          <w:color w:val="auto"/>
        </w:rPr>
      </w:pPr>
    </w:p>
    <w:p>
      <w:pPr>
        <w:ind w:left="380" w:right="20" w:firstLine="450"/>
        <w:spacing w:after="0" w:line="259" w:lineRule="auto"/>
        <w:rPr>
          <w:sz w:val="20"/>
          <w:szCs w:val="20"/>
          <w:color w:val="auto"/>
        </w:rPr>
      </w:pPr>
      <w:r>
        <w:rPr>
          <w:rFonts w:ascii="Arial" w:cs="Arial" w:eastAsia="Arial" w:hAnsi="Arial"/>
          <w:sz w:val="19"/>
          <w:szCs w:val="19"/>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Compensation—Employee Benefit Plans” for additional information.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Unless otherwise indicated, the information in this prospectus assumes:</w:t>
      </w:r>
    </w:p>
    <w:p>
      <w:pPr>
        <w:spacing w:after="0" w:line="138" w:lineRule="exact"/>
        <w:rPr>
          <w:sz w:val="20"/>
          <w:szCs w:val="20"/>
          <w:color w:val="auto"/>
        </w:rPr>
      </w:pPr>
    </w:p>
    <w:p>
      <w:pPr>
        <w:ind w:left="1240" w:right="300" w:hanging="426"/>
        <w:spacing w:after="0" w:line="275" w:lineRule="auto"/>
        <w:tabs>
          <w:tab w:leader="none" w:pos="12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filing of our amended and restated certificate of incorporation and the effectiveness of our amended and restated bylaws, each of which will occur immediately prior to the completion of this offering;</w:t>
      </w:r>
    </w:p>
    <w:p>
      <w:pPr>
        <w:spacing w:after="0" w:line="84" w:lineRule="exact"/>
        <w:rPr>
          <w:rFonts w:ascii="Arial" w:cs="Arial" w:eastAsia="Arial" w:hAnsi="Arial"/>
          <w:sz w:val="19"/>
          <w:szCs w:val="19"/>
          <w:color w:val="auto"/>
        </w:rPr>
      </w:pPr>
    </w:p>
    <w:p>
      <w:pPr>
        <w:ind w:left="1240" w:right="120" w:hanging="426"/>
        <w:spacing w:after="0" w:line="275" w:lineRule="auto"/>
        <w:tabs>
          <w:tab w:leader="none" w:pos="12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automatic conversion of all outstanding shares of our convertible preferred stock as of December 31, 2018 into 152,665,804 shares of our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11</w:t>
      </w:r>
    </w:p>
    <w:p>
      <w:pPr>
        <w:sectPr>
          <w:pgSz w:w="12240" w:h="15840" w:orient="portrait"/>
          <w:cols w:equalWidth="0" w:num="1">
            <w:col w:w="11600"/>
          </w:cols>
          <w:pgMar w:left="120" w:top="336" w:right="520" w:bottom="1440" w:gutter="0" w:footer="0" w:header="0"/>
        </w:sectPr>
      </w:pPr>
    </w:p>
    <w:bookmarkStart w:id="16" w:name="page17"/>
    <w:bookmarkEnd w:id="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818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93305" cy="81851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240" w:hanging="426"/>
        <w:spacing w:after="0"/>
        <w:tabs>
          <w:tab w:leader="none" w:pos="12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 exercise of the outstanding options described above; and</w:t>
      </w:r>
    </w:p>
    <w:p>
      <w:pPr>
        <w:spacing w:after="0" w:line="138"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880" w:type="dxa"/>
            <w:vAlign w:val="bottom"/>
          </w:tcPr>
          <w:p>
            <w:pPr>
              <w:ind w:left="640"/>
              <w:spacing w:after="0"/>
              <w:rPr>
                <w:sz w:val="20"/>
                <w:szCs w:val="20"/>
                <w:color w:val="auto"/>
              </w:rPr>
            </w:pPr>
            <w:r>
              <w:rPr>
                <w:rFonts w:ascii="Arial" w:cs="Arial" w:eastAsia="Arial" w:hAnsi="Arial"/>
                <w:sz w:val="19"/>
                <w:szCs w:val="19"/>
                <w:color w:val="auto"/>
              </w:rPr>
              <w:t>•</w:t>
            </w:r>
          </w:p>
        </w:tc>
        <w:tc>
          <w:tcPr>
            <w:tcW w:w="5860" w:type="dxa"/>
            <w:vAlign w:val="bottom"/>
          </w:tcPr>
          <w:p>
            <w:pPr>
              <w:ind w:left="180"/>
              <w:spacing w:after="0"/>
              <w:rPr>
                <w:sz w:val="20"/>
                <w:szCs w:val="20"/>
                <w:color w:val="auto"/>
              </w:rPr>
            </w:pPr>
            <w:r>
              <w:rPr>
                <w:rFonts w:ascii="Arial" w:cs="Arial" w:eastAsia="Arial" w:hAnsi="Arial"/>
                <w:sz w:val="19"/>
                <w:szCs w:val="19"/>
                <w:color w:val="auto"/>
                <w:w w:val="96"/>
              </w:rPr>
              <w:t>no exercise of the underwriters’ option to purchase up to an additional</w:t>
            </w:r>
          </w:p>
        </w:tc>
        <w:tc>
          <w:tcPr>
            <w:tcW w:w="4900" w:type="dxa"/>
            <w:vAlign w:val="bottom"/>
          </w:tcPr>
          <w:p>
            <w:pPr>
              <w:ind w:left="320"/>
              <w:spacing w:after="0"/>
              <w:rPr>
                <w:sz w:val="20"/>
                <w:szCs w:val="20"/>
                <w:color w:val="auto"/>
              </w:rPr>
            </w:pPr>
            <w:r>
              <w:rPr>
                <w:rFonts w:ascii="Arial" w:cs="Arial" w:eastAsia="Arial" w:hAnsi="Arial"/>
                <w:sz w:val="19"/>
                <w:szCs w:val="19"/>
                <w:color w:val="auto"/>
              </w:rPr>
              <w:t>shares of Class A common stock to cover over-</w:t>
            </w:r>
          </w:p>
        </w:tc>
      </w:tr>
      <w:tr>
        <w:trPr>
          <w:trHeight w:val="241"/>
        </w:trPr>
        <w:tc>
          <w:tcPr>
            <w:tcW w:w="8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9"/>
                <w:szCs w:val="19"/>
                <w:color w:val="auto"/>
              </w:rPr>
              <w:t>allotments.</w:t>
            </w:r>
          </w:p>
        </w:tc>
        <w:tc>
          <w:tcPr>
            <w:tcW w:w="4900" w:type="dxa"/>
            <w:vAlign w:val="bottom"/>
          </w:tcPr>
          <w:p>
            <w:pPr>
              <w:spacing w:after="0"/>
              <w:rPr>
                <w:sz w:val="20"/>
                <w:szCs w:val="20"/>
                <w:color w:val="auto"/>
              </w:rPr>
            </w:pPr>
          </w:p>
        </w:tc>
      </w:tr>
      <w:tr>
        <w:trPr>
          <w:trHeight w:val="255"/>
        </w:trPr>
        <w:tc>
          <w:tcPr>
            <w:tcW w:w="880" w:type="dxa"/>
            <w:vAlign w:val="bottom"/>
            <w:tcBorders>
              <w:bottom w:val="single" w:sz="8" w:color="auto"/>
            </w:tcBorders>
          </w:tcPr>
          <w:p>
            <w:pPr>
              <w:spacing w:after="0"/>
              <w:rPr>
                <w:sz w:val="22"/>
                <w:szCs w:val="22"/>
                <w:color w:val="auto"/>
              </w:rPr>
            </w:pPr>
          </w:p>
        </w:tc>
        <w:tc>
          <w:tcPr>
            <w:tcW w:w="5860" w:type="dxa"/>
            <w:vAlign w:val="bottom"/>
            <w:tcBorders>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r>
      <w:tr>
        <w:trPr>
          <w:trHeight w:val="638"/>
        </w:trPr>
        <w:tc>
          <w:tcPr>
            <w:tcW w:w="880" w:type="dxa"/>
            <w:vAlign w:val="bottom"/>
          </w:tcPr>
          <w:p>
            <w:pPr>
              <w:spacing w:after="0"/>
              <w:rPr>
                <w:sz w:val="24"/>
                <w:szCs w:val="24"/>
                <w:color w:val="auto"/>
              </w:rPr>
            </w:pPr>
          </w:p>
        </w:tc>
        <w:tc>
          <w:tcPr>
            <w:tcW w:w="5860" w:type="dxa"/>
            <w:vAlign w:val="bottom"/>
          </w:tcPr>
          <w:p>
            <w:pPr>
              <w:jc w:val="right"/>
              <w:ind w:right="725"/>
              <w:spacing w:after="0"/>
              <w:rPr>
                <w:sz w:val="20"/>
                <w:szCs w:val="20"/>
                <w:color w:val="auto"/>
              </w:rPr>
            </w:pPr>
            <w:r>
              <w:rPr>
                <w:rFonts w:ascii="Arial" w:cs="Arial" w:eastAsia="Arial" w:hAnsi="Arial"/>
                <w:sz w:val="19"/>
                <w:szCs w:val="19"/>
                <w:color w:val="auto"/>
              </w:rPr>
              <w:t>12</w:t>
            </w:r>
          </w:p>
        </w:tc>
        <w:tc>
          <w:tcPr>
            <w:tcW w:w="490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17" w:name="page18"/>
    <w:bookmarkEnd w:id="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7248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93305" cy="72485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79"/>
        <w:spacing w:after="0"/>
        <w:rPr>
          <w:sz w:val="20"/>
          <w:szCs w:val="20"/>
          <w:color w:val="auto"/>
        </w:rPr>
      </w:pPr>
      <w:r>
        <w:rPr>
          <w:rFonts w:ascii="Arial" w:cs="Arial" w:eastAsia="Arial" w:hAnsi="Arial"/>
          <w:sz w:val="19"/>
          <w:szCs w:val="19"/>
          <w:b w:val="1"/>
          <w:bCs w:val="1"/>
          <w:color w:val="auto"/>
        </w:rPr>
        <w:t>SUMMARY CONSOLIDATED FINANCIAL DATA</w:t>
      </w:r>
    </w:p>
    <w:p>
      <w:pPr>
        <w:spacing w:after="0" w:line="244" w:lineRule="exact"/>
        <w:rPr>
          <w:sz w:val="20"/>
          <w:szCs w:val="20"/>
          <w:color w:val="auto"/>
        </w:rPr>
      </w:pPr>
    </w:p>
    <w:p>
      <w:pPr>
        <w:ind w:left="380" w:right="200" w:firstLine="450"/>
        <w:spacing w:after="0" w:line="255" w:lineRule="auto"/>
        <w:rPr>
          <w:sz w:val="20"/>
          <w:szCs w:val="20"/>
          <w:color w:val="auto"/>
        </w:rPr>
      </w:pPr>
      <w:r>
        <w:rPr>
          <w:rFonts w:ascii="Arial" w:cs="Arial" w:eastAsia="Arial" w:hAnsi="Arial"/>
          <w:sz w:val="19"/>
          <w:szCs w:val="19"/>
          <w:color w:val="auto"/>
        </w:rPr>
        <w:t>The following summary consolidated statements of operations data for the years ended January 31, 2017 and 2018 and the consolidated balance sheet data as of January 31, 2018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24"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center"/>
              <w:ind w:left="268"/>
              <w:spacing w:after="0"/>
              <w:rPr>
                <w:sz w:val="20"/>
                <w:szCs w:val="20"/>
                <w:color w:val="auto"/>
              </w:rPr>
            </w:pPr>
            <w:r>
              <w:rPr>
                <w:rFonts w:ascii="Arial" w:cs="Arial" w:eastAsia="Arial" w:hAnsi="Arial"/>
                <w:sz w:val="15"/>
                <w:szCs w:val="15"/>
                <w:b w:val="1"/>
                <w:bCs w:val="1"/>
                <w:color w:val="auto"/>
                <w:w w:val="93"/>
              </w:rPr>
              <w:t>Year Ended January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8"/>
              <w:spacing w:after="0" w:line="151" w:lineRule="exact"/>
              <w:rPr>
                <w:sz w:val="20"/>
                <w:szCs w:val="20"/>
                <w:color w:val="auto"/>
              </w:rPr>
            </w:pPr>
            <w:r>
              <w:rPr>
                <w:rFonts w:ascii="Arial" w:cs="Arial" w:eastAsia="Arial" w:hAnsi="Arial"/>
                <w:sz w:val="15"/>
                <w:szCs w:val="15"/>
                <w:b w:val="1"/>
                <w:bCs w:val="1"/>
                <w:color w:val="auto"/>
              </w:rPr>
              <w:t>2017</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7"/>
              <w:spacing w:after="0" w:line="151" w:lineRule="exact"/>
              <w:rPr>
                <w:sz w:val="20"/>
                <w:szCs w:val="20"/>
                <w:color w:val="auto"/>
              </w:rPr>
            </w:pPr>
            <w:r>
              <w:rPr>
                <w:rFonts w:ascii="Arial" w:cs="Arial" w:eastAsia="Arial" w:hAnsi="Arial"/>
                <w:sz w:val="15"/>
                <w:szCs w:val="15"/>
                <w:b w:val="1"/>
                <w:bCs w:val="1"/>
                <w:color w:val="auto"/>
                <w:w w:val="89"/>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gridSpan w:val="9"/>
          </w:tcPr>
          <w:p>
            <w:pPr>
              <w:jc w:val="center"/>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8"/>
          </w:tcPr>
          <w:p>
            <w:pPr>
              <w:jc w:val="center"/>
              <w:ind w:left="268"/>
              <w:spacing w:after="0"/>
              <w:rPr>
                <w:sz w:val="20"/>
                <w:szCs w:val="20"/>
                <w:color w:val="auto"/>
              </w:rPr>
            </w:pPr>
            <w:r>
              <w:rPr>
                <w:rFonts w:ascii="Arial" w:cs="Arial" w:eastAsia="Arial" w:hAnsi="Arial"/>
                <w:sz w:val="15"/>
                <w:szCs w:val="15"/>
                <w:b w:val="1"/>
                <w:bCs w:val="1"/>
                <w:color w:val="auto"/>
                <w:w w:val="91"/>
              </w:rPr>
              <w:t>per share data)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Consolidated Statements of Operations Data:</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Revenue</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60,817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3"/>
          </w:tcPr>
          <w:p>
            <w:pPr>
              <w:jc w:val="right"/>
              <w:spacing w:after="0"/>
              <w:rPr>
                <w:sz w:val="20"/>
                <w:szCs w:val="20"/>
                <w:color w:val="auto"/>
              </w:rPr>
            </w:pPr>
            <w:r>
              <w:rPr>
                <w:rFonts w:ascii="Arial" w:cs="Arial" w:eastAsia="Arial" w:hAnsi="Arial"/>
                <w:sz w:val="19"/>
                <w:szCs w:val="19"/>
                <w:color w:val="auto"/>
              </w:rPr>
              <w:t>151,478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30,780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gridSpan w:val="3"/>
          </w:tcPr>
          <w:p>
            <w:pPr>
              <w:spacing w:after="0"/>
              <w:rPr>
                <w:sz w:val="20"/>
                <w:szCs w:val="20"/>
                <w:color w:val="auto"/>
              </w:rPr>
            </w:pPr>
            <w:r>
              <w:rPr>
                <w:rFonts w:ascii="Arial" w:cs="Arial" w:eastAsia="Arial" w:hAnsi="Arial"/>
                <w:sz w:val="19"/>
                <w:szCs w:val="19"/>
                <w:color w:val="auto"/>
              </w:rPr>
              <w:t>Gross profit</w:t>
            </w:r>
          </w:p>
        </w:tc>
        <w:tc>
          <w:tcPr>
            <w:tcW w:w="4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9"/>
                <w:szCs w:val="19"/>
                <w:color w:val="auto"/>
              </w:rPr>
              <w:t>120,698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9,218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15,733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31,580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82,707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7,547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9"/>
                <w:szCs w:val="19"/>
                <w:color w:val="auto"/>
              </w:rPr>
              <w:t>27,091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Total operating expenses</w:t>
            </w:r>
          </w:p>
        </w:tc>
        <w:tc>
          <w:tcPr>
            <w:tcW w:w="40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rPr>
              <w:t>125,531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gridSpan w:val="3"/>
          </w:tcPr>
          <w:p>
            <w:pPr>
              <w:spacing w:after="0"/>
              <w:rPr>
                <w:sz w:val="20"/>
                <w:szCs w:val="20"/>
                <w:color w:val="auto"/>
              </w:rPr>
            </w:pPr>
            <w:r>
              <w:rPr>
                <w:rFonts w:ascii="Arial" w:cs="Arial" w:eastAsia="Arial" w:hAnsi="Arial"/>
                <w:sz w:val="19"/>
                <w:szCs w:val="19"/>
                <w:color w:val="auto"/>
              </w:rPr>
              <w:t>Loss from operations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4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2"/>
              </w:rPr>
              <w:t>1,241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Other income, net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income (loss) before provision for income taxes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Provision for income taxes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(172)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(14,366)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(14,380)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80" w:type="dxa"/>
            <w:vAlign w:val="bottom"/>
            <w:gridSpan w:val="3"/>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9"/>
                <w:szCs w:val="19"/>
                <w:color w:val="auto"/>
              </w:rPr>
              <w:t>(0.20)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3"/>
              </w:rPr>
              <w:t>Weighted-average shares used in computing net loss per share attributable to common stockholders,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basic and diluted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70,309,256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w w:val="98"/>
              </w:rPr>
              <w:t>78,119,865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9"/>
                <w:szCs w:val="19"/>
                <w:color w:val="auto"/>
                <w:w w:val="98"/>
              </w:rPr>
              <w:t>Pro forma net loss per share attributable to common stockholders, basic and diluted (unaudited)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980" w:type="dxa"/>
            <w:vAlign w:val="bottom"/>
            <w:gridSpan w:val="3"/>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7"/>
              </w:rPr>
              <w:t>Weighted-average shares used in computing pro forma net loss per share attributable to common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9"/>
                <w:szCs w:val="19"/>
                <w:color w:val="auto"/>
                <w:w w:val="88"/>
              </w:rPr>
              <w:t>231,681,645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980" w:type="dxa"/>
            <w:vAlign w:val="bottom"/>
            <w:gridSpan w:val="3"/>
          </w:tcPr>
          <w:p>
            <w:pPr>
              <w:spacing w:after="0"/>
              <w:rPr>
                <w:sz w:val="20"/>
                <w:szCs w:val="20"/>
                <w:color w:val="auto"/>
              </w:rPr>
            </w:pPr>
            <w:r>
              <w:rPr>
                <w:rFonts w:ascii="Arial" w:cs="Arial" w:eastAsia="Arial" w:hAnsi="Arial"/>
                <w:sz w:val="19"/>
                <w:szCs w:val="19"/>
                <w:color w:val="auto"/>
              </w:rPr>
              <w:t>(1)   Includes stock-based compensation expense as follows:</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8"/>
          </w:tcPr>
          <w:p>
            <w:pPr>
              <w:jc w:val="right"/>
              <w:ind w:right="160"/>
              <w:spacing w:after="0"/>
              <w:rPr>
                <w:sz w:val="20"/>
                <w:szCs w:val="20"/>
                <w:color w:val="auto"/>
              </w:rPr>
            </w:pPr>
            <w:r>
              <w:rPr>
                <w:rFonts w:ascii="Arial" w:cs="Arial" w:eastAsia="Arial" w:hAnsi="Arial"/>
                <w:sz w:val="15"/>
                <w:szCs w:val="15"/>
                <w:b w:val="1"/>
                <w:bCs w:val="1"/>
                <w:color w:val="auto"/>
                <w:w w:val="92"/>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2"/>
              <w:spacing w:after="0" w:line="151" w:lineRule="exact"/>
              <w:rPr>
                <w:sz w:val="20"/>
                <w:szCs w:val="20"/>
                <w:color w:val="auto"/>
              </w:rPr>
            </w:pPr>
            <w:r>
              <w:rPr>
                <w:rFonts w:ascii="Arial" w:cs="Arial" w:eastAsia="Arial" w:hAnsi="Arial"/>
                <w:sz w:val="15"/>
                <w:szCs w:val="15"/>
                <w:b w:val="1"/>
                <w:bCs w:val="1"/>
                <w:color w:val="auto"/>
                <w:w w:val="89"/>
              </w:rPr>
              <w:t>2017</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7"/>
          </w:tcPr>
          <w:p>
            <w:pPr>
              <w:jc w:val="right"/>
              <w:ind w:right="420"/>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left="286"/>
              <w:spacing w:after="0"/>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204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Research and development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9"/>
                <w:szCs w:val="19"/>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9"/>
                <w:szCs w:val="19"/>
                <w:color w:val="auto"/>
              </w:rPr>
              <w:t>General and administrative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Total stock-based compensation expense</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1,039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left="286"/>
              <w:spacing w:after="0"/>
              <w:rPr>
                <w:sz w:val="20"/>
                <w:szCs w:val="20"/>
                <w:color w:val="auto"/>
              </w:rPr>
            </w:pPr>
            <w:r>
              <w:rPr>
                <w:rFonts w:ascii="Arial" w:cs="Arial" w:eastAsia="Arial" w:hAnsi="Arial"/>
                <w:sz w:val="19"/>
                <w:szCs w:val="19"/>
                <w:u w:val="single" w:color="auto"/>
                <w:color w:val="auto"/>
                <w:w w:val="75"/>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5"/>
              </w:rPr>
              <w:t>10,329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620"/>
          </w:cols>
          <w:pgMar w:left="120" w:top="336" w:right="500"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620"/>
          </w:cols>
          <w:pgMar w:left="120" w:top="336" w:right="500" w:bottom="1440" w:gutter="0" w:footer="0" w:header="0"/>
          <w:type w:val="continuous"/>
        </w:sectPr>
      </w:pPr>
    </w:p>
    <w:bookmarkStart w:id="18" w:name="page19"/>
    <w:bookmarkEnd w:id="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215900</wp:posOffset>
            </wp:positionV>
            <wp:extent cx="7393305" cy="6179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93305" cy="617982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820" w:right="100" w:hanging="448"/>
        <w:spacing w:after="0" w:line="256" w:lineRule="auto"/>
        <w:tabs>
          <w:tab w:leader="none" w:pos="8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223"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As of January 31, 2018</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8"/>
        </w:trPr>
        <w:tc>
          <w:tcPr>
            <w:tcW w:w="54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60" w:type="dxa"/>
            <w:vAlign w:val="bottom"/>
          </w:tcPr>
          <w:p>
            <w:pPr>
              <w:jc w:val="center"/>
              <w:ind w:left="26"/>
              <w:spacing w:after="0" w:line="128" w:lineRule="exact"/>
              <w:rPr>
                <w:sz w:val="20"/>
                <w:szCs w:val="20"/>
                <w:color w:val="auto"/>
              </w:rPr>
            </w:pPr>
            <w:r>
              <w:rPr>
                <w:rFonts w:ascii="Arial" w:cs="Arial" w:eastAsia="Arial" w:hAnsi="Arial"/>
                <w:sz w:val="14"/>
                <w:szCs w:val="14"/>
                <w:b w:val="1"/>
                <w:bCs w:val="1"/>
                <w:color w:val="auto"/>
              </w:rPr>
              <w:t>Pro</w:t>
            </w:r>
          </w:p>
        </w:tc>
        <w:tc>
          <w:tcPr>
            <w:tcW w:w="40" w:type="dxa"/>
            <w:vAlign w:val="bottom"/>
          </w:tcPr>
          <w:p>
            <w:pPr>
              <w:spacing w:after="0"/>
              <w:rPr>
                <w:sz w:val="11"/>
                <w:szCs w:val="11"/>
                <w:color w:val="auto"/>
              </w:rPr>
            </w:pPr>
          </w:p>
        </w:tc>
      </w:tr>
      <w:tr>
        <w:trPr>
          <w:trHeight w:val="157"/>
        </w:trPr>
        <w:tc>
          <w:tcPr>
            <w:tcW w:w="5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5"/>
              </w:rPr>
              <w:t>Pro</w:t>
            </w:r>
          </w:p>
        </w:tc>
        <w:tc>
          <w:tcPr>
            <w:tcW w:w="90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2"/>
              </w:rPr>
              <w:t>Forma As</w:t>
            </w:r>
          </w:p>
        </w:tc>
      </w:tr>
      <w:tr>
        <w:trPr>
          <w:trHeight w:val="180"/>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80" w:type="dxa"/>
            <w:vAlign w:val="bottom"/>
          </w:tcPr>
          <w:p>
            <w:pPr>
              <w:jc w:val="right"/>
              <w:ind w:right="224"/>
              <w:spacing w:after="0"/>
              <w:rPr>
                <w:sz w:val="20"/>
                <w:szCs w:val="20"/>
                <w:color w:val="auto"/>
              </w:rPr>
            </w:pPr>
            <w:r>
              <w:rPr>
                <w:rFonts w:ascii="Arial" w:cs="Arial" w:eastAsia="Arial" w:hAnsi="Arial"/>
                <w:sz w:val="15"/>
                <w:szCs w:val="15"/>
                <w:b w:val="1"/>
                <w:bCs w:val="1"/>
                <w:color w:val="auto"/>
              </w:rPr>
              <w:t>Actual</w:t>
            </w:r>
          </w:p>
        </w:tc>
        <w:tc>
          <w:tcPr>
            <w:tcW w:w="1700" w:type="dxa"/>
            <w:vAlign w:val="bottom"/>
          </w:tcPr>
          <w:p>
            <w:pPr>
              <w:jc w:val="center"/>
              <w:spacing w:after="0"/>
              <w:rPr>
                <w:sz w:val="20"/>
                <w:szCs w:val="20"/>
                <w:color w:val="auto"/>
              </w:rPr>
            </w:pPr>
            <w:r>
              <w:rPr>
                <w:rFonts w:ascii="Arial" w:cs="Arial" w:eastAsia="Arial" w:hAnsi="Arial"/>
                <w:sz w:val="15"/>
                <w:szCs w:val="15"/>
                <w:b w:val="1"/>
                <w:bCs w:val="1"/>
                <w:color w:val="auto"/>
                <w:w w:val="99"/>
              </w:rPr>
              <w:t>Forma</w:t>
            </w:r>
            <w:r>
              <w:rPr>
                <w:rFonts w:ascii="Arial" w:cs="Arial" w:eastAsia="Arial" w:hAnsi="Arial"/>
                <w:sz w:val="12"/>
                <w:szCs w:val="12"/>
                <w:b w:val="1"/>
                <w:bCs w:val="1"/>
                <w:color w:val="auto"/>
                <w:w w:val="99"/>
              </w:rPr>
              <w:t>(1)</w:t>
            </w:r>
          </w:p>
        </w:tc>
        <w:tc>
          <w:tcPr>
            <w:tcW w:w="9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Adjusted</w:t>
            </w:r>
            <w:r>
              <w:rPr>
                <w:rFonts w:ascii="Arial" w:cs="Arial" w:eastAsia="Arial" w:hAnsi="Arial"/>
                <w:sz w:val="12"/>
                <w:szCs w:val="12"/>
                <w:b w:val="1"/>
                <w:bCs w:val="1"/>
                <w:color w:val="auto"/>
                <w:w w:val="93"/>
              </w:rPr>
              <w:t>(2)</w:t>
            </w:r>
          </w:p>
        </w:tc>
      </w:tr>
      <w:tr>
        <w:trPr>
          <w:trHeight w:val="151"/>
        </w:trPr>
        <w:tc>
          <w:tcPr>
            <w:tcW w:w="54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2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$ 36,146</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$ 36,146</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Marketable securities</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103,056</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103,056</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Working capital</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114,633</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114,633</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215,019</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215,019</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Deferred revenue, current and non-current</w:t>
            </w:r>
          </w:p>
        </w:tc>
        <w:tc>
          <w:tcPr>
            <w:tcW w:w="3160" w:type="dxa"/>
            <w:vAlign w:val="bottom"/>
            <w:gridSpan w:val="2"/>
          </w:tcPr>
          <w:p>
            <w:pPr>
              <w:jc w:val="right"/>
              <w:ind w:right="84"/>
              <w:spacing w:after="0"/>
              <w:rPr>
                <w:sz w:val="20"/>
                <w:szCs w:val="20"/>
                <w:color w:val="auto"/>
              </w:rPr>
            </w:pPr>
            <w:r>
              <w:rPr>
                <w:rFonts w:ascii="Arial" w:cs="Arial" w:eastAsia="Arial" w:hAnsi="Arial"/>
                <w:sz w:val="19"/>
                <w:szCs w:val="19"/>
                <w:color w:val="auto"/>
              </w:rPr>
              <w:t>54,262</w:t>
            </w:r>
          </w:p>
        </w:tc>
        <w:tc>
          <w:tcPr>
            <w:tcW w:w="1700" w:type="dxa"/>
            <w:vAlign w:val="bottom"/>
          </w:tcPr>
          <w:p>
            <w:pPr>
              <w:jc w:val="right"/>
              <w:ind w:right="431"/>
              <w:spacing w:after="0"/>
              <w:rPr>
                <w:sz w:val="20"/>
                <w:szCs w:val="20"/>
                <w:color w:val="auto"/>
              </w:rPr>
            </w:pPr>
            <w:r>
              <w:rPr>
                <w:rFonts w:ascii="Arial" w:cs="Arial" w:eastAsia="Arial" w:hAnsi="Arial"/>
                <w:sz w:val="19"/>
                <w:szCs w:val="19"/>
                <w:color w:val="auto"/>
              </w:rPr>
              <w:t>54,262</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3160" w:type="dxa"/>
            <w:vAlign w:val="bottom"/>
            <w:gridSpan w:val="2"/>
            <w:shd w:val="clear" w:color="auto" w:fill="CCEEFF"/>
          </w:tcPr>
          <w:p>
            <w:pPr>
              <w:jc w:val="right"/>
              <w:ind w:right="84"/>
              <w:spacing w:after="0"/>
              <w:rPr>
                <w:sz w:val="20"/>
                <w:szCs w:val="20"/>
                <w:color w:val="auto"/>
              </w:rPr>
            </w:pPr>
            <w:r>
              <w:rPr>
                <w:rFonts w:ascii="Arial" w:cs="Arial" w:eastAsia="Arial" w:hAnsi="Arial"/>
                <w:sz w:val="19"/>
                <w:szCs w:val="19"/>
                <w:color w:val="auto"/>
              </w:rPr>
              <w:t>159,552</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5480" w:type="dxa"/>
            <w:vAlign w:val="bottom"/>
          </w:tcPr>
          <w:p>
            <w:pPr>
              <w:spacing w:after="0"/>
              <w:rPr>
                <w:sz w:val="20"/>
                <w:szCs w:val="20"/>
                <w:color w:val="auto"/>
              </w:rPr>
            </w:pPr>
            <w:r>
              <w:rPr>
                <w:rFonts w:ascii="Arial" w:cs="Arial" w:eastAsia="Arial" w:hAnsi="Arial"/>
                <w:sz w:val="19"/>
                <w:szCs w:val="19"/>
                <w:color w:val="auto"/>
              </w:rPr>
              <w:t>Accumulated deficit</w:t>
            </w:r>
          </w:p>
        </w:tc>
        <w:tc>
          <w:tcPr>
            <w:tcW w:w="3160" w:type="dxa"/>
            <w:vAlign w:val="bottom"/>
            <w:gridSpan w:val="2"/>
          </w:tcPr>
          <w:p>
            <w:pPr>
              <w:jc w:val="right"/>
              <w:ind w:right="24"/>
              <w:spacing w:after="0"/>
              <w:rPr>
                <w:sz w:val="20"/>
                <w:szCs w:val="20"/>
                <w:color w:val="auto"/>
              </w:rPr>
            </w:pPr>
            <w:r>
              <w:rPr>
                <w:rFonts w:ascii="Arial" w:cs="Arial" w:eastAsia="Arial" w:hAnsi="Arial"/>
                <w:sz w:val="19"/>
                <w:szCs w:val="19"/>
                <w:color w:val="auto"/>
              </w:rPr>
              <w:t>(32,737)</w:t>
            </w:r>
          </w:p>
        </w:tc>
        <w:tc>
          <w:tcPr>
            <w:tcW w:w="1700" w:type="dxa"/>
            <w:vAlign w:val="bottom"/>
          </w:tcPr>
          <w:p>
            <w:pPr>
              <w:jc w:val="right"/>
              <w:ind w:right="371"/>
              <w:spacing w:after="0"/>
              <w:rPr>
                <w:sz w:val="20"/>
                <w:szCs w:val="20"/>
                <w:color w:val="auto"/>
              </w:rPr>
            </w:pPr>
            <w:r>
              <w:rPr>
                <w:rFonts w:ascii="Arial" w:cs="Arial" w:eastAsia="Arial" w:hAnsi="Arial"/>
                <w:sz w:val="19"/>
                <w:szCs w:val="19"/>
                <w:color w:val="auto"/>
              </w:rPr>
              <w:t>(32,737)</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8"/>
        </w:trPr>
        <w:tc>
          <w:tcPr>
            <w:tcW w:w="548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 (deficit) equity</w:t>
            </w:r>
          </w:p>
        </w:tc>
        <w:tc>
          <w:tcPr>
            <w:tcW w:w="316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(26,271)</w:t>
            </w:r>
          </w:p>
        </w:tc>
        <w:tc>
          <w:tcPr>
            <w:tcW w:w="1700" w:type="dxa"/>
            <w:vAlign w:val="bottom"/>
            <w:shd w:val="clear" w:color="auto" w:fill="CCEEFF"/>
          </w:tcPr>
          <w:p>
            <w:pPr>
              <w:jc w:val="right"/>
              <w:ind w:right="431"/>
              <w:spacing w:after="0"/>
              <w:rPr>
                <w:sz w:val="20"/>
                <w:szCs w:val="20"/>
                <w:color w:val="auto"/>
              </w:rPr>
            </w:pPr>
            <w:r>
              <w:rPr>
                <w:rFonts w:ascii="Arial" w:cs="Arial" w:eastAsia="Arial" w:hAnsi="Arial"/>
                <w:sz w:val="19"/>
                <w:szCs w:val="19"/>
                <w:color w:val="auto"/>
              </w:rPr>
              <w:t>132,881</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bl>
    <w:p>
      <w:pPr>
        <w:spacing w:after="0" w:line="185" w:lineRule="exact"/>
        <w:rPr>
          <w:sz w:val="20"/>
          <w:szCs w:val="20"/>
          <w:color w:val="auto"/>
        </w:rPr>
      </w:pPr>
    </w:p>
    <w:p>
      <w:pPr>
        <w:ind w:left="820" w:right="340" w:hanging="448"/>
        <w:spacing w:after="0" w:line="28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 forma gives effect to (a) the reclassification of all outstanding shares of our common stock into an equivalent number of shares of our Class B common stock, which occurred on November 13, 2018, as if such reclassification had occurred on January 31, 2018, (b) the</w:t>
      </w:r>
    </w:p>
    <w:p>
      <w:pPr>
        <w:ind w:left="820" w:right="120"/>
        <w:spacing w:after="0" w:line="185" w:lineRule="auto"/>
        <w:rPr>
          <w:sz w:val="20"/>
          <w:szCs w:val="20"/>
          <w:color w:val="auto"/>
        </w:rPr>
      </w:pPr>
      <w:r>
        <w:rPr>
          <w:rFonts w:ascii="Arial" w:cs="Arial" w:eastAsia="Arial" w:hAnsi="Arial"/>
          <w:sz w:val="17"/>
          <w:szCs w:val="17"/>
          <w:color w:val="auto"/>
        </w:rPr>
        <w:t>automatic conversion of all outstanding shares of our convertible preferred stock as of January 31, 2018 into 152,665,804 shares of Class B common stock immediately prior to the completion of this offering and (c) the filing of our amended and restated certificate of incorporation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20" w:right="80" w:hanging="439"/>
        <w:spacing w:after="0" w:line="283" w:lineRule="auto"/>
        <w:tabs>
          <w:tab w:leader="none" w:pos="800" w:val="left"/>
        </w:tabs>
        <w:rPr>
          <w:sz w:val="20"/>
          <w:szCs w:val="20"/>
          <w:color w:val="auto"/>
        </w:rPr>
      </w:pPr>
      <w:r>
        <w:rPr>
          <w:rFonts w:ascii="Arial" w:cs="Arial" w:eastAsia="Arial" w:hAnsi="Arial"/>
          <w:sz w:val="17"/>
          <w:szCs w:val="17"/>
          <w:color w:val="auto"/>
        </w:rPr>
        <w:t>(2)</w:t>
        <w:tab/>
        <w:t>Pro forma as adjusted gives further effect to (a) the pro forma items described immediately above, (b) our issuance and sale of 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and (c) the issuance of shares of Class A common stock upon conversion of outstanding convertible promissory notes at an assumed initial public offering price of $ per share, the midpoint of the price range set forth on the cover page of</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this prospectus, in the principal amount of $15.0 million upon the completion of this offering. Each $1.00 increase (decrease) in the assumed</w:t>
      </w:r>
    </w:p>
    <w:p>
      <w:pPr>
        <w:spacing w:after="0" w:line="33" w:lineRule="exact"/>
        <w:rPr>
          <w:sz w:val="20"/>
          <w:szCs w:val="20"/>
          <w:color w:val="auto"/>
        </w:rPr>
      </w:pPr>
    </w:p>
    <w:p>
      <w:pPr>
        <w:ind w:left="820" w:right="100"/>
        <w:spacing w:after="0" w:line="297" w:lineRule="auto"/>
        <w:rPr>
          <w:sz w:val="20"/>
          <w:szCs w:val="20"/>
          <w:color w:val="auto"/>
        </w:rPr>
      </w:pPr>
      <w:r>
        <w:rPr>
          <w:rFonts w:ascii="Arial" w:cs="Arial" w:eastAsia="Arial" w:hAnsi="Arial"/>
          <w:sz w:val="16"/>
          <w:szCs w:val="16"/>
          <w:color w:val="auto"/>
        </w:rPr>
        <w:t>initial public offering price of $ per share of Class A common stock, the midpoint of the price range set forth on the cover page of this prospectus, would increase (decrease) the pro forma as adjusted amount of each of cash and cash equivalents, marketable securities, working</w:t>
      </w:r>
    </w:p>
    <w:p>
      <w:pPr>
        <w:spacing w:after="0" w:line="1" w:lineRule="exact"/>
        <w:rPr>
          <w:sz w:val="20"/>
          <w:szCs w:val="20"/>
          <w:color w:val="auto"/>
        </w:rPr>
      </w:pPr>
    </w:p>
    <w:p>
      <w:pPr>
        <w:ind w:left="820" w:right="40"/>
        <w:spacing w:after="0" w:line="909" w:lineRule="auto"/>
        <w:rPr>
          <w:sz w:val="20"/>
          <w:szCs w:val="20"/>
          <w:color w:val="auto"/>
        </w:rPr>
      </w:pPr>
      <w:r>
        <w:rPr>
          <w:rFonts w:ascii="Arial" w:cs="Arial" w:eastAsia="Arial" w:hAnsi="Arial"/>
          <w:sz w:val="17"/>
          <w:szCs w:val="17"/>
          <w:color w:val="auto"/>
        </w:rPr>
        <w:t>capital, total assets and total stockholders’ (deficit) 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right="20"/>
        <w:spacing w:after="0" w:line="288" w:lineRule="auto"/>
        <w:rPr>
          <w:sz w:val="20"/>
          <w:szCs w:val="20"/>
          <w:color w:val="auto"/>
        </w:rPr>
      </w:pPr>
      <w:r>
        <w:rPr>
          <w:rFonts w:ascii="Arial" w:cs="Arial" w:eastAsia="Arial" w:hAnsi="Arial"/>
          <w:sz w:val="17"/>
          <w:szCs w:val="17"/>
          <w:color w:val="auto"/>
        </w:rPr>
        <w:t>capital, total assets and total stockholders’ (deficit) equity by approximately $ million, assuming the assumed initial public offering price of $ per share of Class A common stock remains the same, and after deducting estimated underwriting discounts and commissions. The</w:t>
      </w:r>
    </w:p>
    <w:p>
      <w:pPr>
        <w:ind w:left="820" w:right="480"/>
        <w:spacing w:after="0" w:line="261" w:lineRule="auto"/>
        <w:rPr>
          <w:sz w:val="20"/>
          <w:szCs w:val="20"/>
          <w:color w:val="auto"/>
        </w:rPr>
      </w:pPr>
      <w:r>
        <w:rPr>
          <w:rFonts w:ascii="Arial" w:cs="Arial" w:eastAsia="Arial" w:hAnsi="Arial"/>
          <w:sz w:val="19"/>
          <w:szCs w:val="19"/>
          <w:color w:val="auto"/>
        </w:rPr>
        <w:t>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14</w:t>
      </w:r>
    </w:p>
    <w:p>
      <w:pPr>
        <w:sectPr>
          <w:pgSz w:w="12240" w:h="15840" w:orient="portrait"/>
          <w:cols w:equalWidth="0" w:num="1">
            <w:col w:w="11620"/>
          </w:cols>
          <w:pgMar w:left="120" w:top="336" w:right="500" w:bottom="1440" w:gutter="0" w:footer="0" w:header="0"/>
        </w:sectPr>
      </w:pPr>
    </w:p>
    <w:bookmarkStart w:id="19" w:name="page20"/>
    <w:bookmarkEnd w:id="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RISK FACTORS</w:t>
      </w:r>
    </w:p>
    <w:p>
      <w:pPr>
        <w:spacing w:after="0" w:line="244"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Our Business and Our Industry</w:t>
      </w:r>
    </w:p>
    <w:p>
      <w:pPr>
        <w:spacing w:after="0" w:line="130" w:lineRule="exact"/>
        <w:rPr>
          <w:sz w:val="20"/>
          <w:szCs w:val="20"/>
          <w:color w:val="auto"/>
        </w:rPr>
      </w:pPr>
    </w:p>
    <w:p>
      <w:pPr>
        <w:ind w:left="180"/>
        <w:spacing w:after="0" w:line="304" w:lineRule="auto"/>
        <w:rPr>
          <w:sz w:val="20"/>
          <w:szCs w:val="20"/>
          <w:color w:val="auto"/>
        </w:rPr>
      </w:pPr>
      <w:r>
        <w:rPr>
          <w:rFonts w:ascii="Arial" w:cs="Arial" w:eastAsia="Arial" w:hAnsi="Arial"/>
          <w:sz w:val="18"/>
          <w:szCs w:val="18"/>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46"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that initiates a Zoom Meeting and invites one or more participants to join that meeting. We refer to hosts that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88" w:lineRule="exact"/>
        <w:rPr>
          <w:sz w:val="20"/>
          <w:szCs w:val="20"/>
          <w:color w:val="auto"/>
        </w:rPr>
      </w:pPr>
    </w:p>
    <w:p>
      <w:pPr>
        <w:ind w:left="180" w:right="180" w:firstLine="465"/>
        <w:spacing w:after="0" w:line="270" w:lineRule="auto"/>
        <w:rPr>
          <w:sz w:val="20"/>
          <w:szCs w:val="20"/>
          <w:color w:val="auto"/>
        </w:rPr>
      </w:pPr>
      <w:r>
        <w:rPr>
          <w:rFonts w:ascii="Arial" w:cs="Arial" w:eastAsia="Arial" w:hAnsi="Arial"/>
          <w:sz w:val="18"/>
          <w:szCs w:val="18"/>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91" w:lineRule="exact"/>
        <w:rPr>
          <w:sz w:val="20"/>
          <w:szCs w:val="20"/>
          <w:color w:val="auto"/>
        </w:rPr>
      </w:pPr>
    </w:p>
    <w:p>
      <w:pPr>
        <w:ind w:left="180" w:right="120" w:firstLine="465"/>
        <w:spacing w:after="0" w:line="254" w:lineRule="auto"/>
        <w:rPr>
          <w:sz w:val="20"/>
          <w:szCs w:val="20"/>
          <w:color w:val="auto"/>
        </w:rPr>
      </w:pPr>
      <w:r>
        <w:rPr>
          <w:rFonts w:ascii="Arial" w:cs="Arial" w:eastAsia="Arial" w:hAnsi="Arial"/>
          <w:sz w:val="19"/>
          <w:szCs w:val="19"/>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207"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In addition, our user growth rate may slow in the future as our market penetration rates increase and we turn our focus to upgrading our free hosts to a paid Zoom Meeting plan rather than growing the total number of users.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w:t>
      </w:r>
    </w:p>
    <w:p>
      <w:pPr>
        <w:sectPr>
          <w:pgSz w:w="12240" w:h="15840" w:orient="portrait"/>
          <w:cols w:equalWidth="0" w:num="1">
            <w:col w:w="11800"/>
          </w:cols>
          <w:pgMar w:left="120" w:top="336" w:right="320" w:bottom="1440" w:gutter="0" w:footer="0" w:header="0"/>
        </w:sectPr>
      </w:pPr>
    </w:p>
    <w:bookmarkStart w:id="20" w:name="page21"/>
    <w:bookmarkEnd w:id="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5" w:lineRule="auto"/>
        <w:rPr>
          <w:sz w:val="20"/>
          <w:szCs w:val="20"/>
          <w:color w:val="auto"/>
        </w:rPr>
      </w:pPr>
      <w:r>
        <w:rPr>
          <w:rFonts w:ascii="Arial" w:cs="Arial" w:eastAsia="Arial" w:hAnsi="Arial"/>
          <w:sz w:val="19"/>
          <w:szCs w:val="19"/>
          <w:color w:val="auto"/>
        </w:rPr>
        <w:t>If we are not able to continue to expand our user base or fail to upgrade our free hosts to a paid Zoom Meeting plan, our revenue may grow more slowly than expected or decline.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have a limited operating history, which makes it difficult to evaluate our prospects and future results of operations.</w:t>
      </w:r>
    </w:p>
    <w:p>
      <w:pPr>
        <w:spacing w:after="0" w:line="124" w:lineRule="exact"/>
        <w:rPr>
          <w:sz w:val="20"/>
          <w:szCs w:val="20"/>
          <w:color w:val="auto"/>
        </w:rPr>
      </w:pPr>
    </w:p>
    <w:p>
      <w:pPr>
        <w:ind w:left="180" w:right="40" w:firstLine="465"/>
        <w:spacing w:after="0" w:line="270"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operate in competitive markets, and we must continue to compete effectively.</w:t>
      </w:r>
    </w:p>
    <w:p>
      <w:pPr>
        <w:spacing w:after="0" w:line="12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84" w:lineRule="exact"/>
        <w:rPr>
          <w:sz w:val="20"/>
          <w:szCs w:val="20"/>
          <w:color w:val="auto"/>
        </w:rPr>
      </w:pPr>
    </w:p>
    <w:p>
      <w:pPr>
        <w:ind w:left="1100" w:hanging="464"/>
        <w:spacing w:after="0"/>
        <w:tabs>
          <w:tab w:leader="none" w:pos="11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legacy web-based meeting providers, including WebEx and Skype;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bundled productivity solutions providers with basic video functionality, including Google;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point solutions providers, including LogMeIn.</w:t>
      </w:r>
    </w:p>
    <w:p>
      <w:pPr>
        <w:spacing w:after="0" w:line="238" w:lineRule="exact"/>
        <w:rPr>
          <w:sz w:val="20"/>
          <w:szCs w:val="20"/>
          <w:color w:val="auto"/>
        </w:rPr>
      </w:pPr>
    </w:p>
    <w:p>
      <w:pPr>
        <w:ind w:left="180" w:right="120" w:firstLine="465"/>
        <w:spacing w:after="0" w:line="286" w:lineRule="auto"/>
        <w:rPr>
          <w:sz w:val="20"/>
          <w:szCs w:val="20"/>
          <w:color w:val="auto"/>
        </w:rPr>
      </w:pPr>
      <w:r>
        <w:rPr>
          <w:rFonts w:ascii="Arial" w:cs="Arial" w:eastAsia="Arial" w:hAnsi="Arial"/>
          <w:sz w:val="17"/>
          <w:szCs w:val="17"/>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expect to introduce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81"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16</w:t>
      </w:r>
    </w:p>
    <w:p>
      <w:pPr>
        <w:sectPr>
          <w:pgSz w:w="12240" w:h="15840" w:orient="portrait"/>
          <w:cols w:equalWidth="0" w:num="1">
            <w:col w:w="11780"/>
          </w:cols>
          <w:pgMar w:left="120" w:top="336" w:right="340" w:bottom="1440" w:gutter="0" w:footer="0" w:header="0"/>
        </w:sectPr>
      </w:pPr>
    </w:p>
    <w:bookmarkStart w:id="21" w:name="page22"/>
    <w:bookmarkEnd w:id="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spacing w:after="0" w:line="263" w:lineRule="auto"/>
        <w:rPr>
          <w:sz w:val="20"/>
          <w:szCs w:val="20"/>
          <w:color w:val="auto"/>
        </w:rPr>
      </w:pPr>
      <w:r>
        <w:rPr>
          <w:rFonts w:ascii="Arial" w:cs="Arial" w:eastAsia="Arial" w:hAnsi="Arial"/>
          <w:sz w:val="19"/>
          <w:szCs w:val="19"/>
          <w:color w:val="auto"/>
        </w:rPr>
        <w:t>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sustain our revenue growth rate in the future.</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318"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70" w:lineRule="exact"/>
        <w:rPr>
          <w:sz w:val="20"/>
          <w:szCs w:val="20"/>
          <w:color w:val="auto"/>
        </w:rPr>
      </w:pPr>
    </w:p>
    <w:p>
      <w:pPr>
        <w:ind w:left="180" w:firstLine="465"/>
        <w:spacing w:after="0" w:line="267" w:lineRule="auto"/>
        <w:rPr>
          <w:sz w:val="20"/>
          <w:szCs w:val="20"/>
          <w:color w:val="auto"/>
        </w:rPr>
      </w:pPr>
      <w:r>
        <w:rPr>
          <w:rFonts w:ascii="Arial" w:cs="Arial" w:eastAsia="Arial" w:hAnsi="Arial"/>
          <w:sz w:val="18"/>
          <w:szCs w:val="18"/>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95"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Additionally, if our data centers are unable to keep up with our increasing needs for capacity, customers may experience delays as we seek to obtain additional capacity, which could harm our business.</w:t>
      </w:r>
    </w:p>
    <w:p>
      <w:pPr>
        <w:spacing w:after="0" w:line="184"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17</w:t>
      </w:r>
    </w:p>
    <w:p>
      <w:pPr>
        <w:sectPr>
          <w:pgSz w:w="12240" w:h="15840" w:orient="portrait"/>
          <w:cols w:equalWidth="0" w:num="1">
            <w:col w:w="11800"/>
          </w:cols>
          <w:pgMar w:left="120" w:top="336" w:right="320" w:bottom="1440" w:gutter="0" w:footer="0" w:header="0"/>
        </w:sectPr>
      </w:pPr>
    </w:p>
    <w:bookmarkStart w:id="22" w:name="page23"/>
    <w:bookmarkEnd w:id="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520"/>
        <w:spacing w:after="0" w:line="37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ind w:left="180" w:firstLine="465"/>
        <w:spacing w:after="0" w:line="285" w:lineRule="auto"/>
        <w:rPr>
          <w:sz w:val="20"/>
          <w:szCs w:val="20"/>
          <w:color w:val="auto"/>
        </w:rPr>
      </w:pPr>
      <w:r>
        <w:rPr>
          <w:rFonts w:ascii="Arial" w:cs="Arial" w:eastAsia="Arial" w:hAnsi="Arial"/>
          <w:sz w:val="17"/>
          <w:szCs w:val="17"/>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85" w:lineRule="exact"/>
        <w:rPr>
          <w:sz w:val="20"/>
          <w:szCs w:val="20"/>
          <w:color w:val="auto"/>
        </w:rPr>
      </w:pPr>
    </w:p>
    <w:p>
      <w:pPr>
        <w:ind w:left="180" w:right="40" w:firstLine="465"/>
        <w:spacing w:after="0" w:line="289" w:lineRule="auto"/>
        <w:rPr>
          <w:sz w:val="20"/>
          <w:szCs w:val="20"/>
          <w:color w:val="auto"/>
        </w:rPr>
      </w:pPr>
      <w:r>
        <w:rPr>
          <w:rFonts w:ascii="Arial" w:cs="Arial" w:eastAsia="Arial" w:hAnsi="Arial"/>
          <w:sz w:val="17"/>
          <w:szCs w:val="17"/>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78" w:lineRule="exact"/>
        <w:rPr>
          <w:sz w:val="20"/>
          <w:szCs w:val="20"/>
          <w:color w:val="auto"/>
        </w:rPr>
      </w:pPr>
    </w:p>
    <w:p>
      <w:pPr>
        <w:ind w:left="180" w:right="100" w:firstLine="465"/>
        <w:spacing w:after="0" w:line="269"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 we increase sales to large organizations, our sales cycles could lengthen, and we could experience greater deployment challenges.</w:t>
      </w:r>
    </w:p>
    <w:p>
      <w:pPr>
        <w:spacing w:after="0" w:line="135" w:lineRule="exact"/>
        <w:rPr>
          <w:sz w:val="20"/>
          <w:szCs w:val="20"/>
          <w:color w:val="auto"/>
        </w:rPr>
      </w:pPr>
    </w:p>
    <w:p>
      <w:pPr>
        <w:ind w:left="180" w:right="180" w:firstLine="465"/>
        <w:spacing w:after="0" w:line="308"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18</w:t>
      </w:r>
    </w:p>
    <w:p>
      <w:pPr>
        <w:sectPr>
          <w:pgSz w:w="12240" w:h="15840" w:orient="portrait"/>
          <w:cols w:equalWidth="0" w:num="1">
            <w:col w:w="11820"/>
          </w:cols>
          <w:pgMar w:left="120" w:top="336" w:right="300" w:bottom="1440" w:gutter="0" w:footer="0" w:header="0"/>
        </w:sectPr>
      </w:pPr>
    </w:p>
    <w:bookmarkStart w:id="23" w:name="page24"/>
    <w:bookmarkEnd w:id="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56" w:lineRule="auto"/>
        <w:rPr>
          <w:sz w:val="20"/>
          <w:szCs w:val="20"/>
          <w:color w:val="auto"/>
        </w:rPr>
      </w:pPr>
      <w:r>
        <w:rPr>
          <w:rFonts w:ascii="Arial" w:cs="Arial" w:eastAsia="Arial" w:hAnsi="Arial"/>
          <w:sz w:val="19"/>
          <w:szCs w:val="19"/>
          <w:color w:val="auto"/>
        </w:rPr>
        <w:t>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318" w:lineRule="exact"/>
        <w:rPr>
          <w:sz w:val="20"/>
          <w:szCs w:val="20"/>
          <w:color w:val="auto"/>
        </w:rPr>
      </w:pPr>
    </w:p>
    <w:p>
      <w:pPr>
        <w:ind w:left="180" w:right="840"/>
        <w:spacing w:after="0" w:line="275" w:lineRule="auto"/>
        <w:rPr>
          <w:sz w:val="20"/>
          <w:szCs w:val="20"/>
          <w:color w:val="auto"/>
        </w:rPr>
      </w:pPr>
      <w:r>
        <w:rPr>
          <w:rFonts w:ascii="Arial" w:cs="Arial" w:eastAsia="Arial" w:hAnsi="Arial"/>
          <w:sz w:val="19"/>
          <w:szCs w:val="19"/>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70"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98" w:lineRule="exact"/>
        <w:rPr>
          <w:sz w:val="20"/>
          <w:szCs w:val="20"/>
          <w:color w:val="auto"/>
        </w:rPr>
      </w:pPr>
    </w:p>
    <w:p>
      <w:pPr>
        <w:ind w:left="180" w:right="60" w:firstLine="465"/>
        <w:spacing w:after="0" w:line="284"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8" w:lineRule="exact"/>
        <w:rPr>
          <w:sz w:val="20"/>
          <w:szCs w:val="20"/>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awareness of the communications and collaboration technologies category generally;</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availability of products and services that compete with ours;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new modes of communications and collaboration that may be developed in the future;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ease of adoption and use;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features and platform experience;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reliability of our platform, including frequency of outages;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performance;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brand;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security and privacy;</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user support;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pricing.</w:t>
      </w:r>
    </w:p>
    <w:p>
      <w:pPr>
        <w:spacing w:after="0" w:line="238" w:lineRule="exact"/>
        <w:rPr>
          <w:sz w:val="20"/>
          <w:szCs w:val="20"/>
          <w:color w:val="auto"/>
        </w:rPr>
      </w:pPr>
    </w:p>
    <w:p>
      <w:pPr>
        <w:ind w:left="180" w:right="320" w:firstLine="465"/>
        <w:spacing w:after="0" w:line="263" w:lineRule="auto"/>
        <w:rPr>
          <w:sz w:val="20"/>
          <w:szCs w:val="20"/>
          <w:color w:val="auto"/>
        </w:rPr>
      </w:pPr>
      <w:r>
        <w:rPr>
          <w:rFonts w:ascii="Arial" w:cs="Arial" w:eastAsia="Arial" w:hAnsi="Arial"/>
          <w:sz w:val="19"/>
          <w:szCs w:val="19"/>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309"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19</w:t>
      </w:r>
    </w:p>
    <w:p>
      <w:pPr>
        <w:sectPr>
          <w:pgSz w:w="12240" w:h="15840" w:orient="portrait"/>
          <w:cols w:equalWidth="0" w:num="1">
            <w:col w:w="11760"/>
          </w:cols>
          <w:pgMar w:left="120" w:top="336" w:right="360" w:bottom="1440" w:gutter="0" w:footer="0" w:header="0"/>
        </w:sectPr>
      </w:pPr>
    </w:p>
    <w:bookmarkStart w:id="24" w:name="page25"/>
    <w:bookmarkEnd w:id="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74" w:lineRule="auto"/>
        <w:rPr>
          <w:sz w:val="20"/>
          <w:szCs w:val="20"/>
          <w:color w:val="auto"/>
        </w:rPr>
      </w:pPr>
      <w:r>
        <w:rPr>
          <w:rFonts w:ascii="Arial" w:cs="Arial" w:eastAsia="Arial" w:hAnsi="Arial"/>
          <w:sz w:val="18"/>
          <w:szCs w:val="18"/>
          <w:color w:val="auto"/>
        </w:rPr>
        <w:t>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88"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91" w:lineRule="exact"/>
        <w:rPr>
          <w:sz w:val="20"/>
          <w:szCs w:val="20"/>
          <w:color w:val="auto"/>
        </w:rPr>
      </w:pPr>
    </w:p>
    <w:p>
      <w:pPr>
        <w:ind w:left="180" w:right="120" w:firstLine="465"/>
        <w:spacing w:after="0" w:line="298" w:lineRule="auto"/>
        <w:rPr>
          <w:sz w:val="20"/>
          <w:szCs w:val="20"/>
          <w:color w:val="auto"/>
        </w:rPr>
      </w:pPr>
      <w:r>
        <w:rPr>
          <w:rFonts w:ascii="Arial" w:cs="Arial" w:eastAsia="Arial" w:hAnsi="Arial"/>
          <w:sz w:val="17"/>
          <w:szCs w:val="17"/>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be able to respond to rapid technological changes, extend our platform or develop new features.</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77"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20</w:t>
      </w:r>
    </w:p>
    <w:p>
      <w:pPr>
        <w:sectPr>
          <w:pgSz w:w="12240" w:h="15840" w:orient="portrait"/>
          <w:cols w:equalWidth="0" w:num="1">
            <w:col w:w="11800"/>
          </w:cols>
          <w:pgMar w:left="120" w:top="336" w:right="320" w:bottom="1440" w:gutter="0" w:footer="0" w:header="0"/>
        </w:sectPr>
      </w:pPr>
    </w:p>
    <w:bookmarkStart w:id="25" w:name="page26"/>
    <w:bookmarkEnd w:id="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75" w:lineRule="auto"/>
        <w:rPr>
          <w:sz w:val="20"/>
          <w:szCs w:val="20"/>
          <w:color w:val="auto"/>
        </w:rPr>
      </w:pPr>
      <w:r>
        <w:rPr>
          <w:rFonts w:ascii="Arial" w:cs="Arial" w:eastAsia="Arial" w:hAnsi="Arial"/>
          <w:sz w:val="19"/>
          <w:szCs w:val="19"/>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70"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304" w:lineRule="exact"/>
        <w:rPr>
          <w:sz w:val="20"/>
          <w:szCs w:val="20"/>
          <w:color w:val="auto"/>
        </w:rPr>
      </w:pPr>
    </w:p>
    <w:p>
      <w:pPr>
        <w:ind w:left="180" w:right="80"/>
        <w:spacing w:after="0" w:line="263" w:lineRule="auto"/>
        <w:rPr>
          <w:sz w:val="20"/>
          <w:szCs w:val="20"/>
          <w:color w:val="auto"/>
        </w:rPr>
      </w:pPr>
      <w:r>
        <w:rPr>
          <w:rFonts w:ascii="Arial" w:cs="Arial" w:eastAsia="Arial" w:hAnsi="Arial"/>
          <w:sz w:val="19"/>
          <w:szCs w:val="19"/>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80" w:lineRule="exact"/>
        <w:rPr>
          <w:sz w:val="20"/>
          <w:szCs w:val="20"/>
          <w:color w:val="auto"/>
        </w:rPr>
      </w:pPr>
    </w:p>
    <w:p>
      <w:pPr>
        <w:ind w:left="180" w:firstLine="465"/>
        <w:spacing w:after="0" w:line="282" w:lineRule="auto"/>
        <w:rPr>
          <w:sz w:val="20"/>
          <w:szCs w:val="20"/>
          <w:color w:val="auto"/>
        </w:rPr>
      </w:pPr>
      <w:r>
        <w:rPr>
          <w:rFonts w:ascii="Arial" w:cs="Arial" w:eastAsia="Arial" w:hAnsi="Arial"/>
          <w:sz w:val="17"/>
          <w:szCs w:val="17"/>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 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a cybersecurity company recently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21</w:t>
      </w:r>
    </w:p>
    <w:p>
      <w:pPr>
        <w:sectPr>
          <w:pgSz w:w="12240" w:h="15840" w:orient="portrait"/>
          <w:cols w:equalWidth="0" w:num="1">
            <w:col w:w="11820"/>
          </w:cols>
          <w:pgMar w:left="120" w:top="336" w:right="300" w:bottom="1440" w:gutter="0" w:footer="0" w:header="0"/>
        </w:sectPr>
      </w:pPr>
    </w:p>
    <w:bookmarkStart w:id="26" w:name="page27"/>
    <w:bookmarkEnd w:id="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40"/>
        <w:spacing w:after="0" w:line="272" w:lineRule="auto"/>
        <w:rPr>
          <w:sz w:val="20"/>
          <w:szCs w:val="20"/>
          <w:color w:val="auto"/>
        </w:rPr>
      </w:pPr>
      <w:r>
        <w:rPr>
          <w:rFonts w:ascii="Arial" w:cs="Arial" w:eastAsia="Arial" w:hAnsi="Arial"/>
          <w:sz w:val="18"/>
          <w:szCs w:val="18"/>
          <w:color w:val="auto"/>
        </w:rPr>
        <w:t>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190"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78"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304"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7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304"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b w:val="1"/>
          <w:bCs w:val="1"/>
          <w:i w:val="1"/>
          <w:iCs w:val="1"/>
          <w:color w:val="auto"/>
        </w:rPr>
        <w:t>We have a history of net losses, and we expect to increase our expenses in the future, which could prevent us from achieving or maintaining profitability.</w:t>
      </w:r>
    </w:p>
    <w:p>
      <w:pPr>
        <w:spacing w:after="0" w:line="70" w:lineRule="exact"/>
        <w:rPr>
          <w:sz w:val="20"/>
          <w:szCs w:val="20"/>
          <w:color w:val="auto"/>
        </w:rPr>
      </w:pPr>
    </w:p>
    <w:p>
      <w:pPr>
        <w:ind w:left="180" w:right="80" w:firstLine="465"/>
        <w:spacing w:after="0" w:line="308" w:lineRule="auto"/>
        <w:rPr>
          <w:sz w:val="20"/>
          <w:szCs w:val="20"/>
          <w:color w:val="auto"/>
        </w:rPr>
      </w:pPr>
      <w:r>
        <w:rPr>
          <w:rFonts w:ascii="Arial" w:cs="Arial" w:eastAsia="Arial" w:hAnsi="Arial"/>
          <w:sz w:val="17"/>
          <w:szCs w:val="17"/>
          <w:color w:val="auto"/>
        </w:rPr>
        <w:t>We have incurred net losses in the past, including a net loss of $3.8 million for the fiscal year ended January 31, 2018.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22</w:t>
      </w:r>
    </w:p>
    <w:p>
      <w:pPr>
        <w:sectPr>
          <w:pgSz w:w="12240" w:h="15840" w:orient="portrait"/>
          <w:cols w:equalWidth="0" w:num="1">
            <w:col w:w="11780"/>
          </w:cols>
          <w:pgMar w:left="120" w:top="336" w:right="340" w:bottom="1440" w:gutter="0" w:footer="0" w:header="0"/>
        </w:sectPr>
      </w:pPr>
    </w:p>
    <w:bookmarkStart w:id="27" w:name="page28"/>
    <w:bookmarkEnd w:id="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69" w:lineRule="auto"/>
        <w:rPr>
          <w:sz w:val="20"/>
          <w:szCs w:val="20"/>
          <w:color w:val="auto"/>
        </w:rPr>
      </w:pPr>
      <w:r>
        <w:rPr>
          <w:rFonts w:ascii="Arial" w:cs="Arial" w:eastAsia="Arial" w:hAnsi="Arial"/>
          <w:sz w:val="18"/>
          <w:szCs w:val="18"/>
          <w:color w:val="auto"/>
        </w:rPr>
        <w:t>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successfully manage our growth or plan for future growth.</w:t>
      </w:r>
    </w:p>
    <w:p>
      <w:pPr>
        <w:spacing w:after="0" w:line="12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Since our founding in 2011, we have experienced rapid growth. For example, our headcount has grown to 1,701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91" w:lineRule="exact"/>
        <w:rPr>
          <w:sz w:val="20"/>
          <w:szCs w:val="20"/>
          <w:color w:val="auto"/>
        </w:rPr>
      </w:pPr>
    </w:p>
    <w:p>
      <w:pPr>
        <w:ind w:left="180" w:right="240" w:firstLine="465"/>
        <w:spacing w:after="0" w:line="298"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sell subscriptions to our platform could be harmed by real or perceived material defects or errors in our platform.</w:t>
      </w:r>
    </w:p>
    <w:p>
      <w:pPr>
        <w:spacing w:after="0" w:line="12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89"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95" w:lineRule="exact"/>
        <w:rPr>
          <w:sz w:val="20"/>
          <w:szCs w:val="20"/>
          <w:color w:val="auto"/>
        </w:rPr>
      </w:pPr>
    </w:p>
    <w:p>
      <w:pPr>
        <w:ind w:left="5900" w:right="4940" w:hanging="5264"/>
        <w:spacing w:after="0" w:line="529" w:lineRule="auto"/>
        <w:tabs>
          <w:tab w:leader="none" w:pos="10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 23</w:t>
      </w:r>
    </w:p>
    <w:p>
      <w:pPr>
        <w:sectPr>
          <w:pgSz w:w="12240" w:h="15840" w:orient="portrait"/>
          <w:cols w:equalWidth="0" w:num="1">
            <w:col w:w="11780"/>
          </w:cols>
          <w:pgMar w:left="120" w:top="336" w:right="340" w:bottom="1440" w:gutter="0" w:footer="0" w:header="0"/>
        </w:sectPr>
      </w:pPr>
    </w:p>
    <w:bookmarkStart w:id="28" w:name="page29"/>
    <w:bookmarkEnd w:id="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require us to issue refunds to our customers or expose us to claims for damages;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cause us to lose existing hosts and make it more difficult to attract new customers and hosts;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49" w:lineRule="exact"/>
        <w:rPr>
          <w:rFonts w:ascii="Arial" w:cs="Arial" w:eastAsia="Arial" w:hAnsi="Arial"/>
          <w:sz w:val="18"/>
          <w:szCs w:val="18"/>
          <w:color w:val="auto"/>
        </w:rPr>
      </w:pPr>
    </w:p>
    <w:p>
      <w:pPr>
        <w:ind w:left="1100" w:hanging="464"/>
        <w:spacing w:after="0"/>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increase our technical support costs;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harm our reputation and brand.</w:t>
      </w:r>
    </w:p>
    <w:p>
      <w:pPr>
        <w:spacing w:after="0" w:line="352" w:lineRule="exact"/>
        <w:rPr>
          <w:sz w:val="20"/>
          <w:szCs w:val="20"/>
          <w:color w:val="auto"/>
        </w:rPr>
      </w:pPr>
    </w:p>
    <w:p>
      <w:pPr>
        <w:ind w:left="180" w:right="160"/>
        <w:spacing w:after="0" w:line="275" w:lineRule="auto"/>
        <w:rPr>
          <w:sz w:val="20"/>
          <w:szCs w:val="20"/>
          <w:color w:val="auto"/>
        </w:rPr>
      </w:pPr>
      <w:r>
        <w:rPr>
          <w:rFonts w:ascii="Arial" w:cs="Arial" w:eastAsia="Arial" w:hAnsi="Arial"/>
          <w:sz w:val="19"/>
          <w:szCs w:val="19"/>
          <w:b w:val="1"/>
          <w:bCs w:val="1"/>
          <w:i w:val="1"/>
          <w:iCs w:val="1"/>
          <w:color w:val="auto"/>
        </w:rPr>
        <w:t>If we were to lose the services of our Chief Executive Officer or other members of our senior management team, we may not be able to execute our business strategy.</w:t>
      </w:r>
    </w:p>
    <w:p>
      <w:pPr>
        <w:spacing w:after="0" w:line="70" w:lineRule="exact"/>
        <w:rPr>
          <w:sz w:val="20"/>
          <w:szCs w:val="20"/>
          <w:color w:val="auto"/>
        </w:rPr>
      </w:pPr>
    </w:p>
    <w:p>
      <w:pPr>
        <w:ind w:left="180" w:right="360" w:firstLine="465"/>
        <w:spacing w:after="0" w:line="256" w:lineRule="auto"/>
        <w:rPr>
          <w:sz w:val="20"/>
          <w:szCs w:val="20"/>
          <w:color w:val="auto"/>
        </w:rPr>
      </w:pPr>
      <w:r>
        <w:rPr>
          <w:rFonts w:ascii="Arial" w:cs="Arial" w:eastAsia="Arial" w:hAnsi="Arial"/>
          <w:sz w:val="19"/>
          <w:szCs w:val="19"/>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9"/>
          <w:szCs w:val="19"/>
          <w:b w:val="1"/>
          <w:bCs w:val="1"/>
          <w:color w:val="auto"/>
        </w:rPr>
        <w:t>-</w:t>
      </w:r>
      <w:r>
        <w:rPr>
          <w:rFonts w:ascii="Arial" w:cs="Arial" w:eastAsia="Arial" w:hAnsi="Arial"/>
          <w:sz w:val="19"/>
          <w:szCs w:val="19"/>
          <w:color w:val="auto"/>
        </w:rPr>
        <w:t>will employees, and we do not maintain any key person life insurance policies. The loss of any member of our senior management team would harm our business.</w:t>
      </w:r>
    </w:p>
    <w:p>
      <w:pPr>
        <w:spacing w:after="0" w:line="318" w:lineRule="exact"/>
        <w:rPr>
          <w:sz w:val="20"/>
          <w:szCs w:val="20"/>
          <w:color w:val="auto"/>
        </w:rPr>
      </w:pPr>
    </w:p>
    <w:p>
      <w:pPr>
        <w:ind w:left="180" w:right="120"/>
        <w:spacing w:after="0" w:line="275" w:lineRule="auto"/>
        <w:rPr>
          <w:sz w:val="20"/>
          <w:szCs w:val="20"/>
          <w:color w:val="auto"/>
        </w:rPr>
      </w:pPr>
      <w:r>
        <w:rPr>
          <w:rFonts w:ascii="Arial" w:cs="Arial" w:eastAsia="Arial" w:hAnsi="Arial"/>
          <w:sz w:val="19"/>
          <w:szCs w:val="19"/>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70" w:lineRule="exact"/>
        <w:rPr>
          <w:sz w:val="20"/>
          <w:szCs w:val="20"/>
          <w:color w:val="auto"/>
        </w:rPr>
      </w:pPr>
    </w:p>
    <w:p>
      <w:pPr>
        <w:ind w:left="180" w:right="80" w:firstLine="465"/>
        <w:spacing w:after="0" w:line="270"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91"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77"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We believe that a critical component to our success and our ability to retain our best people is our culture. As we continue to grow and develop a public company infrastructure, we may find it difficult to maintain our happiness-centric company culture. 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24</w:t>
      </w:r>
    </w:p>
    <w:p>
      <w:pPr>
        <w:sectPr>
          <w:pgSz w:w="12240" w:h="15840" w:orient="portrait"/>
          <w:cols w:equalWidth="0" w:num="1">
            <w:col w:w="11800"/>
          </w:cols>
          <w:pgMar w:left="120" w:top="336" w:right="320" w:bottom="1440" w:gutter="0" w:footer="0" w:header="0"/>
        </w:sectPr>
      </w:pPr>
    </w:p>
    <w:bookmarkStart w:id="29" w:name="page30"/>
    <w:bookmarkEnd w:id="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5" w:lineRule="auto"/>
        <w:rPr>
          <w:sz w:val="20"/>
          <w:szCs w:val="20"/>
          <w:color w:val="auto"/>
        </w:rPr>
      </w:pPr>
      <w:r>
        <w:rPr>
          <w:rFonts w:ascii="Arial" w:cs="Arial" w:eastAsia="Arial" w:hAnsi="Arial"/>
          <w:sz w:val="19"/>
          <w:szCs w:val="19"/>
          <w:b w:val="1"/>
          <w:bCs w:val="1"/>
          <w:i w:val="1"/>
          <w:iCs w:val="1"/>
          <w:color w:val="auto"/>
        </w:rPr>
        <w:t>We are continuing to expand our operations outside the United States, where we may be subject to increased business and economic risks that could harm our business.</w:t>
      </w:r>
    </w:p>
    <w:p>
      <w:pPr>
        <w:spacing w:after="0" w:line="70" w:lineRule="exact"/>
        <w:rPr>
          <w:sz w:val="20"/>
          <w:szCs w:val="20"/>
          <w:color w:val="auto"/>
        </w:rPr>
      </w:pPr>
    </w:p>
    <w:p>
      <w:pPr>
        <w:ind w:left="180" w:right="120" w:firstLine="465"/>
        <w:spacing w:after="0" w:line="285" w:lineRule="auto"/>
        <w:rPr>
          <w:sz w:val="20"/>
          <w:szCs w:val="20"/>
          <w:color w:val="auto"/>
        </w:rPr>
      </w:pPr>
      <w:r>
        <w:rPr>
          <w:rFonts w:ascii="Arial" w:cs="Arial" w:eastAsia="Arial" w:hAnsi="Arial"/>
          <w:sz w:val="17"/>
          <w:szCs w:val="17"/>
          <w:color w:val="auto"/>
        </w:rPr>
        <w:t>We have customers in over 180 countries, and 17% of our revenue in the fiscal year ended January 31, 2018 was generated from customers outside the United States. In fiscal 2018, we established a physical sales presence in Australia and the United Kingdom. Additionally, as of January 31, 2019, we had four additional international sales locations, and we plan to add local sales support in further select international markets over time. We also operate research and development centers in China, employing over 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85" w:lineRule="exact"/>
        <w:rPr>
          <w:sz w:val="20"/>
          <w:szCs w:val="20"/>
          <w:color w:val="auto"/>
        </w:rPr>
      </w:pPr>
    </w:p>
    <w:p>
      <w:pPr>
        <w:ind w:left="1100" w:right="340" w:hanging="464"/>
        <w:spacing w:after="0" w:line="275"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recruiting and retaining talented and capable employees outside the United States and maintaining our company culture across all of our offices;</w:t>
      </w:r>
    </w:p>
    <w:p>
      <w:pPr>
        <w:spacing w:after="0" w:line="84" w:lineRule="exact"/>
        <w:rPr>
          <w:rFonts w:ascii="Arial" w:cs="Arial" w:eastAsia="Arial" w:hAnsi="Arial"/>
          <w:sz w:val="19"/>
          <w:szCs w:val="19"/>
          <w:color w:val="auto"/>
        </w:rPr>
      </w:pPr>
    </w:p>
    <w:p>
      <w:pPr>
        <w:ind w:left="1100" w:right="520" w:hanging="464"/>
        <w:spacing w:after="0" w:line="263"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94" w:lineRule="exact"/>
        <w:rPr>
          <w:rFonts w:ascii="Arial" w:cs="Arial" w:eastAsia="Arial" w:hAnsi="Arial"/>
          <w:sz w:val="19"/>
          <w:szCs w:val="19"/>
          <w:color w:val="auto"/>
        </w:rPr>
      </w:pPr>
    </w:p>
    <w:p>
      <w:pPr>
        <w:ind w:left="1100" w:right="160" w:hanging="464"/>
        <w:spacing w:after="0" w:line="263"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94" w:lineRule="exact"/>
        <w:rPr>
          <w:rFonts w:ascii="Arial" w:cs="Arial" w:eastAsia="Arial" w:hAnsi="Arial"/>
          <w:sz w:val="19"/>
          <w:szCs w:val="19"/>
          <w:color w:val="auto"/>
        </w:rPr>
      </w:pPr>
    </w:p>
    <w:p>
      <w:pPr>
        <w:ind w:left="1100" w:right="340" w:hanging="464"/>
        <w:spacing w:after="0" w:line="275"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management of an employee base in jurisdictions that may not give us the same employment and retention flexibility as does the United States;</w:t>
      </w:r>
    </w:p>
    <w:p>
      <w:pPr>
        <w:spacing w:after="0" w:line="84" w:lineRule="exact"/>
        <w:rPr>
          <w:rFonts w:ascii="Arial" w:cs="Arial" w:eastAsia="Arial" w:hAnsi="Arial"/>
          <w:sz w:val="19"/>
          <w:szCs w:val="19"/>
          <w:color w:val="auto"/>
        </w:rPr>
      </w:pPr>
    </w:p>
    <w:p>
      <w:pPr>
        <w:ind w:left="1100" w:right="620" w:hanging="464"/>
        <w:spacing w:after="0" w:line="275"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operating in jurisdictions that do not protect intellectual property rights to the same extent as does the United States and the practical enforcement of such intellectual property rights outside of the United States;</w:t>
      </w:r>
    </w:p>
    <w:p>
      <w:pPr>
        <w:spacing w:after="0" w:line="84" w:lineRule="exact"/>
        <w:rPr>
          <w:rFonts w:ascii="Arial" w:cs="Arial" w:eastAsia="Arial" w:hAnsi="Arial"/>
          <w:sz w:val="19"/>
          <w:szCs w:val="19"/>
          <w:color w:val="auto"/>
        </w:rPr>
      </w:pPr>
    </w:p>
    <w:p>
      <w:pPr>
        <w:ind w:left="1100" w:right="60" w:hanging="464"/>
        <w:spacing w:after="0" w:line="336" w:lineRule="auto"/>
        <w:tabs>
          <w:tab w:leader="none" w:pos="11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7" w:lineRule="exact"/>
        <w:rPr>
          <w:rFonts w:ascii="Arial" w:cs="Arial" w:eastAsia="Arial" w:hAnsi="Arial"/>
          <w:sz w:val="17"/>
          <w:szCs w:val="17"/>
          <w:color w:val="auto"/>
        </w:rPr>
      </w:pPr>
    </w:p>
    <w:p>
      <w:pPr>
        <w:ind w:left="1100" w:hanging="464"/>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integration with partners outside of the United States;</w:t>
      </w:r>
    </w:p>
    <w:p>
      <w:pPr>
        <w:spacing w:after="0" w:line="138" w:lineRule="exact"/>
        <w:rPr>
          <w:rFonts w:ascii="Arial" w:cs="Arial" w:eastAsia="Arial" w:hAnsi="Arial"/>
          <w:sz w:val="19"/>
          <w:szCs w:val="19"/>
          <w:color w:val="auto"/>
        </w:rPr>
      </w:pPr>
    </w:p>
    <w:p>
      <w:pPr>
        <w:ind w:left="1100" w:right="500" w:hanging="464"/>
        <w:spacing w:after="0" w:line="304"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0" w:lineRule="exact"/>
        <w:rPr>
          <w:rFonts w:ascii="Arial" w:cs="Arial" w:eastAsia="Arial" w:hAnsi="Arial"/>
          <w:sz w:val="18"/>
          <w:szCs w:val="18"/>
          <w:color w:val="auto"/>
        </w:rPr>
      </w:pPr>
    </w:p>
    <w:p>
      <w:pPr>
        <w:ind w:left="1100" w:hanging="464"/>
        <w:spacing w:after="0" w:line="275"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foreign exchange controls that might require significant lead time in setting up operations in certain geographic territories and might prevent us from repatriating cash earned outside the United States;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political and economic instability;</w:t>
      </w:r>
    </w:p>
    <w:p>
      <w:pPr>
        <w:spacing w:after="0" w:line="138" w:lineRule="exact"/>
        <w:rPr>
          <w:rFonts w:ascii="Arial" w:cs="Arial" w:eastAsia="Arial" w:hAnsi="Arial"/>
          <w:sz w:val="19"/>
          <w:szCs w:val="19"/>
          <w:color w:val="auto"/>
        </w:rPr>
      </w:pPr>
    </w:p>
    <w:p>
      <w:pPr>
        <w:ind w:left="1100" w:right="20" w:hanging="464"/>
        <w:spacing w:after="0" w:line="275" w:lineRule="auto"/>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changes in diplomatic and trade relationships, including the imposition of new trade restrictions, trade protection measures, import or export requirements, trade embargoes and other trade barriers;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generally longer payment cycles and greater difficulty in collecting accounts receivable;</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25</w:t>
      </w:r>
    </w:p>
    <w:p>
      <w:pPr>
        <w:sectPr>
          <w:pgSz w:w="12240" w:h="15840" w:orient="portrait"/>
          <w:cols w:equalWidth="0" w:num="1">
            <w:col w:w="11780"/>
          </w:cols>
          <w:pgMar w:left="120" w:top="336" w:right="340" w:bottom="1440" w:gutter="0" w:footer="0" w:header="0"/>
        </w:sectPr>
      </w:pPr>
    </w:p>
    <w:bookmarkStart w:id="30" w:name="page31"/>
    <w:bookmarkEnd w:id="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240" w:hanging="464"/>
        <w:spacing w:after="0" w:line="275" w:lineRule="auto"/>
        <w:tabs>
          <w:tab w:leader="none" w:pos="11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double taxation of our international earnings and potentially adverse tax consequences due to changes in the income and other tax laws of the United States or the international jurisdictions in which we operate; and</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higher costs of doing business internationally, including increased accounting, travel, infrastructure and legal compliance costs.</w:t>
      </w:r>
    </w:p>
    <w:p>
      <w:pPr>
        <w:spacing w:after="0" w:line="238"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quarterly results may fluctuate significantly and may not fully reflect the underlying performance of our business.</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04" w:lineRule="exact"/>
        <w:rPr>
          <w:sz w:val="20"/>
          <w:szCs w:val="20"/>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retain and upgrade customers to higher-priced tiers of Zoom Meeting plans;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61" w:lineRule="exact"/>
        <w:rPr>
          <w:rFonts w:ascii="Arial" w:cs="Arial" w:eastAsia="Arial" w:hAnsi="Arial"/>
          <w:sz w:val="17"/>
          <w:szCs w:val="17"/>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hire and retain employees, in particular those responsible for the selling or marketing of our platform;</w:t>
      </w:r>
    </w:p>
    <w:p>
      <w:pPr>
        <w:spacing w:after="0" w:line="138" w:lineRule="exact"/>
        <w:rPr>
          <w:rFonts w:ascii="Arial" w:cs="Arial" w:eastAsia="Arial" w:hAnsi="Arial"/>
          <w:sz w:val="19"/>
          <w:szCs w:val="19"/>
          <w:color w:val="auto"/>
        </w:rPr>
      </w:pPr>
    </w:p>
    <w:p>
      <w:pPr>
        <w:ind w:left="1100" w:right="200" w:hanging="464"/>
        <w:spacing w:after="0" w:line="275" w:lineRule="auto"/>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the way we organize and compensate our sales teams;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timing of expenses and recognition of revenue;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increased sales to large organizations;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length of sales cycles;</w:t>
      </w:r>
    </w:p>
    <w:p>
      <w:pPr>
        <w:spacing w:after="0" w:line="138" w:lineRule="exact"/>
        <w:rPr>
          <w:rFonts w:ascii="Arial" w:cs="Arial" w:eastAsia="Arial" w:hAnsi="Arial"/>
          <w:sz w:val="19"/>
          <w:szCs w:val="19"/>
          <w:color w:val="auto"/>
        </w:rPr>
      </w:pPr>
    </w:p>
    <w:p>
      <w:pPr>
        <w:ind w:left="1100" w:hanging="464"/>
        <w:spacing w:after="0" w:line="275" w:lineRule="auto"/>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amount and timing of operating expenses related to the maintenance and expansion of our business, operations and infrastructure, as well as international expansion and entry into operating leases;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timing and effectiveness of new sales and marketing initiatives;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26</w:t>
      </w:r>
    </w:p>
    <w:p>
      <w:pPr>
        <w:sectPr>
          <w:pgSz w:w="12240" w:h="15840" w:orient="portrait"/>
          <w:cols w:equalWidth="0" w:num="1">
            <w:col w:w="11800"/>
          </w:cols>
          <w:pgMar w:left="120" w:top="336" w:right="320" w:bottom="1440" w:gutter="0" w:footer="0" w:header="0"/>
        </w:sectPr>
      </w:pPr>
    </w:p>
    <w:bookmarkStart w:id="31" w:name="page32"/>
    <w:bookmarkEnd w:id="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changes in our pricing policies or those of our competitors;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timing and success of new products, feature and functionality by us or our competitors;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interruptions or delays in our service, network outages, or actual or perceived privacy or security breaches;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changes in the competitive dynamics of our industry, including consolidation among competitors;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changes in laws and regulations that impact our business;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large indemnification payments to our users or other third parties;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timing of expenses related to any future acquisitions;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general economic and market conditions.</w:t>
      </w:r>
    </w:p>
    <w:p>
      <w:pPr>
        <w:spacing w:after="0" w:line="352"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70"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304"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b w:val="1"/>
          <w:bCs w:val="1"/>
          <w:i w:val="1"/>
          <w:iCs w:val="1"/>
          <w:color w:val="auto"/>
        </w:rPr>
        <w:t>Any failure to offer high-quality support for our customers and hosts may harm our relationships with our customers and hosts and, consequently, our business.</w:t>
      </w:r>
    </w:p>
    <w:p>
      <w:pPr>
        <w:spacing w:after="0" w:line="7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305" w:lineRule="exact"/>
        <w:rPr>
          <w:sz w:val="20"/>
          <w:szCs w:val="20"/>
          <w:color w:val="auto"/>
        </w:rPr>
      </w:pPr>
    </w:p>
    <w:p>
      <w:pPr>
        <w:ind w:left="180" w:right="200"/>
        <w:spacing w:after="0" w:line="275" w:lineRule="auto"/>
        <w:rPr>
          <w:sz w:val="20"/>
          <w:szCs w:val="20"/>
          <w:color w:val="auto"/>
        </w:rPr>
      </w:pPr>
      <w:r>
        <w:rPr>
          <w:rFonts w:ascii="Arial" w:cs="Arial" w:eastAsia="Arial" w:hAnsi="Arial"/>
          <w:sz w:val="19"/>
          <w:szCs w:val="19"/>
          <w:b w:val="1"/>
          <w:bCs w:val="1"/>
          <w:i w:val="1"/>
          <w:iCs w:val="1"/>
          <w:color w:val="auto"/>
        </w:rPr>
        <w:t>Our actual or perceived failure to comply with privacy, data protection and information security laws, regulations, and obligations could harm our business.</w:t>
      </w:r>
    </w:p>
    <w:p>
      <w:pPr>
        <w:spacing w:after="0" w:line="7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27</w:t>
      </w:r>
    </w:p>
    <w:p>
      <w:pPr>
        <w:sectPr>
          <w:pgSz w:w="12240" w:h="15840" w:orient="portrait"/>
          <w:cols w:equalWidth="0" w:num="1">
            <w:col w:w="11820"/>
          </w:cols>
          <w:pgMar w:left="120" w:top="336" w:right="300" w:bottom="1440" w:gutter="0" w:footer="0" w:header="0"/>
        </w:sectPr>
      </w:pPr>
    </w:p>
    <w:bookmarkStart w:id="32" w:name="page33"/>
    <w:bookmarkEnd w:id="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00"/>
        <w:spacing w:after="0" w:line="255" w:lineRule="auto"/>
        <w:rPr>
          <w:sz w:val="20"/>
          <w:szCs w:val="20"/>
          <w:color w:val="auto"/>
        </w:rPr>
      </w:pPr>
      <w:r>
        <w:rPr>
          <w:rFonts w:ascii="Arial" w:cs="Arial" w:eastAsia="Arial" w:hAnsi="Arial"/>
          <w:sz w:val="19"/>
          <w:szCs w:val="19"/>
          <w:color w:val="auto"/>
        </w:rPr>
        <w:t>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4" w:lineRule="exact"/>
        <w:rPr>
          <w:sz w:val="20"/>
          <w:szCs w:val="20"/>
          <w:color w:val="auto"/>
        </w:rPr>
      </w:pPr>
    </w:p>
    <w:p>
      <w:pPr>
        <w:ind w:left="180" w:firstLine="465"/>
        <w:spacing w:after="0" w:line="267" w:lineRule="auto"/>
        <w:rPr>
          <w:sz w:val="20"/>
          <w:szCs w:val="20"/>
          <w:color w:val="auto"/>
        </w:rPr>
      </w:pPr>
      <w:r>
        <w:rPr>
          <w:rFonts w:ascii="Arial" w:cs="Arial" w:eastAsia="Arial" w:hAnsi="Arial"/>
          <w:sz w:val="18"/>
          <w:szCs w:val="18"/>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180" w:right="180" w:firstLine="465"/>
        <w:spacing w:after="0" w:line="269" w:lineRule="auto"/>
        <w:rPr>
          <w:sz w:val="20"/>
          <w:szCs w:val="20"/>
          <w:color w:val="auto"/>
        </w:rPr>
      </w:pPr>
      <w:r>
        <w:rPr>
          <w:rFonts w:ascii="Arial" w:cs="Arial" w:eastAsia="Arial" w:hAnsi="Arial"/>
          <w:sz w:val="18"/>
          <w:szCs w:val="18"/>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9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28</w:t>
      </w:r>
    </w:p>
    <w:p>
      <w:pPr>
        <w:sectPr>
          <w:pgSz w:w="12240" w:h="15840" w:orient="portrait"/>
          <w:cols w:equalWidth="0" w:num="1">
            <w:col w:w="11820"/>
          </w:cols>
          <w:pgMar w:left="120" w:top="336" w:right="300" w:bottom="1440" w:gutter="0" w:footer="0" w:header="0"/>
        </w:sectPr>
      </w:pPr>
    </w:p>
    <w:bookmarkStart w:id="33" w:name="page34"/>
    <w:bookmarkEnd w:id="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manner, which we may be unable to complete and may limit our ability to store and process user data or develop new services and features.</w:t>
      </w:r>
    </w:p>
    <w:p>
      <w:pPr>
        <w:spacing w:after="0" w:line="363"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70"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be subject to liabilities on past sales for taxes, surcharges and fees.</w:t>
      </w:r>
    </w:p>
    <w:p>
      <w:pPr>
        <w:spacing w:after="0" w:line="124" w:lineRule="exact"/>
        <w:rPr>
          <w:sz w:val="20"/>
          <w:szCs w:val="20"/>
          <w:color w:val="auto"/>
        </w:rPr>
      </w:pPr>
    </w:p>
    <w:p>
      <w:pPr>
        <w:ind w:left="180" w:right="120" w:firstLine="465"/>
        <w:spacing w:after="0" w:line="286" w:lineRule="auto"/>
        <w:rPr>
          <w:sz w:val="20"/>
          <w:szCs w:val="20"/>
          <w:color w:val="auto"/>
        </w:rPr>
      </w:pPr>
      <w:r>
        <w:rPr>
          <w:rFonts w:ascii="Arial" w:cs="Arial" w:eastAsia="Arial" w:hAnsi="Arial"/>
          <w:sz w:val="17"/>
          <w:szCs w:val="17"/>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81"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94" w:lineRule="exact"/>
        <w:rPr>
          <w:sz w:val="20"/>
          <w:szCs w:val="20"/>
          <w:color w:val="auto"/>
        </w:rPr>
      </w:pPr>
    </w:p>
    <w:p>
      <w:pPr>
        <w:ind w:left="180" w:right="20" w:firstLine="465"/>
        <w:spacing w:after="0" w:line="269" w:lineRule="auto"/>
        <w:rPr>
          <w:sz w:val="20"/>
          <w:szCs w:val="20"/>
          <w:color w:val="auto"/>
        </w:rPr>
      </w:pPr>
      <w:r>
        <w:rPr>
          <w:rFonts w:ascii="Arial" w:cs="Arial" w:eastAsia="Arial" w:hAnsi="Arial"/>
          <w:sz w:val="18"/>
          <w:szCs w:val="18"/>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$3.2 million and $8.9 million for the fiscal years ended January 31, 2017 and 2018,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304"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70"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color w:val="auto"/>
        </w:rPr>
        <w:t>Our platform and associated products are subject to various restrictions under U.S. export control and sanctions laws and regulations, including the U.S. Department of Commerce’s Export Administration</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29</w:t>
      </w:r>
    </w:p>
    <w:p>
      <w:pPr>
        <w:sectPr>
          <w:pgSz w:w="12240" w:h="15840" w:orient="portrait"/>
          <w:cols w:equalWidth="0" w:num="1">
            <w:col w:w="11800"/>
          </w:cols>
          <w:pgMar w:left="120" w:top="336" w:right="320" w:bottom="1440" w:gutter="0" w:footer="0" w:header="0"/>
        </w:sectPr>
      </w:pPr>
    </w:p>
    <w:bookmarkStart w:id="34" w:name="page35"/>
    <w:bookmarkEnd w:id="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55" w:lineRule="auto"/>
        <w:rPr>
          <w:sz w:val="20"/>
          <w:szCs w:val="20"/>
          <w:color w:val="auto"/>
        </w:rPr>
      </w:pPr>
      <w:r>
        <w:rPr>
          <w:rFonts w:ascii="Arial" w:cs="Arial" w:eastAsia="Arial" w:hAnsi="Arial"/>
          <w:sz w:val="19"/>
          <w:szCs w:val="19"/>
          <w:color w:val="auto"/>
        </w:rPr>
        <w:t>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204" w:lineRule="exact"/>
        <w:rPr>
          <w:sz w:val="20"/>
          <w:szCs w:val="20"/>
          <w:color w:val="auto"/>
        </w:rPr>
      </w:pPr>
    </w:p>
    <w:p>
      <w:pPr>
        <w:ind w:left="180" w:right="40" w:firstLine="465"/>
        <w:spacing w:after="0" w:line="270" w:lineRule="auto"/>
        <w:rPr>
          <w:sz w:val="20"/>
          <w:szCs w:val="20"/>
          <w:color w:val="auto"/>
        </w:rPr>
      </w:pPr>
      <w:r>
        <w:rPr>
          <w:rFonts w:ascii="Arial" w:cs="Arial" w:eastAsia="Arial" w:hAnsi="Arial"/>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91"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321" w:lineRule="exact"/>
        <w:rPr>
          <w:sz w:val="20"/>
          <w:szCs w:val="20"/>
          <w:color w:val="auto"/>
        </w:rPr>
      </w:pPr>
    </w:p>
    <w:p>
      <w:pPr>
        <w:ind w:left="180" w:right="220"/>
        <w:spacing w:after="0" w:line="275" w:lineRule="auto"/>
        <w:rPr>
          <w:sz w:val="20"/>
          <w:szCs w:val="20"/>
          <w:color w:val="auto"/>
        </w:rPr>
      </w:pPr>
      <w:r>
        <w:rPr>
          <w:rFonts w:ascii="Arial" w:cs="Arial" w:eastAsia="Arial" w:hAnsi="Arial"/>
          <w:sz w:val="19"/>
          <w:szCs w:val="19"/>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70"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30</w:t>
      </w:r>
    </w:p>
    <w:p>
      <w:pPr>
        <w:sectPr>
          <w:pgSz w:w="12240" w:h="15840" w:orient="portrait"/>
          <w:cols w:equalWidth="0" w:num="1">
            <w:col w:w="11800"/>
          </w:cols>
          <w:pgMar w:left="120" w:top="336" w:right="320" w:bottom="1440" w:gutter="0" w:footer="0" w:header="0"/>
        </w:sectPr>
      </w:pPr>
    </w:p>
    <w:bookmarkStart w:id="35" w:name="page36"/>
    <w:bookmarkEnd w:id="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80"/>
        <w:spacing w:after="0" w:line="275" w:lineRule="auto"/>
        <w:rPr>
          <w:sz w:val="20"/>
          <w:szCs w:val="20"/>
          <w:color w:val="auto"/>
        </w:rPr>
      </w:pPr>
      <w:r>
        <w:rPr>
          <w:rFonts w:ascii="Arial" w:cs="Arial" w:eastAsia="Arial" w:hAnsi="Arial"/>
          <w:sz w:val="19"/>
          <w:szCs w:val="19"/>
          <w:b w:val="1"/>
          <w:bCs w:val="1"/>
          <w:i w:val="1"/>
          <w:iCs w:val="1"/>
          <w:color w:val="auto"/>
        </w:rPr>
        <w:t>Our results of operations, which are reported in U.S. dollars, could be adversely affected if currency exchange rates fluctuate substantially in the future.</w:t>
      </w:r>
    </w:p>
    <w:p>
      <w:pPr>
        <w:spacing w:after="0" w:line="70" w:lineRule="exact"/>
        <w:rPr>
          <w:sz w:val="20"/>
          <w:szCs w:val="20"/>
          <w:color w:val="auto"/>
        </w:rPr>
      </w:pPr>
    </w:p>
    <w:p>
      <w:pPr>
        <w:jc w:val="both"/>
        <w:ind w:left="180" w:right="80" w:firstLine="465"/>
        <w:spacing w:after="0" w:line="285"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w:t>
      </w:r>
    </w:p>
    <w:p>
      <w:pPr>
        <w:spacing w:after="0" w:line="1" w:lineRule="exact"/>
        <w:rPr>
          <w:sz w:val="20"/>
          <w:szCs w:val="20"/>
          <w:color w:val="auto"/>
        </w:rPr>
      </w:pPr>
    </w:p>
    <w:p>
      <w:pPr>
        <w:ind w:left="180" w:right="60"/>
        <w:spacing w:after="0" w:line="280" w:lineRule="auto"/>
        <w:rPr>
          <w:sz w:val="20"/>
          <w:szCs w:val="20"/>
          <w:color w:val="auto"/>
        </w:rPr>
      </w:pPr>
      <w:r>
        <w:rPr>
          <w:rFonts w:ascii="Arial" w:cs="Arial" w:eastAsia="Arial" w:hAnsi="Arial"/>
          <w:sz w:val="17"/>
          <w:szCs w:val="17"/>
          <w:color w:val="auto"/>
        </w:rPr>
        <w:t>denominated in the currencies of the jurisdictions in which we conduct our operations. For the fiscal year ended January 31, 2019, % of our revenue and % of our expenses were denominated in currencies other than U.S. dollars. Because we conduct business in currencies other than U.S.</w:t>
      </w:r>
    </w:p>
    <w:p>
      <w:pPr>
        <w:ind w:left="180" w:right="40"/>
        <w:spacing w:after="0" w:line="255" w:lineRule="auto"/>
        <w:rPr>
          <w:sz w:val="20"/>
          <w:szCs w:val="20"/>
          <w:color w:val="auto"/>
        </w:rPr>
      </w:pPr>
      <w:r>
        <w:rPr>
          <w:rFonts w:ascii="Arial" w:cs="Arial" w:eastAsia="Arial" w:hAnsi="Arial"/>
          <w:sz w:val="19"/>
          <w:szCs w:val="19"/>
          <w:color w:val="auto"/>
        </w:rPr>
        <w:t>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317" w:lineRule="exact"/>
        <w:rPr>
          <w:sz w:val="20"/>
          <w:szCs w:val="20"/>
          <w:color w:val="auto"/>
        </w:rPr>
      </w:pPr>
    </w:p>
    <w:p>
      <w:pPr>
        <w:ind w:left="180" w:right="440"/>
        <w:spacing w:after="0" w:line="263" w:lineRule="auto"/>
        <w:rPr>
          <w:sz w:val="20"/>
          <w:szCs w:val="20"/>
          <w:color w:val="auto"/>
        </w:rPr>
      </w:pPr>
      <w:r>
        <w:rPr>
          <w:rFonts w:ascii="Arial" w:cs="Arial" w:eastAsia="Arial" w:hAnsi="Arial"/>
          <w:sz w:val="19"/>
          <w:szCs w:val="19"/>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8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9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In addition, our current products, as well as products, features and functionality that we may introduce in the future, may require us to compensate or reimburse third parties. For example, our recently announced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321" w:lineRule="exact"/>
        <w:rPr>
          <w:sz w:val="20"/>
          <w:szCs w:val="20"/>
          <w:color w:val="auto"/>
        </w:rPr>
      </w:pPr>
    </w:p>
    <w:p>
      <w:pPr>
        <w:ind w:left="180" w:right="140"/>
        <w:spacing w:after="0" w:line="304"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46" w:lineRule="exact"/>
        <w:rPr>
          <w:sz w:val="20"/>
          <w:szCs w:val="20"/>
          <w:color w:val="auto"/>
        </w:rPr>
      </w:pPr>
    </w:p>
    <w:p>
      <w:pPr>
        <w:ind w:left="180" w:right="160" w:firstLine="465"/>
        <w:spacing w:after="0" w:line="255" w:lineRule="auto"/>
        <w:rPr>
          <w:sz w:val="20"/>
          <w:szCs w:val="20"/>
          <w:color w:val="auto"/>
        </w:rPr>
      </w:pPr>
      <w:r>
        <w:rPr>
          <w:rFonts w:ascii="Arial" w:cs="Arial" w:eastAsia="Arial" w:hAnsi="Arial"/>
          <w:sz w:val="19"/>
          <w:szCs w:val="19"/>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31</w:t>
      </w:r>
    </w:p>
    <w:p>
      <w:pPr>
        <w:sectPr>
          <w:pgSz w:w="12240" w:h="15840" w:orient="portrait"/>
          <w:cols w:equalWidth="0" w:num="1">
            <w:col w:w="11780"/>
          </w:cols>
          <w:pgMar w:left="120" w:top="336" w:right="340" w:bottom="1440" w:gutter="0" w:footer="0" w:header="0"/>
        </w:sectPr>
      </w:pPr>
    </w:p>
    <w:bookmarkStart w:id="36" w:name="page37"/>
    <w:bookmarkEnd w:id="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74" w:lineRule="auto"/>
        <w:rPr>
          <w:sz w:val="20"/>
          <w:szCs w:val="20"/>
          <w:color w:val="auto"/>
        </w:rPr>
      </w:pPr>
      <w:r>
        <w:rPr>
          <w:rFonts w:ascii="Arial" w:cs="Arial" w:eastAsia="Arial" w:hAnsi="Arial"/>
          <w:sz w:val="18"/>
          <w:szCs w:val="18"/>
          <w:color w:val="auto"/>
        </w:rPr>
        <w:t>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302" w:lineRule="exact"/>
        <w:rPr>
          <w:sz w:val="20"/>
          <w:szCs w:val="20"/>
          <w:color w:val="auto"/>
        </w:rPr>
      </w:pPr>
    </w:p>
    <w:p>
      <w:pPr>
        <w:ind w:left="180"/>
        <w:spacing w:after="0" w:line="263" w:lineRule="auto"/>
        <w:rPr>
          <w:sz w:val="20"/>
          <w:szCs w:val="20"/>
          <w:color w:val="auto"/>
        </w:rPr>
      </w:pPr>
      <w:r>
        <w:rPr>
          <w:rFonts w:ascii="Arial" w:cs="Arial" w:eastAsia="Arial" w:hAnsi="Arial"/>
          <w:sz w:val="19"/>
          <w:szCs w:val="19"/>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80"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204" w:lineRule="exact"/>
        <w:rPr>
          <w:sz w:val="20"/>
          <w:szCs w:val="20"/>
          <w:color w:val="auto"/>
        </w:rPr>
      </w:pPr>
    </w:p>
    <w:p>
      <w:pPr>
        <w:ind w:left="180" w:right="100" w:firstLine="465"/>
        <w:spacing w:after="0" w:line="272" w:lineRule="auto"/>
        <w:rPr>
          <w:sz w:val="20"/>
          <w:szCs w:val="20"/>
          <w:color w:val="auto"/>
        </w:rPr>
      </w:pPr>
      <w:r>
        <w:rPr>
          <w:rFonts w:ascii="Arial" w:cs="Arial" w:eastAsia="Arial" w:hAnsi="Arial"/>
          <w:sz w:val="18"/>
          <w:szCs w:val="18"/>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90" w:lineRule="exact"/>
        <w:rPr>
          <w:sz w:val="20"/>
          <w:szCs w:val="20"/>
          <w:color w:val="auto"/>
        </w:rPr>
      </w:pPr>
    </w:p>
    <w:p>
      <w:pPr>
        <w:jc w:val="both"/>
        <w:ind w:left="180" w:right="360" w:firstLine="465"/>
        <w:spacing w:after="0" w:line="284"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78"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318" w:lineRule="exact"/>
        <w:rPr>
          <w:sz w:val="20"/>
          <w:szCs w:val="20"/>
          <w:color w:val="auto"/>
        </w:rPr>
      </w:pPr>
    </w:p>
    <w:p>
      <w:pPr>
        <w:ind w:left="180" w:right="60"/>
        <w:spacing w:after="0" w:line="263" w:lineRule="auto"/>
        <w:rPr>
          <w:sz w:val="20"/>
          <w:szCs w:val="20"/>
          <w:color w:val="auto"/>
        </w:rPr>
      </w:pPr>
      <w:r>
        <w:rPr>
          <w:rFonts w:ascii="Arial" w:cs="Arial" w:eastAsia="Arial" w:hAnsi="Arial"/>
          <w:sz w:val="19"/>
          <w:szCs w:val="19"/>
          <w:b w:val="1"/>
          <w:bCs w:val="1"/>
          <w:i w:val="1"/>
          <w:iCs w:val="1"/>
          <w:color w:val="auto"/>
        </w:rPr>
        <w:t>Zoom Phone will be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Federal Regulation</w:t>
      </w:r>
    </w:p>
    <w:p>
      <w:pPr>
        <w:spacing w:after="0" w:line="124"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Our recently introduced product, Zoom Phone, will be provided through our wholly owned subsidiary, Zoom Voice Communications, Inc., which will be regulated by the FCC as an interconnected voice over internet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32</w:t>
      </w:r>
    </w:p>
    <w:p>
      <w:pPr>
        <w:sectPr>
          <w:pgSz w:w="12240" w:h="15840" w:orient="portrait"/>
          <w:cols w:equalWidth="0" w:num="1">
            <w:col w:w="11820"/>
          </w:cols>
          <w:pgMar w:left="120" w:top="336" w:right="300" w:bottom="1440" w:gutter="0" w:footer="0" w:header="0"/>
        </w:sectPr>
      </w:pPr>
    </w:p>
    <w:bookmarkStart w:id="37" w:name="page38"/>
    <w:bookmarkEnd w:id="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88" w:lineRule="auto"/>
        <w:rPr>
          <w:sz w:val="20"/>
          <w:szCs w:val="20"/>
          <w:color w:val="auto"/>
        </w:rPr>
      </w:pPr>
      <w:r>
        <w:rPr>
          <w:rFonts w:ascii="Arial" w:cs="Arial" w:eastAsia="Arial" w:hAnsi="Arial"/>
          <w:sz w:val="17"/>
          <w:szCs w:val="17"/>
          <w:color w:val="auto"/>
        </w:rPr>
        <w:t>protocol (VoIP) service provider. As a result, Zoom Phone will be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State Regulation</w:t>
      </w:r>
    </w:p>
    <w:p>
      <w:pPr>
        <w:spacing w:after="0" w:line="12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International Regulation</w:t>
      </w:r>
    </w:p>
    <w:p>
      <w:pPr>
        <w:spacing w:after="0" w:line="124" w:lineRule="exact"/>
        <w:rPr>
          <w:sz w:val="20"/>
          <w:szCs w:val="20"/>
          <w:color w:val="auto"/>
        </w:rPr>
      </w:pPr>
    </w:p>
    <w:p>
      <w:pPr>
        <w:ind w:left="180" w:right="120" w:firstLine="465"/>
        <w:spacing w:after="0" w:line="277"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99" w:lineRule="exact"/>
        <w:rPr>
          <w:sz w:val="20"/>
          <w:szCs w:val="20"/>
          <w:color w:val="auto"/>
        </w:rPr>
      </w:pPr>
    </w:p>
    <w:p>
      <w:pPr>
        <w:ind w:left="180" w:right="480"/>
        <w:spacing w:after="0" w:line="275" w:lineRule="auto"/>
        <w:rPr>
          <w:sz w:val="20"/>
          <w:szCs w:val="20"/>
          <w:color w:val="auto"/>
        </w:rPr>
      </w:pPr>
      <w:r>
        <w:rPr>
          <w:rFonts w:ascii="Arial" w:cs="Arial" w:eastAsia="Arial" w:hAnsi="Arial"/>
          <w:sz w:val="19"/>
          <w:szCs w:val="19"/>
          <w:b w:val="1"/>
          <w:bCs w:val="1"/>
          <w:i w:val="1"/>
          <w:iCs w:val="1"/>
          <w:color w:val="auto"/>
        </w:rPr>
        <w:t>We are currently, and may be in the future, party to intellectual property rights claims and other litigation matters, which, if resolved adversely, could harm our business.</w:t>
      </w:r>
    </w:p>
    <w:p>
      <w:pPr>
        <w:spacing w:after="0" w:line="70"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33</w:t>
      </w:r>
    </w:p>
    <w:p>
      <w:pPr>
        <w:sectPr>
          <w:pgSz w:w="12240" w:h="15840" w:orient="portrait"/>
          <w:cols w:equalWidth="0" w:num="1">
            <w:col w:w="11820"/>
          </w:cols>
          <w:pgMar w:left="120" w:top="336" w:right="300" w:bottom="1440" w:gutter="0" w:footer="0" w:header="0"/>
        </w:sectPr>
      </w:pPr>
    </w:p>
    <w:bookmarkStart w:id="38" w:name="page39"/>
    <w:bookmarkEnd w:id="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7" w:lineRule="auto"/>
        <w:rPr>
          <w:sz w:val="20"/>
          <w:szCs w:val="20"/>
          <w:color w:val="auto"/>
        </w:rPr>
      </w:pPr>
      <w:r>
        <w:rPr>
          <w:rFonts w:ascii="Arial" w:cs="Arial" w:eastAsia="Arial" w:hAnsi="Arial"/>
          <w:sz w:val="18"/>
          <w:szCs w:val="18"/>
          <w:color w:val="auto"/>
        </w:rPr>
        <w:t>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failure to protect our intellectual property rights and proprietary information could diminish our brand and other intangible assets.</w:t>
      </w:r>
    </w:p>
    <w:p>
      <w:pPr>
        <w:spacing w:after="0" w:line="135" w:lineRule="exact"/>
        <w:rPr>
          <w:sz w:val="20"/>
          <w:szCs w:val="20"/>
          <w:color w:val="auto"/>
        </w:rPr>
      </w:pPr>
    </w:p>
    <w:p>
      <w:pPr>
        <w:ind w:left="180" w:right="20" w:firstLine="465"/>
        <w:spacing w:after="0" w:line="283" w:lineRule="auto"/>
        <w:rPr>
          <w:sz w:val="20"/>
          <w:szCs w:val="20"/>
          <w:color w:val="auto"/>
        </w:rPr>
      </w:pPr>
      <w:r>
        <w:rPr>
          <w:rFonts w:ascii="Arial" w:cs="Arial" w:eastAsia="Arial" w:hAnsi="Arial"/>
          <w:sz w:val="17"/>
          <w:szCs w:val="17"/>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January 31, 2019, we have two issued patents and five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96" w:lineRule="exact"/>
        <w:rPr>
          <w:sz w:val="20"/>
          <w:szCs w:val="20"/>
          <w:color w:val="auto"/>
        </w:rPr>
      </w:pPr>
    </w:p>
    <w:p>
      <w:pPr>
        <w:ind w:left="180" w:right="140"/>
        <w:spacing w:after="0" w:line="37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ind w:left="180" w:firstLine="465"/>
        <w:spacing w:after="0" w:line="270" w:lineRule="auto"/>
        <w:rPr>
          <w:sz w:val="20"/>
          <w:szCs w:val="20"/>
          <w:color w:val="auto"/>
        </w:rPr>
      </w:pPr>
      <w:r>
        <w:rPr>
          <w:rFonts w:ascii="Arial" w:cs="Arial" w:eastAsia="Arial" w:hAnsi="Arial"/>
          <w:sz w:val="18"/>
          <w:szCs w:val="18"/>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34</w:t>
      </w:r>
    </w:p>
    <w:p>
      <w:pPr>
        <w:sectPr>
          <w:pgSz w:w="12240" w:h="15840" w:orient="portrait"/>
          <w:cols w:equalWidth="0" w:num="1">
            <w:col w:w="11780"/>
          </w:cols>
          <w:pgMar w:left="120" w:top="336" w:right="340" w:bottom="1440" w:gutter="0" w:footer="0" w:header="0"/>
        </w:sectPr>
      </w:pPr>
    </w:p>
    <w:bookmarkStart w:id="39" w:name="page40"/>
    <w:bookmarkEnd w:id="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70" w:lineRule="auto"/>
        <w:rPr>
          <w:sz w:val="20"/>
          <w:szCs w:val="20"/>
          <w:color w:val="auto"/>
        </w:rPr>
      </w:pPr>
      <w:r>
        <w:rPr>
          <w:rFonts w:ascii="Arial" w:cs="Arial" w:eastAsia="Arial" w:hAnsi="Arial"/>
          <w:sz w:val="18"/>
          <w:szCs w:val="18"/>
          <w:color w:val="auto"/>
        </w:rPr>
        <w:t>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147"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business could be disrupted by catastrophic events.</w:t>
      </w:r>
    </w:p>
    <w:p>
      <w:pPr>
        <w:spacing w:after="0" w:line="124" w:lineRule="exact"/>
        <w:rPr>
          <w:sz w:val="20"/>
          <w:szCs w:val="20"/>
          <w:color w:val="auto"/>
        </w:rPr>
      </w:pPr>
    </w:p>
    <w:p>
      <w:pPr>
        <w:ind w:left="180" w:right="160" w:firstLine="465"/>
        <w:spacing w:after="0" w:line="288"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have exposure to greater than anticipated tax liabilities, which could harm our business.</w:t>
      </w:r>
    </w:p>
    <w:p>
      <w:pPr>
        <w:spacing w:after="0" w:line="124"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20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98"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We are subject to review and audit by U.S. federal, state, local and foreign tax authorities. Such tax authorities may disagree with tax positions we take, and if any such tax authority were to successfully challenge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35</w:t>
      </w:r>
    </w:p>
    <w:p>
      <w:pPr>
        <w:sectPr>
          <w:pgSz w:w="12240" w:h="15840" w:orient="portrait"/>
          <w:cols w:equalWidth="0" w:num="1">
            <w:col w:w="11760"/>
          </w:cols>
          <w:pgMar w:left="120" w:top="336" w:right="360" w:bottom="1440" w:gutter="0" w:footer="0" w:header="0"/>
        </w:sectPr>
      </w:pPr>
    </w:p>
    <w:bookmarkStart w:id="40" w:name="page41"/>
    <w:bookmarkEnd w:id="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ability to use our net operating loss carryforwards and certain other tax attributes may be limited.</w:t>
      </w:r>
    </w:p>
    <w:p>
      <w:pPr>
        <w:spacing w:after="0" w:line="124" w:lineRule="exact"/>
        <w:rPr>
          <w:sz w:val="20"/>
          <w:szCs w:val="20"/>
          <w:color w:val="auto"/>
        </w:rPr>
      </w:pPr>
    </w:p>
    <w:p>
      <w:pPr>
        <w:ind w:left="180" w:firstLine="465"/>
        <w:spacing w:after="0" w:line="285" w:lineRule="auto"/>
        <w:rPr>
          <w:sz w:val="20"/>
          <w:szCs w:val="20"/>
          <w:color w:val="auto"/>
        </w:rPr>
      </w:pPr>
      <w:r>
        <w:rPr>
          <w:rFonts w:ascii="Arial" w:cs="Arial" w:eastAsia="Arial" w:hAnsi="Arial"/>
          <w:sz w:val="17"/>
          <w:szCs w:val="17"/>
          <w:color w:val="auto"/>
        </w:rPr>
        <w:t>As of January 31, 2018, we had $22.2 million of federal and $18.4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 We may also experience ownership changes in the future as a result of subsequent shifts in our stock ownership, some of which may be outside of our control. If an ownership change occurs and our ability to use our net operating loss carryforwards is materially limited, it would harm our business by effectively increasing our future tax obligations.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47"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Accounting Standards Codification (ASC) Topic 606, Revenue from Contracts with Customers (ASC 606), effective as of February 1, 2017, utilizing the full retrospective method of adoption. The 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need additional capital, and we cannot be certain that additional financing will be available on favorable terms, or at all.</w:t>
      </w:r>
    </w:p>
    <w:p>
      <w:pPr>
        <w:spacing w:after="0" w:line="124"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36</w:t>
      </w:r>
    </w:p>
    <w:p>
      <w:pPr>
        <w:sectPr>
          <w:pgSz w:w="12240" w:h="15840" w:orient="portrait"/>
          <w:cols w:equalWidth="0" w:num="1">
            <w:col w:w="11760"/>
          </w:cols>
          <w:pgMar w:left="120" w:top="336" w:right="360" w:bottom="1440" w:gutter="0" w:footer="0" w:header="0"/>
        </w:sectPr>
      </w:pPr>
    </w:p>
    <w:bookmarkStart w:id="41" w:name="page42"/>
    <w:bookmarkEnd w:id="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560"/>
        <w:spacing w:after="0" w:line="275" w:lineRule="auto"/>
        <w:rPr>
          <w:sz w:val="20"/>
          <w:szCs w:val="20"/>
          <w:color w:val="auto"/>
        </w:rPr>
      </w:pPr>
      <w:r>
        <w:rPr>
          <w:rFonts w:ascii="Arial" w:cs="Arial" w:eastAsia="Arial" w:hAnsi="Arial"/>
          <w:sz w:val="19"/>
          <w:szCs w:val="19"/>
          <w:b w:val="1"/>
          <w:bCs w:val="1"/>
          <w:i w:val="1"/>
          <w:iCs w:val="1"/>
          <w:color w:val="auto"/>
        </w:rPr>
        <w:t>Our use of third-party open source software could negatively affect our ability to offer and sell subscriptions to our platform and subject us to possible litigation.</w:t>
      </w:r>
    </w:p>
    <w:p>
      <w:pPr>
        <w:spacing w:after="0" w:line="70" w:lineRule="exact"/>
        <w:rPr>
          <w:sz w:val="20"/>
          <w:szCs w:val="20"/>
          <w:color w:val="auto"/>
        </w:rPr>
      </w:pPr>
    </w:p>
    <w:p>
      <w:pPr>
        <w:ind w:left="180" w:right="60" w:firstLine="465"/>
        <w:spacing w:after="0" w:line="283" w:lineRule="auto"/>
        <w:rPr>
          <w:sz w:val="20"/>
          <w:szCs w:val="20"/>
          <w:color w:val="auto"/>
        </w:rPr>
      </w:pPr>
      <w:r>
        <w:rPr>
          <w:rFonts w:ascii="Arial" w:cs="Arial" w:eastAsia="Arial" w:hAnsi="Arial"/>
          <w:sz w:val="17"/>
          <w:szCs w:val="17"/>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89"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318" w:lineRule="exact"/>
        <w:rPr>
          <w:sz w:val="20"/>
          <w:szCs w:val="20"/>
          <w:color w:val="auto"/>
        </w:rPr>
      </w:pPr>
    </w:p>
    <w:p>
      <w:pPr>
        <w:ind w:left="180" w:right="540"/>
        <w:spacing w:after="0" w:line="275" w:lineRule="auto"/>
        <w:rPr>
          <w:sz w:val="20"/>
          <w:szCs w:val="20"/>
          <w:color w:val="auto"/>
        </w:rPr>
      </w:pPr>
      <w:r>
        <w:rPr>
          <w:rFonts w:ascii="Arial" w:cs="Arial" w:eastAsia="Arial" w:hAnsi="Arial"/>
          <w:sz w:val="19"/>
          <w:szCs w:val="19"/>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0"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As a public company, we will be subject to the reporting requirements of the Securities Exchange Act of 1934, as amended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0"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37</w:t>
      </w:r>
    </w:p>
    <w:p>
      <w:pPr>
        <w:sectPr>
          <w:pgSz w:w="12240" w:h="15840" w:orient="portrait"/>
          <w:cols w:equalWidth="0" w:num="1">
            <w:col w:w="11800"/>
          </w:cols>
          <w:pgMar w:left="120" w:top="336" w:right="320" w:bottom="1440" w:gutter="0" w:footer="0" w:header="0"/>
        </w:sectPr>
      </w:pPr>
    </w:p>
    <w:bookmarkStart w:id="42" w:name="page43"/>
    <w:bookmarkEnd w:id="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60"/>
        <w:spacing w:after="0" w:line="275" w:lineRule="auto"/>
        <w:rPr>
          <w:sz w:val="20"/>
          <w:szCs w:val="20"/>
          <w:color w:val="auto"/>
        </w:rPr>
      </w:pPr>
      <w:r>
        <w:rPr>
          <w:rFonts w:ascii="Arial" w:cs="Arial" w:eastAsia="Arial" w:hAnsi="Arial"/>
          <w:sz w:val="19"/>
          <w:szCs w:val="19"/>
          <w:color w:val="auto"/>
        </w:rPr>
        <w:t>disclosure controls and procedures and internal control over financial reporting, we have expended, and anticipate that we will continue to expend, significant resources, including accounting-related costs and significant management oversight.</w:t>
      </w:r>
    </w:p>
    <w:p>
      <w:pPr>
        <w:spacing w:after="0" w:line="184"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1" w:lineRule="exact"/>
        <w:rPr>
          <w:sz w:val="20"/>
          <w:szCs w:val="20"/>
          <w:color w:val="auto"/>
        </w:rPr>
      </w:pPr>
    </w:p>
    <w:p>
      <w:pPr>
        <w:ind w:left="180"/>
        <w:spacing w:after="0" w:line="286" w:lineRule="auto"/>
        <w:rPr>
          <w:sz w:val="20"/>
          <w:szCs w:val="20"/>
          <w:color w:val="auto"/>
        </w:rPr>
      </w:pPr>
      <w:r>
        <w:rPr>
          <w:rFonts w:ascii="Arial" w:cs="Arial" w:eastAsia="Arial" w:hAnsi="Arial"/>
          <w:sz w:val="17"/>
          <w:szCs w:val="17"/>
          <w:color w:val="auto"/>
        </w:rPr>
        <w:t xml:space="preserve">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82"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ind w:left="180" w:right="400" w:firstLine="465"/>
        <w:spacing w:after="0" w:line="274"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302" w:lineRule="exact"/>
        <w:rPr>
          <w:sz w:val="20"/>
          <w:szCs w:val="20"/>
          <w:color w:val="auto"/>
        </w:rPr>
      </w:pPr>
    </w:p>
    <w:p>
      <w:pPr>
        <w:ind w:left="180" w:right="320"/>
        <w:spacing w:after="0" w:line="275" w:lineRule="auto"/>
        <w:rPr>
          <w:sz w:val="20"/>
          <w:szCs w:val="20"/>
          <w:color w:val="auto"/>
        </w:rPr>
      </w:pPr>
      <w:r>
        <w:rPr>
          <w:rFonts w:ascii="Arial" w:cs="Arial" w:eastAsia="Arial" w:hAnsi="Arial"/>
          <w:sz w:val="19"/>
          <w:szCs w:val="19"/>
          <w:b w:val="1"/>
          <w:bCs w:val="1"/>
          <w:i w:val="1"/>
          <w:iCs w:val="1"/>
          <w:color w:val="auto"/>
        </w:rPr>
        <w:t>We may acquire other businesses or receive offers to be acquired, which could require significant management attention, disrupt our business or dilute stockholder value.</w:t>
      </w:r>
    </w:p>
    <w:p>
      <w:pPr>
        <w:spacing w:after="0" w:line="70" w:lineRule="exact"/>
        <w:rPr>
          <w:sz w:val="20"/>
          <w:szCs w:val="20"/>
          <w:color w:val="auto"/>
        </w:rPr>
      </w:pPr>
    </w:p>
    <w:p>
      <w:pPr>
        <w:ind w:left="180" w:right="200" w:firstLine="465"/>
        <w:spacing w:after="0" w:line="308" w:lineRule="auto"/>
        <w:rPr>
          <w:sz w:val="20"/>
          <w:szCs w:val="20"/>
          <w:color w:val="auto"/>
        </w:rPr>
      </w:pPr>
      <w:r>
        <w:rPr>
          <w:rFonts w:ascii="Arial" w:cs="Arial" w:eastAsia="Arial" w:hAnsi="Arial"/>
          <w:sz w:val="17"/>
          <w:szCs w:val="17"/>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38</w:t>
      </w:r>
    </w:p>
    <w:p>
      <w:pPr>
        <w:sectPr>
          <w:pgSz w:w="12240" w:h="15840" w:orient="portrait"/>
          <w:cols w:equalWidth="0" w:num="1">
            <w:col w:w="11800"/>
          </w:cols>
          <w:pgMar w:left="120" w:top="336" w:right="320" w:bottom="1440" w:gutter="0" w:footer="0" w:header="0"/>
        </w:sectPr>
      </w:pPr>
    </w:p>
    <w:bookmarkStart w:id="43" w:name="page44"/>
    <w:bookmarkEnd w:id="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72" w:lineRule="auto"/>
        <w:rPr>
          <w:sz w:val="20"/>
          <w:szCs w:val="20"/>
          <w:color w:val="auto"/>
        </w:rPr>
      </w:pPr>
      <w:r>
        <w:rPr>
          <w:rFonts w:ascii="Arial" w:cs="Arial" w:eastAsia="Arial" w:hAnsi="Arial"/>
          <w:sz w:val="18"/>
          <w:szCs w:val="18"/>
          <w:color w:val="auto"/>
        </w:rPr>
        <w:t>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90"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Risks Related to Ownership of Our Class A Common Stock</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An active trading market for our Class A common stock may never develop or be sustained.</w:t>
      </w:r>
    </w:p>
    <w:p>
      <w:pPr>
        <w:spacing w:after="0" w:line="124" w:lineRule="exact"/>
        <w:rPr>
          <w:sz w:val="20"/>
          <w:szCs w:val="20"/>
          <w:color w:val="auto"/>
        </w:rPr>
      </w:pPr>
    </w:p>
    <w:p>
      <w:pPr>
        <w:ind w:left="180" w:right="260" w:firstLine="465"/>
        <w:spacing w:after="0" w:line="298" w:lineRule="auto"/>
        <w:rPr>
          <w:sz w:val="20"/>
          <w:szCs w:val="20"/>
          <w:color w:val="auto"/>
        </w:rPr>
      </w:pPr>
      <w:r>
        <w:rPr>
          <w:rFonts w:ascii="Arial" w:cs="Arial" w:eastAsia="Arial" w:hAnsi="Arial"/>
          <w:sz w:val="17"/>
          <w:szCs w:val="17"/>
          <w:color w:val="auto"/>
        </w:rPr>
        <w:t>We intend to apply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trading price of our Class A common stock may be volatile, and you could lose all or part of your investment.</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107" w:lineRule="exact"/>
        <w:rPr>
          <w:sz w:val="20"/>
          <w:szCs w:val="20"/>
          <w:color w:val="auto"/>
        </w:rPr>
      </w:pPr>
    </w:p>
    <w:p>
      <w:pPr>
        <w:ind w:left="1100" w:hanging="464"/>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price and volume fluctuations in the overall stock market from time to time;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volatility in the trading prices and trading volumes of technology stocks;</w:t>
      </w:r>
    </w:p>
    <w:p>
      <w:pPr>
        <w:spacing w:after="0" w:line="138" w:lineRule="exact"/>
        <w:rPr>
          <w:rFonts w:ascii="Arial" w:cs="Arial" w:eastAsia="Arial" w:hAnsi="Arial"/>
          <w:sz w:val="19"/>
          <w:szCs w:val="19"/>
          <w:color w:val="auto"/>
        </w:rPr>
      </w:pPr>
    </w:p>
    <w:p>
      <w:pPr>
        <w:ind w:left="1100" w:right="760" w:hanging="464"/>
        <w:spacing w:after="0" w:line="275" w:lineRule="auto"/>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changes in operating performance and stock market valuations of other technology companies generally, or those in our industry in particular;</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sales of shares of our Class A common stock by us or our stockholders;</w:t>
      </w:r>
    </w:p>
    <w:p>
      <w:pPr>
        <w:spacing w:after="0" w:line="138" w:lineRule="exact"/>
        <w:rPr>
          <w:rFonts w:ascii="Arial" w:cs="Arial" w:eastAsia="Arial" w:hAnsi="Arial"/>
          <w:sz w:val="19"/>
          <w:szCs w:val="19"/>
          <w:color w:val="auto"/>
        </w:rPr>
      </w:pPr>
    </w:p>
    <w:p>
      <w:pPr>
        <w:ind w:left="1100" w:right="300" w:hanging="464"/>
        <w:spacing w:after="0" w:line="275" w:lineRule="auto"/>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failure of securities analysts to maintain coverage of us, changes in financial estimates by securities analysts who follow our company, or our failure to meet these estimates or the expectations of investors;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 projections;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announcements by us or our competitors of new products, features, or services;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39</w:t>
      </w:r>
    </w:p>
    <w:p>
      <w:pPr>
        <w:sectPr>
          <w:pgSz w:w="12240" w:h="15840" w:orient="portrait"/>
          <w:cols w:equalWidth="0" w:num="1">
            <w:col w:w="11820"/>
          </w:cols>
          <w:pgMar w:left="120" w:top="336" w:right="300" w:bottom="1440" w:gutter="0" w:footer="0" w:header="0"/>
        </w:sectPr>
      </w:pPr>
    </w:p>
    <w:bookmarkStart w:id="44" w:name="page45"/>
    <w:bookmarkEnd w:id="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public’s reaction to our press releases, other public announcements and filings with the SEC;</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rumors and market speculation involving us or other companies in our industry;</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actual or anticipated changes in our results of operations or fluctuations in our results of operations;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our competitors’ businesses or the competitive landscape generally;</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litigation involving us, our industry, or both, or investigations by regulators into our operations or those of our competitors;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developments or disputes concerning our intellectual property or other proprietary rights;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announced or completed acquisitions of businesses, products, services or technologies by us or our competitors;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new laws or regulations or new interpretations of existing laws or regulations applicable to our business;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accounting standards, policies, guidelines, interpretations or principles;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significant change in our management;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general economic conditions and slow or negative growth of our markets.</w:t>
      </w:r>
    </w:p>
    <w:p>
      <w:pPr>
        <w:spacing w:after="0" w:line="238"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09" w:lineRule="exact"/>
        <w:rPr>
          <w:sz w:val="20"/>
          <w:szCs w:val="20"/>
          <w:color w:val="auto"/>
        </w:rPr>
      </w:pPr>
    </w:p>
    <w:p>
      <w:pPr>
        <w:jc w:val="both"/>
        <w:ind w:left="180" w:right="40"/>
        <w:spacing w:after="0" w:line="263" w:lineRule="auto"/>
        <w:rPr>
          <w:sz w:val="20"/>
          <w:szCs w:val="20"/>
          <w:color w:val="auto"/>
        </w:rPr>
      </w:pPr>
      <w:r>
        <w:rPr>
          <w:rFonts w:ascii="Arial" w:cs="Arial" w:eastAsia="Arial" w:hAnsi="Arial"/>
          <w:sz w:val="19"/>
          <w:szCs w:val="19"/>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80"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offering in this initial public offering, has one vote per share. Stockholders who hold shares of Class B common stock, including our executive officers, employees and directors and</w:t>
      </w:r>
    </w:p>
    <w:p>
      <w:pPr>
        <w:ind w:left="180" w:right="40"/>
        <w:spacing w:after="0" w:line="264" w:lineRule="auto"/>
        <w:rPr>
          <w:sz w:val="20"/>
          <w:szCs w:val="20"/>
          <w:color w:val="auto"/>
        </w:rPr>
      </w:pPr>
      <w:r>
        <w:rPr>
          <w:rFonts w:ascii="Arial" w:cs="Arial" w:eastAsia="Arial" w:hAnsi="Arial"/>
          <w:sz w:val="18"/>
          <w:szCs w:val="18"/>
          <w:color w:val="auto"/>
        </w:rPr>
        <w:t>their affiliates, will together hold approximately % of the voting power of our outstanding capital stock following the completion of this offering. Our directors, executive officers and 5% stockholders and their respective affiliates will together hold approximately % of the voting power of our outstanding capital stock following the completion of this offering. Our founder, President and Chief Executive Officer, Eric S. Yuan, will hold approximately % of our outstanding capital stock but will control approximately % of the voting power of our outstanding capital stock</w:t>
      </w:r>
    </w:p>
    <w:p>
      <w:pPr>
        <w:spacing w:after="0" w:line="2" w:lineRule="exact"/>
        <w:rPr>
          <w:sz w:val="20"/>
          <w:szCs w:val="20"/>
          <w:color w:val="auto"/>
        </w:rPr>
      </w:pPr>
    </w:p>
    <w:p>
      <w:pPr>
        <w:ind w:left="180" w:right="40"/>
        <w:spacing w:after="0" w:line="269" w:lineRule="auto"/>
        <w:rPr>
          <w:sz w:val="20"/>
          <w:szCs w:val="20"/>
          <w:color w:val="auto"/>
        </w:rPr>
      </w:pPr>
      <w:r>
        <w:rPr>
          <w:rFonts w:ascii="Arial" w:cs="Arial" w:eastAsia="Arial" w:hAnsi="Arial"/>
          <w:sz w:val="18"/>
          <w:szCs w:val="18"/>
          <w:color w:val="auto"/>
        </w:rPr>
        <w:t>following the completion of this offering. Therefore, these holders will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Mr. Yuan is no longer providing services to us or his employment is terminated for cause, (iii) the date specified by the holders of a majority of the then outstanding shares of Class B common stock, voting as a separate class, and (iv) the 15-year anniversary of our proposed initial public offering.</w:t>
      </w:r>
    </w:p>
    <w:p>
      <w:pPr>
        <w:spacing w:after="0" w:line="192"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40</w:t>
      </w:r>
    </w:p>
    <w:p>
      <w:pPr>
        <w:sectPr>
          <w:pgSz w:w="12240" w:h="15840" w:orient="portrait"/>
          <w:cols w:equalWidth="0" w:num="1">
            <w:col w:w="11720"/>
          </w:cols>
          <w:pgMar w:left="120" w:top="336" w:right="400" w:bottom="1440" w:gutter="0" w:footer="0" w:header="0"/>
        </w:sectPr>
      </w:pPr>
    </w:p>
    <w:bookmarkStart w:id="45" w:name="page46"/>
    <w:bookmarkEnd w:id="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firstLine="465"/>
        <w:spacing w:after="0" w:line="254" w:lineRule="auto"/>
        <w:rPr>
          <w:sz w:val="20"/>
          <w:szCs w:val="20"/>
          <w:color w:val="auto"/>
        </w:rPr>
      </w:pPr>
      <w:r>
        <w:rPr>
          <w:rFonts w:ascii="Arial" w:cs="Arial" w:eastAsia="Arial" w:hAnsi="Arial"/>
          <w:sz w:val="19"/>
          <w:szCs w:val="19"/>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207"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you purchase our Class A common stock in this offering, you will incur immediate and substantial dilution in the book value of your investment.</w:t>
      </w:r>
    </w:p>
    <w:p>
      <w:pPr>
        <w:spacing w:after="0" w:line="158" w:lineRule="exact"/>
        <w:rPr>
          <w:sz w:val="20"/>
          <w:szCs w:val="20"/>
          <w:color w:val="auto"/>
        </w:rPr>
      </w:pPr>
    </w:p>
    <w:p>
      <w:pPr>
        <w:ind w:left="180" w:right="60" w:firstLine="465"/>
        <w:spacing w:after="0" w:line="288"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w:t>
      </w:r>
    </w:p>
    <w:p>
      <w:pPr>
        <w:ind w:left="180" w:right="40"/>
        <w:spacing w:after="0" w:line="264" w:lineRule="auto"/>
        <w:rPr>
          <w:sz w:val="20"/>
          <w:szCs w:val="20"/>
          <w:color w:val="auto"/>
        </w:rPr>
      </w:pPr>
      <w:r>
        <w:rPr>
          <w:rFonts w:ascii="Arial" w:cs="Arial" w:eastAsia="Arial" w:hAnsi="Arial"/>
          <w:sz w:val="18"/>
          <w:szCs w:val="18"/>
          <w:color w:val="auto"/>
        </w:rPr>
        <w:t>common stock in this offering at the initial public offering price of $ per share, the midpoint of the price range set forth on the cover of this prospectus, you will experience immediate dilution of $ per share, the difference between the price per share you pay for our Class A common stock and its pro forma net tangible book value per share as of , after giving effect to the issuance of shares of our Class A common stock in</w:t>
      </w:r>
    </w:p>
    <w:p>
      <w:pPr>
        <w:spacing w:after="0" w:line="1" w:lineRule="exact"/>
        <w:rPr>
          <w:sz w:val="20"/>
          <w:szCs w:val="20"/>
          <w:color w:val="auto"/>
        </w:rPr>
      </w:pPr>
    </w:p>
    <w:p>
      <w:pPr>
        <w:ind w:left="180" w:right="40"/>
        <w:spacing w:after="0" w:line="253" w:lineRule="auto"/>
        <w:rPr>
          <w:sz w:val="20"/>
          <w:szCs w:val="20"/>
          <w:color w:val="auto"/>
        </w:rPr>
      </w:pPr>
      <w:r>
        <w:rPr>
          <w:rFonts w:ascii="Arial" w:cs="Arial" w:eastAsia="Arial" w:hAnsi="Arial"/>
          <w:sz w:val="19"/>
          <w:szCs w:val="19"/>
          <w:color w:val="auto"/>
        </w:rPr>
        <w:t>this offering.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318" w:lineRule="exact"/>
        <w:rPr>
          <w:sz w:val="20"/>
          <w:szCs w:val="20"/>
          <w:color w:val="auto"/>
        </w:rPr>
      </w:pPr>
    </w:p>
    <w:p>
      <w:pPr>
        <w:ind w:left="180" w:right="100"/>
        <w:spacing w:after="0" w:line="275" w:lineRule="auto"/>
        <w:rPr>
          <w:sz w:val="20"/>
          <w:szCs w:val="20"/>
          <w:color w:val="auto"/>
        </w:rPr>
      </w:pPr>
      <w:r>
        <w:rPr>
          <w:rFonts w:ascii="Arial" w:cs="Arial" w:eastAsia="Arial" w:hAnsi="Arial"/>
          <w:sz w:val="19"/>
          <w:szCs w:val="19"/>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7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318" w:lineRule="exact"/>
        <w:rPr>
          <w:sz w:val="20"/>
          <w:szCs w:val="20"/>
          <w:color w:val="auto"/>
        </w:rPr>
      </w:pPr>
    </w:p>
    <w:p>
      <w:pPr>
        <w:ind w:left="180" w:right="460"/>
        <w:spacing w:after="0" w:line="275" w:lineRule="auto"/>
        <w:rPr>
          <w:sz w:val="20"/>
          <w:szCs w:val="20"/>
          <w:color w:val="auto"/>
        </w:rPr>
      </w:pPr>
      <w:r>
        <w:rPr>
          <w:rFonts w:ascii="Arial" w:cs="Arial" w:eastAsia="Arial" w:hAnsi="Arial"/>
          <w:sz w:val="19"/>
          <w:szCs w:val="19"/>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70"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We cannot specify with any certainty the particular uses of the net proceeds that we will receive from this offering. Our management will have broad discretion over the use of net proceeds from this offering, including</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41</w:t>
      </w:r>
    </w:p>
    <w:p>
      <w:pPr>
        <w:sectPr>
          <w:pgSz w:w="12240" w:h="15840" w:orient="portrait"/>
          <w:cols w:equalWidth="0" w:num="1">
            <w:col w:w="11800"/>
          </w:cols>
          <w:pgMar w:left="120" w:top="336" w:right="320" w:bottom="1440" w:gutter="0" w:footer="0" w:header="0"/>
        </w:sectPr>
      </w:pPr>
    </w:p>
    <w:bookmarkStart w:id="46" w:name="page47"/>
    <w:bookmarkEnd w:id="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256" w:lineRule="auto"/>
        <w:rPr>
          <w:sz w:val="20"/>
          <w:szCs w:val="20"/>
          <w:color w:val="auto"/>
        </w:rPr>
      </w:pPr>
      <w:r>
        <w:rPr>
          <w:rFonts w:ascii="Arial" w:cs="Arial" w:eastAsia="Arial" w:hAnsi="Arial"/>
          <w:sz w:val="19"/>
          <w:szCs w:val="19"/>
          <w:color w:val="auto"/>
        </w:rPr>
        <w:t>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318" w:lineRule="exact"/>
        <w:rPr>
          <w:sz w:val="20"/>
          <w:szCs w:val="20"/>
          <w:color w:val="auto"/>
        </w:rPr>
      </w:pPr>
    </w:p>
    <w:p>
      <w:pPr>
        <w:ind w:left="180" w:right="360"/>
        <w:spacing w:after="0" w:line="275" w:lineRule="auto"/>
        <w:rPr>
          <w:sz w:val="20"/>
          <w:szCs w:val="20"/>
          <w:color w:val="auto"/>
        </w:rPr>
      </w:pPr>
      <w:r>
        <w:rPr>
          <w:rFonts w:ascii="Arial" w:cs="Arial" w:eastAsia="Arial" w:hAnsi="Arial"/>
          <w:sz w:val="19"/>
          <w:szCs w:val="19"/>
          <w:b w:val="1"/>
          <w:bCs w:val="1"/>
          <w:i w:val="1"/>
          <w:iCs w:val="1"/>
          <w:color w:val="auto"/>
        </w:rPr>
        <w:t>Substantial future sales of shares of our Class A common stock and Class B common stock could cause the market price of our Class A common stock to decline.</w:t>
      </w:r>
    </w:p>
    <w:p>
      <w:pPr>
        <w:spacing w:after="0" w:line="70" w:lineRule="exact"/>
        <w:rPr>
          <w:sz w:val="20"/>
          <w:szCs w:val="20"/>
          <w:color w:val="auto"/>
        </w:rPr>
      </w:pPr>
    </w:p>
    <w:p>
      <w:pPr>
        <w:ind w:left="180" w:right="120" w:firstLine="465"/>
        <w:spacing w:after="0" w:line="277" w:lineRule="auto"/>
        <w:rPr>
          <w:sz w:val="20"/>
          <w:szCs w:val="20"/>
          <w:color w:val="auto"/>
        </w:rPr>
      </w:pPr>
      <w:r>
        <w:rPr>
          <w:rFonts w:ascii="Arial" w:cs="Arial" w:eastAsia="Arial" w:hAnsi="Arial"/>
          <w:sz w:val="18"/>
          <w:szCs w:val="18"/>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85"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Based on shares outstanding as of December 31, 2018, upon the completion of this offering, we will have outstanding a total of shares of Class A common stock and shares of Class B common stock, assuming no exercise of the underwriters’ option to purchase additional shares and no exercise of outstanding options, after giving effect to the conversion of all outstanding shares of our preferred stock into shares of Class B common stock immediately upon the completion of this offering and after giving effect to the conversion of shares of Class B common stock</w:t>
      </w:r>
    </w:p>
    <w:p>
      <w:pPr>
        <w:spacing w:after="0" w:line="1" w:lineRule="exact"/>
        <w:rPr>
          <w:sz w:val="20"/>
          <w:szCs w:val="20"/>
          <w:color w:val="auto"/>
        </w:rPr>
      </w:pPr>
    </w:p>
    <w:p>
      <w:pPr>
        <w:ind w:left="180" w:right="40"/>
        <w:spacing w:after="0" w:line="186" w:lineRule="auto"/>
        <w:rPr>
          <w:sz w:val="20"/>
          <w:szCs w:val="20"/>
          <w:color w:val="auto"/>
        </w:rPr>
      </w:pPr>
      <w:r>
        <w:rPr>
          <w:rFonts w:ascii="Arial" w:cs="Arial" w:eastAsia="Arial" w:hAnsi="Arial"/>
          <w:sz w:val="17"/>
          <w:szCs w:val="17"/>
          <w:color w:val="auto"/>
        </w:rPr>
        <w:t>into Class A common stock upon the sale of such shares by the selling stockholders.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subject to specified exceptions. We refer to such period as the lock-up period. We and the underwriters may permit certain stockholders who are subject to these market standoff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right="240"/>
        <w:spacing w:after="0" w:line="272" w:lineRule="auto"/>
        <w:rPr>
          <w:sz w:val="20"/>
          <w:szCs w:val="20"/>
          <w:color w:val="auto"/>
        </w:rPr>
      </w:pPr>
      <w:r>
        <w:rPr>
          <w:rFonts w:ascii="Arial" w:cs="Arial" w:eastAsia="Arial" w:hAnsi="Arial"/>
          <w:sz w:val="18"/>
          <w:szCs w:val="18"/>
          <w:color w:val="auto"/>
        </w:rPr>
        <w:t>or lock-up agreements to sell shares prior to the expiration of the lock-up period. After the end of the lock-up period, all shares of Class B common stock outstanding as of December 31, 2018 will become eligible for sale, of which shares held by directors, executive officers and</w:t>
      </w:r>
    </w:p>
    <w:p>
      <w:pPr>
        <w:ind w:left="180" w:right="540"/>
        <w:spacing w:after="0" w:line="261" w:lineRule="auto"/>
        <w:rPr>
          <w:sz w:val="20"/>
          <w:szCs w:val="20"/>
          <w:color w:val="auto"/>
        </w:rPr>
      </w:pPr>
      <w:r>
        <w:rPr>
          <w:rFonts w:ascii="Arial" w:cs="Arial" w:eastAsia="Arial" w:hAnsi="Arial"/>
          <w:sz w:val="19"/>
          <w:szCs w:val="19"/>
          <w:color w:val="auto"/>
        </w:rPr>
        <w:t>other affiliates will be subject to volume limitations under Rule 144 under the Securities Act of 1933, as amended (the Securities Act) and various vesting agreements.</w:t>
      </w:r>
    </w:p>
    <w:p>
      <w:pPr>
        <w:spacing w:after="0" w:line="196"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In addition, as of December 31, 2018, there were 34,763,488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20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42</w:t>
      </w:r>
    </w:p>
    <w:p>
      <w:pPr>
        <w:sectPr>
          <w:pgSz w:w="12240" w:h="15840" w:orient="portrait"/>
          <w:cols w:equalWidth="0" w:num="1">
            <w:col w:w="11820"/>
          </w:cols>
          <w:pgMar w:left="120" w:top="336" w:right="300" w:bottom="1440" w:gutter="0" w:footer="0" w:header="0"/>
        </w:sectPr>
      </w:pPr>
    </w:p>
    <w:bookmarkStart w:id="47" w:name="page48"/>
    <w:bookmarkEnd w:id="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60"/>
        <w:spacing w:after="0" w:line="37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ind w:left="180" w:right="20" w:firstLine="465"/>
        <w:spacing w:after="0" w:line="304" w:lineRule="auto"/>
        <w:rPr>
          <w:sz w:val="20"/>
          <w:szCs w:val="20"/>
          <w:color w:val="auto"/>
        </w:rPr>
      </w:pPr>
      <w:r>
        <w:rPr>
          <w:rFonts w:ascii="Arial" w:cs="Arial" w:eastAsia="Arial" w:hAnsi="Arial"/>
          <w:sz w:val="18"/>
          <w:szCs w:val="18"/>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charter documents will also contain other provisions that could have an anti-takeover effect, such as:</w:t>
      </w:r>
    </w:p>
    <w:p>
      <w:pPr>
        <w:spacing w:after="0" w:line="138" w:lineRule="exact"/>
        <w:rPr>
          <w:sz w:val="20"/>
          <w:szCs w:val="20"/>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establishing a classified board of directors so that not all members of our board of directors are elected at one time;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permitting the board of directors to establish the number of directors and fill any vacancies and newly created directorships;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providing that directors may only be removed for cause;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prohibiting cumulative voting for directors;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requiring super-majority voting to amend some provisions in our certificate of incorporation and bylaws;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our board of directors could use to implement a stockholder rights plan;</w:t>
      </w:r>
    </w:p>
    <w:p>
      <w:pPr>
        <w:spacing w:after="0" w:line="149" w:lineRule="exact"/>
        <w:rPr>
          <w:rFonts w:ascii="Arial" w:cs="Arial" w:eastAsia="Arial" w:hAnsi="Arial"/>
          <w:sz w:val="18"/>
          <w:szCs w:val="18"/>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eliminating the ability of stockholders to call special meetings of stockholders;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 and</w:t>
      </w:r>
    </w:p>
    <w:p>
      <w:pPr>
        <w:spacing w:after="0" w:line="161" w:lineRule="exact"/>
        <w:rPr>
          <w:rFonts w:ascii="Arial" w:cs="Arial" w:eastAsia="Arial" w:hAnsi="Arial"/>
          <w:sz w:val="17"/>
          <w:szCs w:val="17"/>
          <w:color w:val="auto"/>
        </w:rPr>
      </w:pPr>
    </w:p>
    <w:p>
      <w:pPr>
        <w:ind w:left="1100" w:hanging="464"/>
        <w:spacing w:after="0"/>
        <w:tabs>
          <w:tab w:leader="none" w:pos="11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our dual class common stock structure as described above.</w:t>
      </w:r>
    </w:p>
    <w:p>
      <w:pPr>
        <w:spacing w:after="0" w:line="23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304" w:lineRule="exact"/>
        <w:rPr>
          <w:sz w:val="20"/>
          <w:szCs w:val="20"/>
          <w:color w:val="auto"/>
        </w:rPr>
      </w:pPr>
    </w:p>
    <w:p>
      <w:pPr>
        <w:jc w:val="both"/>
        <w:ind w:left="180" w:right="40"/>
        <w:spacing w:after="0" w:line="335"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28"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43</w:t>
      </w:r>
    </w:p>
    <w:p>
      <w:pPr>
        <w:sectPr>
          <w:pgSz w:w="12240" w:h="15840" w:orient="portrait"/>
          <w:cols w:equalWidth="0" w:num="1">
            <w:col w:w="11780"/>
          </w:cols>
          <w:pgMar w:left="120" w:top="336" w:right="340" w:bottom="1440" w:gutter="0" w:footer="0" w:header="0"/>
        </w:sectPr>
      </w:pPr>
    </w:p>
    <w:bookmarkStart w:id="48" w:name="page49"/>
    <w:bookmarkEnd w:id="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63" w:lineRule="auto"/>
        <w:rPr>
          <w:sz w:val="20"/>
          <w:szCs w:val="20"/>
          <w:color w:val="auto"/>
        </w:rPr>
      </w:pPr>
      <w:r>
        <w:rPr>
          <w:rFonts w:ascii="Arial" w:cs="Arial" w:eastAsia="Arial" w:hAnsi="Arial"/>
          <w:sz w:val="19"/>
          <w:szCs w:val="19"/>
          <w:color w:val="auto"/>
        </w:rPr>
        <w:t>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9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308" w:lineRule="exact"/>
        <w:rPr>
          <w:sz w:val="20"/>
          <w:szCs w:val="20"/>
          <w:color w:val="auto"/>
        </w:rPr>
      </w:pPr>
    </w:p>
    <w:p>
      <w:pPr>
        <w:ind w:left="180" w:right="520"/>
        <w:spacing w:after="0" w:line="275" w:lineRule="auto"/>
        <w:rPr>
          <w:sz w:val="20"/>
          <w:szCs w:val="20"/>
          <w:color w:val="auto"/>
        </w:rPr>
      </w:pPr>
      <w:r>
        <w:rPr>
          <w:rFonts w:ascii="Arial" w:cs="Arial" w:eastAsia="Arial" w:hAnsi="Arial"/>
          <w:sz w:val="19"/>
          <w:szCs w:val="19"/>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7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18" w:lineRule="exact"/>
        <w:rPr>
          <w:sz w:val="20"/>
          <w:szCs w:val="20"/>
          <w:color w:val="auto"/>
        </w:rPr>
      </w:pPr>
    </w:p>
    <w:p>
      <w:pPr>
        <w:ind w:left="180" w:right="60"/>
        <w:spacing w:after="0" w:line="275" w:lineRule="auto"/>
        <w:rPr>
          <w:sz w:val="20"/>
          <w:szCs w:val="20"/>
          <w:color w:val="auto"/>
        </w:rPr>
      </w:pPr>
      <w:r>
        <w:rPr>
          <w:rFonts w:ascii="Arial" w:cs="Arial" w:eastAsia="Arial" w:hAnsi="Arial"/>
          <w:sz w:val="19"/>
          <w:szCs w:val="19"/>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70"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91"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44</w:t>
      </w:r>
    </w:p>
    <w:p>
      <w:pPr>
        <w:sectPr>
          <w:pgSz w:w="12240" w:h="15840" w:orient="portrait"/>
          <w:cols w:equalWidth="0" w:num="1">
            <w:col w:w="11800"/>
          </w:cols>
          <w:pgMar w:left="120" w:top="336" w:right="320" w:bottom="1440" w:gutter="0" w:footer="0" w:header="0"/>
        </w:sectPr>
      </w:pPr>
    </w:p>
    <w:bookmarkStart w:id="49" w:name="page50"/>
    <w:bookmarkEnd w:id="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720"/>
        <w:spacing w:after="0" w:line="275" w:lineRule="auto"/>
        <w:rPr>
          <w:sz w:val="20"/>
          <w:szCs w:val="20"/>
          <w:color w:val="auto"/>
        </w:rPr>
      </w:pPr>
      <w:r>
        <w:rPr>
          <w:rFonts w:ascii="Arial" w:cs="Arial" w:eastAsia="Arial" w:hAnsi="Arial"/>
          <w:sz w:val="19"/>
          <w:szCs w:val="19"/>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70" w:lineRule="exact"/>
        <w:rPr>
          <w:sz w:val="20"/>
          <w:szCs w:val="20"/>
          <w:color w:val="auto"/>
        </w:rPr>
      </w:pPr>
    </w:p>
    <w:p>
      <w:pPr>
        <w:ind w:left="180" w:right="40" w:firstLine="465"/>
        <w:spacing w:after="0" w:line="282" w:lineRule="auto"/>
        <w:rPr>
          <w:sz w:val="20"/>
          <w:szCs w:val="20"/>
          <w:color w:val="auto"/>
        </w:rPr>
      </w:pPr>
      <w:r>
        <w:rPr>
          <w:rFonts w:ascii="Arial" w:cs="Arial" w:eastAsia="Arial" w:hAnsi="Arial"/>
          <w:sz w:val="17"/>
          <w:szCs w:val="17"/>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180" w:right="200" w:hanging="1"/>
        <w:spacing w:after="0" w:line="254" w:lineRule="auto"/>
        <w:tabs>
          <w:tab w:leader="none" w:pos="4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do not intend to pay dividends for the foreseeable future.</w:t>
      </w:r>
    </w:p>
    <w:p>
      <w:pPr>
        <w:spacing w:after="0" w:line="124" w:lineRule="exact"/>
        <w:rPr>
          <w:sz w:val="20"/>
          <w:szCs w:val="20"/>
          <w:color w:val="auto"/>
        </w:rPr>
      </w:pPr>
    </w:p>
    <w:p>
      <w:pPr>
        <w:jc w:val="both"/>
        <w:ind w:left="180" w:firstLine="465"/>
        <w:spacing w:after="0" w:line="30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45</w:t>
      </w:r>
    </w:p>
    <w:p>
      <w:pPr>
        <w:sectPr>
          <w:pgSz w:w="12240" w:h="15840" w:orient="portrait"/>
          <w:cols w:equalWidth="0" w:num="1">
            <w:col w:w="11800"/>
          </w:cols>
          <w:pgMar w:left="120" w:top="336" w:right="320" w:bottom="1440" w:gutter="0" w:footer="0" w:header="0"/>
        </w:sectPr>
      </w:pPr>
    </w:p>
    <w:bookmarkStart w:id="50" w:name="page51"/>
    <w:bookmarkEnd w:id="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44"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90"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8" w:lineRule="exact"/>
        <w:rPr>
          <w:sz w:val="20"/>
          <w:szCs w:val="20"/>
          <w:color w:val="auto"/>
        </w:rPr>
      </w:pPr>
    </w:p>
    <w:p>
      <w:pPr>
        <w:ind w:left="180" w:right="40" w:firstLine="465"/>
        <w:spacing w:after="0" w:line="298"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70" w:lineRule="exact"/>
        <w:rPr>
          <w:sz w:val="20"/>
          <w:szCs w:val="20"/>
          <w:color w:val="auto"/>
        </w:rPr>
      </w:pPr>
    </w:p>
    <w:p>
      <w:pPr>
        <w:ind w:left="180" w:right="260" w:firstLine="465"/>
        <w:spacing w:after="0" w:line="294" w:lineRule="auto"/>
        <w:rPr>
          <w:sz w:val="20"/>
          <w:szCs w:val="20"/>
          <w:color w:val="auto"/>
        </w:rPr>
      </w:pPr>
      <w:r>
        <w:rPr>
          <w:rFonts w:ascii="Arial" w:cs="Arial" w:eastAsia="Arial" w:hAnsi="Arial"/>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46</w:t>
      </w:r>
    </w:p>
    <w:p>
      <w:pPr>
        <w:sectPr>
          <w:pgSz w:w="12240" w:h="15840" w:orient="portrait"/>
          <w:cols w:equalWidth="0" w:num="1">
            <w:col w:w="11820"/>
          </w:cols>
          <w:pgMar w:left="120" w:top="336" w:right="300" w:bottom="1440" w:gutter="0" w:footer="0" w:header="0"/>
        </w:sectPr>
      </w:pPr>
    </w:p>
    <w:bookmarkStart w:id="51" w:name="page52"/>
    <w:bookmarkEnd w:id="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MARKET AND INDUSTRY DATA</w:t>
      </w:r>
    </w:p>
    <w:p>
      <w:pPr>
        <w:spacing w:after="0" w:line="24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20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Certain information in the text of this prospectus is contained in independent industry publications. The source of these independent industry publications is provided below:</w:t>
      </w:r>
    </w:p>
    <w:p>
      <w:pPr>
        <w:spacing w:after="0" w:line="84" w:lineRule="exact"/>
        <w:rPr>
          <w:sz w:val="20"/>
          <w:szCs w:val="20"/>
          <w:color w:val="auto"/>
        </w:rPr>
      </w:pPr>
    </w:p>
    <w:p>
      <w:pPr>
        <w:ind w:left="1100" w:right="180" w:hanging="464"/>
        <w:spacing w:after="0" w:line="275" w:lineRule="auto"/>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Forbes Media LLC, </w:t>
      </w:r>
      <w:r>
        <w:rPr>
          <w:rFonts w:ascii="Arial" w:cs="Arial" w:eastAsia="Arial" w:hAnsi="Arial"/>
          <w:sz w:val="19"/>
          <w:szCs w:val="19"/>
          <w:i w:val="1"/>
          <w:iCs w:val="1"/>
          <w:color w:val="auto"/>
        </w:rPr>
        <w:t>The Connected Culture: Unleashing the Power of Video in Everyday Collaboration</w:t>
      </w:r>
      <w:r>
        <w:rPr>
          <w:rFonts w:ascii="Arial" w:cs="Arial" w:eastAsia="Arial" w:hAnsi="Arial"/>
          <w:sz w:val="19"/>
          <w:szCs w:val="19"/>
          <w:color w:val="auto"/>
        </w:rPr>
        <w:t>, October 30, 2017 (commissioned by us).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G2 Crowd, </w:t>
      </w:r>
      <w:r>
        <w:rPr>
          <w:rFonts w:ascii="Arial" w:cs="Arial" w:eastAsia="Arial" w:hAnsi="Arial"/>
          <w:sz w:val="19"/>
          <w:szCs w:val="19"/>
          <w:i w:val="1"/>
          <w:iCs w:val="1"/>
          <w:color w:val="auto"/>
        </w:rPr>
        <w:t>2018 Momentum Report for Video Conferencing</w:t>
      </w:r>
      <w:r>
        <w:rPr>
          <w:rFonts w:ascii="Arial" w:cs="Arial" w:eastAsia="Arial" w:hAnsi="Arial"/>
          <w:sz w:val="19"/>
          <w:szCs w:val="19"/>
          <w:color w:val="auto"/>
        </w:rPr>
        <w:t>, 2018.</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Gartner, </w:t>
      </w:r>
      <w:r>
        <w:rPr>
          <w:rFonts w:ascii="Arial" w:cs="Arial" w:eastAsia="Arial" w:hAnsi="Arial"/>
          <w:sz w:val="19"/>
          <w:szCs w:val="19"/>
          <w:i w:val="1"/>
          <w:iCs w:val="1"/>
          <w:color w:val="auto"/>
        </w:rPr>
        <w:t>Magic Quadrant for Meeting Solutions</w:t>
      </w:r>
      <w:r>
        <w:rPr>
          <w:rFonts w:ascii="Arial" w:cs="Arial" w:eastAsia="Arial" w:hAnsi="Arial"/>
          <w:sz w:val="19"/>
          <w:szCs w:val="19"/>
          <w:color w:val="auto"/>
        </w:rPr>
        <w:t>, September 4, 2018.</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Gartner Peer Insights: https://www.gartner.com/reviews/market/meeting-solutions-web-conferencing/vendor/zoom.</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International Data Corporation (IDC), </w:t>
      </w:r>
      <w:r>
        <w:rPr>
          <w:rFonts w:ascii="Arial" w:cs="Arial" w:eastAsia="Arial" w:hAnsi="Arial"/>
          <w:sz w:val="19"/>
          <w:szCs w:val="19"/>
          <w:i w:val="1"/>
          <w:iCs w:val="1"/>
          <w:color w:val="auto"/>
        </w:rPr>
        <w:t>Worldwide Unified Communications and Collaboration Forecast, 2018-2022</w:t>
      </w:r>
      <w:r>
        <w:rPr>
          <w:rFonts w:ascii="Arial" w:cs="Arial" w:eastAsia="Arial" w:hAnsi="Arial"/>
          <w:sz w:val="19"/>
          <w:szCs w:val="19"/>
          <w:color w:val="auto"/>
        </w:rPr>
        <w:t>, May 2018.</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Salesforce Research, </w:t>
      </w:r>
      <w:r>
        <w:rPr>
          <w:rFonts w:ascii="Arial" w:cs="Arial" w:eastAsia="Arial" w:hAnsi="Arial"/>
          <w:sz w:val="19"/>
          <w:szCs w:val="19"/>
          <w:i w:val="1"/>
          <w:iCs w:val="1"/>
          <w:color w:val="auto"/>
        </w:rPr>
        <w:t>State of IT</w:t>
      </w:r>
      <w:r>
        <w:rPr>
          <w:rFonts w:ascii="Arial" w:cs="Arial" w:eastAsia="Arial" w:hAnsi="Arial"/>
          <w:sz w:val="19"/>
          <w:szCs w:val="19"/>
          <w:color w:val="auto"/>
        </w:rPr>
        <w:t>, April 26, 2017.</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TrustRadius, </w:t>
      </w:r>
      <w:r>
        <w:rPr>
          <w:rFonts w:ascii="Arial" w:cs="Arial" w:eastAsia="Arial" w:hAnsi="Arial"/>
          <w:sz w:val="19"/>
          <w:szCs w:val="19"/>
          <w:i w:val="1"/>
          <w:iCs w:val="1"/>
          <w:color w:val="auto"/>
        </w:rPr>
        <w:t>Announcing the Top Rated Web Conferencing Software for 2019</w:t>
      </w:r>
      <w:r>
        <w:rPr>
          <w:rFonts w:ascii="Arial" w:cs="Arial" w:eastAsia="Arial" w:hAnsi="Arial"/>
          <w:sz w:val="19"/>
          <w:szCs w:val="19"/>
          <w:color w:val="auto"/>
        </w:rPr>
        <w:t>, February 6, 2019.</w:t>
      </w:r>
    </w:p>
    <w:p>
      <w:pPr>
        <w:spacing w:after="0" w:line="238" w:lineRule="exact"/>
        <w:rPr>
          <w:sz w:val="20"/>
          <w:szCs w:val="20"/>
          <w:color w:val="auto"/>
        </w:rPr>
      </w:pPr>
    </w:p>
    <w:p>
      <w:pPr>
        <w:ind w:left="180" w:right="200" w:firstLine="465"/>
        <w:spacing w:after="0" w:line="308" w:lineRule="auto"/>
        <w:rPr>
          <w:sz w:val="20"/>
          <w:szCs w:val="20"/>
          <w:color w:val="auto"/>
        </w:rPr>
      </w:pPr>
      <w:r>
        <w:rPr>
          <w:rFonts w:ascii="Arial" w:cs="Arial" w:eastAsia="Arial" w:hAnsi="Arial"/>
          <w:sz w:val="17"/>
          <w:szCs w:val="17"/>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60"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98" w:lineRule="exact"/>
        <w:rPr>
          <w:sz w:val="20"/>
          <w:szCs w:val="20"/>
          <w:color w:val="auto"/>
        </w:rPr>
      </w:pPr>
    </w:p>
    <w:p>
      <w:pPr>
        <w:ind w:left="180" w:right="380" w:firstLine="465"/>
        <w:spacing w:after="0" w:line="304" w:lineRule="auto"/>
        <w:rPr>
          <w:sz w:val="20"/>
          <w:szCs w:val="20"/>
          <w:color w:val="auto"/>
        </w:rPr>
      </w:pPr>
      <w:r>
        <w:rPr>
          <w:rFonts w:ascii="Arial" w:cs="Arial" w:eastAsia="Arial" w:hAnsi="Arial"/>
          <w:sz w:val="18"/>
          <w:szCs w:val="18"/>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60"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47</w:t>
      </w:r>
    </w:p>
    <w:p>
      <w:pPr>
        <w:sectPr>
          <w:pgSz w:w="12240" w:h="15840" w:orient="portrait"/>
          <w:cols w:equalWidth="0" w:num="1">
            <w:col w:w="11780"/>
          </w:cols>
          <w:pgMar w:left="120" w:top="336" w:right="3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7220" w:type="dxa"/>
            <w:vAlign w:val="bottom"/>
            <w:gridSpan w:val="2"/>
          </w:tcPr>
          <w:p>
            <w:pPr>
              <w:spacing w:after="0"/>
              <w:rPr>
                <w:rFonts w:ascii="Arial" w:cs="Arial" w:eastAsia="Arial" w:hAnsi="Arial"/>
                <w:sz w:val="19"/>
                <w:szCs w:val="19"/>
                <w:b w:val="1"/>
                <w:bCs w:val="1"/>
                <w:color w:val="0000EE"/>
              </w:rPr>
            </w:pPr>
            <w:hyperlink w:anchor="page4">
              <w:r>
                <w:rPr>
                  <w:rFonts w:ascii="Arial" w:cs="Arial" w:eastAsia="Arial" w:hAnsi="Arial"/>
                  <w:sz w:val="19"/>
                  <w:szCs w:val="19"/>
                  <w:b w:val="1"/>
                  <w:bCs w:val="1"/>
                  <w:color w:val="0000EE"/>
                </w:rPr>
                <w:t>Table of Contents</w:t>
              </w:r>
            </w:hyperlink>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564"/>
        </w:trPr>
        <w:tc>
          <w:tcPr>
            <w:tcW w:w="1420" w:type="dxa"/>
            <w:vAlign w:val="bottom"/>
            <w:tcBorders>
              <w:top w:val="single" w:sz="8" w:color="0000EE"/>
            </w:tcBorders>
          </w:tcPr>
          <w:p>
            <w:pPr>
              <w:spacing w:after="0"/>
              <w:rPr>
                <w:sz w:val="24"/>
                <w:szCs w:val="24"/>
                <w:color w:val="auto"/>
              </w:rPr>
            </w:pPr>
          </w:p>
        </w:tc>
        <w:tc>
          <w:tcPr>
            <w:tcW w:w="5800" w:type="dxa"/>
            <w:vAlign w:val="bottom"/>
          </w:tcPr>
          <w:p>
            <w:pPr>
              <w:ind w:left="3700"/>
              <w:spacing w:after="0"/>
              <w:rPr>
                <w:sz w:val="20"/>
                <w:szCs w:val="20"/>
                <w:color w:val="auto"/>
              </w:rPr>
            </w:pPr>
            <w:r>
              <w:rPr>
                <w:rFonts w:ascii="Arial" w:cs="Arial" w:eastAsia="Arial" w:hAnsi="Arial"/>
                <w:sz w:val="19"/>
                <w:szCs w:val="19"/>
                <w:b w:val="1"/>
                <w:bCs w:val="1"/>
                <w:color w:val="auto"/>
              </w:rPr>
              <w:t>USE OF PROCEEDS</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3"/>
        </w:trPr>
        <w:tc>
          <w:tcPr>
            <w:tcW w:w="7220" w:type="dxa"/>
            <w:vAlign w:val="bottom"/>
            <w:gridSpan w:val="2"/>
          </w:tcPr>
          <w:p>
            <w:pPr>
              <w:ind w:left="640"/>
              <w:spacing w:after="0"/>
              <w:rPr>
                <w:sz w:val="20"/>
                <w:szCs w:val="20"/>
                <w:color w:val="auto"/>
              </w:rPr>
            </w:pPr>
            <w:r>
              <w:rPr>
                <w:rFonts w:ascii="Arial" w:cs="Arial" w:eastAsia="Arial" w:hAnsi="Arial"/>
                <w:sz w:val="19"/>
                <w:szCs w:val="19"/>
                <w:color w:val="auto"/>
                <w:w w:val="94"/>
              </w:rPr>
              <w:t>We estimate that we will receive net proceeds from this offering of approximately $</w:t>
            </w:r>
          </w:p>
        </w:tc>
        <w:tc>
          <w:tcPr>
            <w:tcW w:w="2540" w:type="dxa"/>
            <w:vAlign w:val="bottom"/>
            <w:gridSpan w:val="2"/>
          </w:tcPr>
          <w:p>
            <w:pPr>
              <w:ind w:left="220"/>
              <w:spacing w:after="0"/>
              <w:rPr>
                <w:sz w:val="20"/>
                <w:szCs w:val="20"/>
                <w:color w:val="auto"/>
              </w:rPr>
            </w:pPr>
            <w:r>
              <w:rPr>
                <w:rFonts w:ascii="Arial" w:cs="Arial" w:eastAsia="Arial" w:hAnsi="Arial"/>
                <w:sz w:val="19"/>
                <w:szCs w:val="19"/>
                <w:color w:val="auto"/>
              </w:rPr>
              <w:t>million (or approximately $</w:t>
            </w:r>
          </w:p>
        </w:tc>
        <w:tc>
          <w:tcPr>
            <w:tcW w:w="1980" w:type="dxa"/>
            <w:vAlign w:val="bottom"/>
          </w:tcPr>
          <w:p>
            <w:pPr>
              <w:ind w:left="200"/>
              <w:spacing w:after="0"/>
              <w:rPr>
                <w:sz w:val="20"/>
                <w:szCs w:val="20"/>
                <w:color w:val="auto"/>
              </w:rPr>
            </w:pPr>
            <w:r>
              <w:rPr>
                <w:rFonts w:ascii="Arial" w:cs="Arial" w:eastAsia="Arial" w:hAnsi="Arial"/>
                <w:sz w:val="19"/>
                <w:szCs w:val="19"/>
                <w:color w:val="auto"/>
              </w:rPr>
              <w:t>million if the</w:t>
            </w:r>
          </w:p>
        </w:tc>
      </w:tr>
      <w:tr>
        <w:trPr>
          <w:trHeight w:val="241"/>
        </w:trPr>
        <w:tc>
          <w:tcPr>
            <w:tcW w:w="8780" w:type="dxa"/>
            <w:vAlign w:val="bottom"/>
            <w:gridSpan w:val="3"/>
          </w:tcPr>
          <w:p>
            <w:pPr>
              <w:ind w:left="180"/>
              <w:spacing w:after="0"/>
              <w:rPr>
                <w:sz w:val="20"/>
                <w:szCs w:val="20"/>
                <w:color w:val="auto"/>
              </w:rPr>
            </w:pPr>
            <w:r>
              <w:rPr>
                <w:rFonts w:ascii="Arial" w:cs="Arial" w:eastAsia="Arial" w:hAnsi="Arial"/>
                <w:sz w:val="19"/>
                <w:szCs w:val="19"/>
                <w:color w:val="auto"/>
                <w:w w:val="94"/>
              </w:rPr>
              <w:t>underwriters exercise their over-allotment option in full) based on an assumed initial public offering price of $</w:t>
            </w:r>
          </w:p>
        </w:tc>
        <w:tc>
          <w:tcPr>
            <w:tcW w:w="2960" w:type="dxa"/>
            <w:vAlign w:val="bottom"/>
            <w:gridSpan w:val="2"/>
          </w:tcPr>
          <w:p>
            <w:pPr>
              <w:ind w:left="220"/>
              <w:spacing w:after="0"/>
              <w:rPr>
                <w:sz w:val="20"/>
                <w:szCs w:val="20"/>
                <w:color w:val="auto"/>
              </w:rPr>
            </w:pPr>
            <w:r>
              <w:rPr>
                <w:rFonts w:ascii="Arial" w:cs="Arial" w:eastAsia="Arial" w:hAnsi="Arial"/>
                <w:sz w:val="19"/>
                <w:szCs w:val="19"/>
                <w:color w:val="auto"/>
                <w:w w:val="89"/>
              </w:rPr>
              <w:t>per share of Class A common stock,</w:t>
            </w:r>
          </w:p>
        </w:tc>
      </w:tr>
    </w:tbl>
    <w:p>
      <w:pPr>
        <w:ind w:left="180" w:right="380"/>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the midpoint of the estimated price range set forth on the cover page of this prospectus, after deducting estimated underwriting discounts and commissions and estimated offering expenses. We will not receive any proceeds from the sale of shares of our Class A common stock by the selling stockholders.</w:t>
      </w:r>
    </w:p>
    <w:p>
      <w:pPr>
        <w:spacing w:after="0" w:line="203"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 this</w:t>
      </w:r>
    </w:p>
    <w:p>
      <w:pPr>
        <w:ind w:left="180" w:right="80"/>
        <w:spacing w:after="0" w:line="278" w:lineRule="auto"/>
        <w:rPr>
          <w:sz w:val="20"/>
          <w:szCs w:val="20"/>
          <w:color w:val="auto"/>
        </w:rPr>
      </w:pPr>
      <w:r>
        <w:rPr>
          <w:rFonts w:ascii="Arial" w:cs="Arial" w:eastAsia="Arial" w:hAnsi="Arial"/>
          <w:sz w:val="17"/>
          <w:szCs w:val="17"/>
          <w:color w:val="auto"/>
        </w:rPr>
        <w:t>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right="300"/>
        <w:spacing w:after="0" w:line="275" w:lineRule="auto"/>
        <w:rPr>
          <w:sz w:val="20"/>
          <w:szCs w:val="20"/>
          <w:color w:val="auto"/>
        </w:rPr>
      </w:pPr>
      <w:r>
        <w:rPr>
          <w:rFonts w:ascii="Arial" w:cs="Arial" w:eastAsia="Arial" w:hAnsi="Arial"/>
          <w:sz w:val="19"/>
          <w:szCs w:val="19"/>
          <w:color w:val="auto"/>
        </w:rPr>
        <w:t>approximately $ million, assuming the assumed initial public offering price of $ per share of Class A common stock remains the same, and after deducting estimated underwriting discounts and commissions.</w:t>
      </w:r>
    </w:p>
    <w:p>
      <w:pPr>
        <w:spacing w:after="0" w:line="184" w:lineRule="exact"/>
        <w:rPr>
          <w:sz w:val="20"/>
          <w:szCs w:val="20"/>
          <w:color w:val="auto"/>
        </w:rPr>
      </w:pPr>
    </w:p>
    <w:p>
      <w:pPr>
        <w:ind w:left="180" w:right="160" w:firstLine="465"/>
        <w:spacing w:after="0" w:line="271"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create a public market for our Class A common stock.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that are not used as described above in investment-grade, interest-bearing instruments.</w:t>
      </w: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DIVIDEND POLICY</w:t>
      </w:r>
    </w:p>
    <w:p>
      <w:pPr>
        <w:spacing w:after="0" w:line="244"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48</w:t>
      </w:r>
    </w:p>
    <w:p>
      <w:pPr>
        <w:sectPr>
          <w:pgSz w:w="12240" w:h="15840" w:orient="portrait"/>
          <w:cols w:equalWidth="0" w:num="1">
            <w:col w:w="11800"/>
          </w:cols>
          <w:pgMar w:left="120" w:top="323" w:right="320" w:bottom="1440" w:gutter="0" w:footer="0" w:header="0"/>
        </w:sectPr>
      </w:pPr>
    </w:p>
    <w:bookmarkStart w:id="53" w:name="page54"/>
    <w:bookmarkEnd w:id="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CAPITALIZATION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cash equivalents and marketable securities and our capitalization as of January 31, 2018 as follows:</w:t>
      </w:r>
    </w:p>
    <w:p>
      <w:pPr>
        <w:spacing w:after="0" w:line="150" w:lineRule="exact"/>
        <w:rPr>
          <w:sz w:val="20"/>
          <w:szCs w:val="20"/>
          <w:color w:val="auto"/>
        </w:rPr>
      </w:pPr>
    </w:p>
    <w:p>
      <w:pPr>
        <w:ind w:left="1100" w:hanging="464"/>
        <w:spacing w:after="0"/>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on an actual basis;</w:t>
      </w:r>
    </w:p>
    <w:p>
      <w:pPr>
        <w:spacing w:after="0" w:line="138" w:lineRule="exact"/>
        <w:rPr>
          <w:rFonts w:ascii="Arial" w:cs="Arial" w:eastAsia="Arial" w:hAnsi="Arial"/>
          <w:sz w:val="19"/>
          <w:szCs w:val="19"/>
          <w:color w:val="auto"/>
        </w:rPr>
      </w:pPr>
    </w:p>
    <w:p>
      <w:pPr>
        <w:ind w:left="1100" w:right="20" w:hanging="464"/>
        <w:spacing w:after="0" w:line="256" w:lineRule="auto"/>
        <w:tabs>
          <w:tab w:leader="none" w:pos="11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on a pro forma basis to reflect (1) the reclassification of all outstanding shares of our common stock into an equivalent number of shares of our Class B common stock, which occurred on November 13, 2018, as if such reclassification had occurred on January 31, 2018, (2) the automatic conversion of all outstanding shares of our convertible preferred stock as of January 31, 2018 into 152,665,804 shares of Class B common stock immediately prior to the completion of this offering and (3) the filing of our amended and restated certificate of incorporation immediately prior to the completion of this offering; and</w:t>
      </w:r>
    </w:p>
    <w:p>
      <w:pPr>
        <w:spacing w:after="0" w:line="103" w:lineRule="exact"/>
        <w:rPr>
          <w:rFonts w:ascii="Arial" w:cs="Arial" w:eastAsia="Arial" w:hAnsi="Arial"/>
          <w:sz w:val="19"/>
          <w:szCs w:val="19"/>
          <w:color w:val="auto"/>
        </w:rPr>
      </w:pPr>
    </w:p>
    <w:p>
      <w:pPr>
        <w:ind w:left="1100" w:hanging="464"/>
        <w:spacing w:after="0"/>
        <w:tabs>
          <w:tab w:leader="none" w:pos="11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(1) the pro forma items described immediately above, (2) our issuance and sale of</w:t>
      </w:r>
    </w:p>
    <w:p>
      <w:pPr>
        <w:sectPr>
          <w:pgSz w:w="12240" w:h="15840" w:orient="portrait"/>
          <w:cols w:equalWidth="0" w:num="1">
            <w:col w:w="11820"/>
          </w:cols>
          <w:pgMar w:left="120" w:top="336" w:right="300" w:bottom="1440" w:gutter="0" w:footer="0" w:header="0"/>
        </w:sectPr>
      </w:pPr>
    </w:p>
    <w:p>
      <w:pPr>
        <w:spacing w:after="0" w:line="46" w:lineRule="exact"/>
        <w:rPr>
          <w:sz w:val="20"/>
          <w:szCs w:val="20"/>
          <w:color w:val="auto"/>
        </w:rPr>
      </w:pPr>
    </w:p>
    <w:p>
      <w:pPr>
        <w:ind w:left="1100" w:right="120" w:firstLine="618"/>
        <w:spacing w:after="0" w:line="270" w:lineRule="auto"/>
        <w:rPr>
          <w:sz w:val="20"/>
          <w:szCs w:val="20"/>
          <w:color w:val="auto"/>
        </w:rPr>
      </w:pPr>
      <w:r>
        <w:rPr>
          <w:rFonts w:ascii="Arial" w:cs="Arial" w:eastAsia="Arial" w:hAnsi="Arial"/>
          <w:sz w:val="18"/>
          <w:szCs w:val="18"/>
          <w:color w:val="auto"/>
        </w:rPr>
        <w:t>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 and (3) the issuance of shares of Class A common stock upon conversion of outstanding convertible promissory notes at an assumed initial public offering price of $ per share, the midpoint of the price range set forth on the cover page of this prospectus, in the principal amount of $15.0 million upon the completion of this offering.</w:t>
      </w:r>
    </w:p>
    <w:p>
      <w:pPr>
        <w:sectPr>
          <w:pgSz w:w="12240" w:h="15840" w:orient="portrait"/>
          <w:cols w:equalWidth="0" w:num="1">
            <w:col w:w="11820"/>
          </w:cols>
          <w:pgMar w:left="120" w:top="336" w:right="300" w:bottom="1440" w:gutter="0" w:footer="0" w:header="0"/>
          <w:type w:val="continuous"/>
        </w:sectPr>
      </w:pPr>
    </w:p>
    <w:p>
      <w:pPr>
        <w:spacing w:after="0" w:line="192" w:lineRule="exact"/>
        <w:rPr>
          <w:sz w:val="20"/>
          <w:szCs w:val="20"/>
          <w:color w:val="auto"/>
        </w:rPr>
      </w:pPr>
    </w:p>
    <w:p>
      <w:pPr>
        <w:ind w:left="180" w:right="160" w:firstLine="465"/>
        <w:spacing w:after="0" w:line="298" w:lineRule="auto"/>
        <w:rPr>
          <w:sz w:val="20"/>
          <w:szCs w:val="20"/>
          <w:color w:val="auto"/>
        </w:rPr>
      </w:pPr>
      <w:r>
        <w:rPr>
          <w:rFonts w:ascii="Arial" w:cs="Arial" w:eastAsia="Arial" w:hAnsi="Arial"/>
          <w:sz w:val="17"/>
          <w:szCs w:val="17"/>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6"/>
          </w:tcPr>
          <w:p>
            <w:pPr>
              <w:jc w:val="center"/>
              <w:ind w:right="980"/>
              <w:spacing w:after="0"/>
              <w:rPr>
                <w:sz w:val="20"/>
                <w:szCs w:val="20"/>
                <w:color w:val="auto"/>
              </w:rPr>
            </w:pPr>
            <w:r>
              <w:rPr>
                <w:rFonts w:ascii="Arial" w:cs="Arial" w:eastAsia="Arial" w:hAnsi="Arial"/>
                <w:sz w:val="15"/>
                <w:szCs w:val="15"/>
                <w:b w:val="1"/>
                <w:bCs w:val="1"/>
                <w:color w:val="auto"/>
                <w:w w:val="91"/>
              </w:rPr>
              <w:t>As of January 31, 2018</w:t>
            </w:r>
          </w:p>
        </w:tc>
        <w:tc>
          <w:tcPr>
            <w:tcW w:w="0" w:type="dxa"/>
            <w:vAlign w:val="bottom"/>
          </w:tcPr>
          <w:p>
            <w:pPr>
              <w:spacing w:after="0"/>
              <w:rPr>
                <w:sz w:val="1"/>
                <w:szCs w:val="1"/>
                <w:color w:val="auto"/>
              </w:rPr>
            </w:pPr>
          </w:p>
        </w:tc>
      </w:tr>
      <w:tr>
        <w:trPr>
          <w:trHeight w:val="128"/>
        </w:trPr>
        <w:tc>
          <w:tcPr>
            <w:tcW w:w="1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8"/>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5"/>
                <w:szCs w:val="15"/>
                <w:b w:val="1"/>
                <w:bCs w:val="1"/>
                <w:color w:val="auto"/>
              </w:rPr>
              <w:t>Actual</w:t>
            </w:r>
          </w:p>
        </w:tc>
        <w:tc>
          <w:tcPr>
            <w:tcW w:w="2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5"/>
              </w:rPr>
              <w:t>Pro Forma</w:t>
            </w:r>
          </w:p>
        </w:tc>
        <w:tc>
          <w:tcPr>
            <w:tcW w:w="200" w:type="dxa"/>
            <w:vAlign w:val="bottom"/>
          </w:tcPr>
          <w:p>
            <w:pPr>
              <w:spacing w:after="0"/>
              <w:rPr>
                <w:sz w:val="15"/>
                <w:szCs w:val="15"/>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auto"/>
            </w:tcBorders>
            <w:gridSpan w:val="7"/>
          </w:tcPr>
          <w:p>
            <w:pPr>
              <w:jc w:val="center"/>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8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Cash, cash equivalents and marketable securities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$ 139,202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$ 139,202</w:t>
            </w:r>
          </w:p>
        </w:tc>
        <w:tc>
          <w:tcPr>
            <w:tcW w:w="1420" w:type="dxa"/>
            <w:vAlign w:val="bottom"/>
            <w:gridSpan w:val="2"/>
            <w:shd w:val="clear" w:color="auto" w:fill="CCEEFF"/>
          </w:tcPr>
          <w:p>
            <w:pPr>
              <w:jc w:val="right"/>
              <w:ind w:right="1047"/>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gridSpan w:val="3"/>
            <w:vMerge w:val="restart"/>
          </w:tcPr>
          <w:p>
            <w:pPr>
              <w:spacing w:after="0"/>
              <w:rPr>
                <w:sz w:val="20"/>
                <w:szCs w:val="20"/>
                <w:color w:val="auto"/>
              </w:rPr>
            </w:pPr>
            <w:r>
              <w:rPr>
                <w:rFonts w:ascii="Arial" w:cs="Arial" w:eastAsia="Arial" w:hAnsi="Arial"/>
                <w:sz w:val="19"/>
                <w:szCs w:val="19"/>
                <w:color w:val="auto"/>
                <w:w w:val="91"/>
              </w:rPr>
              <w:t>Convertible preferred stock, $0.001 par value per share; 158,104,540 shares authorized; 152,665,804</w:t>
            </w: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gridSpan w:val="3"/>
          </w:tcPr>
          <w:p>
            <w:pPr>
              <w:ind w:left="180"/>
              <w:spacing w:after="0"/>
              <w:rPr>
                <w:sz w:val="20"/>
                <w:szCs w:val="20"/>
                <w:color w:val="auto"/>
              </w:rPr>
            </w:pPr>
            <w:r>
              <w:rPr>
                <w:rFonts w:ascii="Arial" w:cs="Arial" w:eastAsia="Arial" w:hAnsi="Arial"/>
                <w:sz w:val="19"/>
                <w:szCs w:val="19"/>
                <w:color w:val="auto"/>
                <w:w w:val="90"/>
              </w:rPr>
              <w:t>shares issued and outstanding, actual; no shares authorized, issued and outstanding, pro forma and</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00" w:type="dxa"/>
            <w:vAlign w:val="bottom"/>
            <w:gridSpan w:val="2"/>
          </w:tcPr>
          <w:p>
            <w:pPr>
              <w:ind w:left="180"/>
              <w:spacing w:after="0"/>
              <w:rPr>
                <w:sz w:val="20"/>
                <w:szCs w:val="20"/>
                <w:color w:val="auto"/>
              </w:rPr>
            </w:pPr>
            <w:r>
              <w:rPr>
                <w:rFonts w:ascii="Arial" w:cs="Arial" w:eastAsia="Arial" w:hAnsi="Arial"/>
                <w:sz w:val="19"/>
                <w:szCs w:val="19"/>
                <w:color w:val="auto"/>
              </w:rPr>
              <w:t>pro forma as adjusted</w:t>
            </w:r>
          </w:p>
        </w:tc>
        <w:tc>
          <w:tcPr>
            <w:tcW w:w="49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9"/>
                <w:szCs w:val="19"/>
                <w:color w:val="auto"/>
              </w:rPr>
              <w:t>159,552</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spacing w:after="0"/>
              <w:rPr>
                <w:sz w:val="20"/>
                <w:szCs w:val="20"/>
                <w:color w:val="auto"/>
              </w:rPr>
            </w:pPr>
            <w:r>
              <w:rPr>
                <w:rFonts w:ascii="Arial" w:cs="Arial" w:eastAsia="Arial" w:hAnsi="Arial"/>
                <w:sz w:val="19"/>
                <w:szCs w:val="19"/>
                <w:color w:val="auto"/>
                <w:w w:val="96"/>
              </w:rPr>
              <w:t>Stockholders’ deficit:</w:t>
            </w:r>
          </w:p>
        </w:tc>
        <w:tc>
          <w:tcPr>
            <w:tcW w:w="120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40" w:type="dxa"/>
            <w:vAlign w:val="bottom"/>
            <w:gridSpan w:val="3"/>
          </w:tcPr>
          <w:p>
            <w:pPr>
              <w:ind w:left="380"/>
              <w:spacing w:after="0" w:line="214" w:lineRule="exact"/>
              <w:rPr>
                <w:sz w:val="20"/>
                <w:szCs w:val="20"/>
                <w:color w:val="auto"/>
              </w:rPr>
            </w:pPr>
            <w:r>
              <w:rPr>
                <w:rFonts w:ascii="Arial" w:cs="Arial" w:eastAsia="Arial" w:hAnsi="Arial"/>
                <w:sz w:val="19"/>
                <w:szCs w:val="19"/>
                <w:color w:val="auto"/>
                <w:w w:val="91"/>
              </w:rPr>
              <w:t>Preferred stock, $0.001 par value per share: no shares authorized, issued or outstanding, actual;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gridSpan w:val="3"/>
          </w:tcPr>
          <w:p>
            <w:pPr>
              <w:ind w:left="1180"/>
              <w:spacing w:after="0"/>
              <w:rPr>
                <w:sz w:val="20"/>
                <w:szCs w:val="20"/>
                <w:color w:val="auto"/>
              </w:rPr>
            </w:pPr>
            <w:r>
              <w:rPr>
                <w:rFonts w:ascii="Arial" w:cs="Arial" w:eastAsia="Arial" w:hAnsi="Arial"/>
                <w:sz w:val="19"/>
                <w:szCs w:val="19"/>
                <w:color w:val="auto"/>
                <w:w w:val="92"/>
              </w:rPr>
              <w:t>shares authorized and no shares issued and outstanding, pro forma and pro forma as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00" w:type="dxa"/>
            <w:vAlign w:val="bottom"/>
          </w:tcPr>
          <w:p>
            <w:pPr>
              <w:ind w:left="580"/>
              <w:spacing w:after="0"/>
              <w:rPr>
                <w:sz w:val="20"/>
                <w:szCs w:val="20"/>
                <w:color w:val="auto"/>
              </w:rPr>
            </w:pPr>
            <w:r>
              <w:rPr>
                <w:rFonts w:ascii="Arial" w:cs="Arial" w:eastAsia="Arial" w:hAnsi="Arial"/>
                <w:sz w:val="19"/>
                <w:szCs w:val="19"/>
                <w:color w:val="auto"/>
              </w:rPr>
              <w:t>adjusted</w:t>
            </w:r>
          </w:p>
        </w:tc>
        <w:tc>
          <w:tcPr>
            <w:tcW w:w="120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840" w:type="dxa"/>
            <w:vAlign w:val="bottom"/>
            <w:gridSpan w:val="3"/>
            <w:shd w:val="clear" w:color="auto" w:fill="CCEEFF"/>
          </w:tcPr>
          <w:p>
            <w:pPr>
              <w:ind w:left="380"/>
              <w:spacing w:after="0" w:line="214" w:lineRule="exact"/>
              <w:rPr>
                <w:sz w:val="20"/>
                <w:szCs w:val="20"/>
                <w:color w:val="auto"/>
              </w:rPr>
            </w:pPr>
            <w:r>
              <w:rPr>
                <w:rFonts w:ascii="Arial" w:cs="Arial" w:eastAsia="Arial" w:hAnsi="Arial"/>
                <w:sz w:val="19"/>
                <w:szCs w:val="19"/>
                <w:color w:val="auto"/>
                <w:w w:val="92"/>
              </w:rPr>
              <w:t>Common stock, $0.001 par value per share, 320,000,000 shares authorized, 82,609,638 shares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40" w:type="dxa"/>
            <w:vAlign w:val="bottom"/>
            <w:gridSpan w:val="3"/>
            <w:shd w:val="clear" w:color="auto" w:fill="CCEEFF"/>
          </w:tcPr>
          <w:p>
            <w:pPr>
              <w:ind w:left="580"/>
              <w:spacing w:after="0"/>
              <w:rPr>
                <w:sz w:val="20"/>
                <w:szCs w:val="20"/>
                <w:color w:val="auto"/>
              </w:rPr>
            </w:pPr>
            <w:r>
              <w:rPr>
                <w:rFonts w:ascii="Arial" w:cs="Arial" w:eastAsia="Arial" w:hAnsi="Arial"/>
                <w:sz w:val="19"/>
                <w:szCs w:val="19"/>
                <w:color w:val="auto"/>
                <w:w w:val="91"/>
              </w:rPr>
              <w:t>issued and outstanding, actual; no shares issued and outstanding, pro forma and pro forma as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00" w:type="dxa"/>
            <w:vAlign w:val="bottom"/>
            <w:shd w:val="clear" w:color="auto" w:fill="CCEEFF"/>
          </w:tcPr>
          <w:p>
            <w:pPr>
              <w:ind w:left="580"/>
              <w:spacing w:after="0"/>
              <w:rPr>
                <w:sz w:val="20"/>
                <w:szCs w:val="20"/>
                <w:color w:val="auto"/>
              </w:rPr>
            </w:pPr>
            <w:r>
              <w:rPr>
                <w:rFonts w:ascii="Arial" w:cs="Arial" w:eastAsia="Arial" w:hAnsi="Arial"/>
                <w:sz w:val="19"/>
                <w:szCs w:val="19"/>
                <w:color w:val="auto"/>
              </w:rPr>
              <w:t>adjusted</w:t>
            </w:r>
          </w:p>
        </w:tc>
        <w:tc>
          <w:tcPr>
            <w:tcW w:w="1200" w:type="dxa"/>
            <w:vAlign w:val="bottom"/>
            <w:shd w:val="clear" w:color="auto" w:fill="CCEEFF"/>
          </w:tcPr>
          <w:p>
            <w:pPr>
              <w:spacing w:after="0"/>
              <w:rPr>
                <w:sz w:val="21"/>
                <w:szCs w:val="21"/>
                <w:color w:val="auto"/>
              </w:rPr>
            </w:pPr>
          </w:p>
        </w:tc>
        <w:tc>
          <w:tcPr>
            <w:tcW w:w="49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80</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840" w:type="dxa"/>
            <w:vAlign w:val="bottom"/>
            <w:gridSpan w:val="3"/>
          </w:tcPr>
          <w:p>
            <w:pPr>
              <w:ind w:left="380"/>
              <w:spacing w:after="0" w:line="214" w:lineRule="exact"/>
              <w:rPr>
                <w:sz w:val="20"/>
                <w:szCs w:val="20"/>
                <w:color w:val="auto"/>
              </w:rPr>
            </w:pPr>
            <w:r>
              <w:rPr>
                <w:rFonts w:ascii="Arial" w:cs="Arial" w:eastAsia="Arial" w:hAnsi="Arial"/>
                <w:sz w:val="19"/>
                <w:szCs w:val="19"/>
                <w:color w:val="auto"/>
                <w:w w:val="91"/>
              </w:rPr>
              <w:t>Class A common stock, $0.001 par value per share; no shares authorized, issued or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580"/>
              <w:spacing w:after="0"/>
              <w:rPr>
                <w:sz w:val="20"/>
                <w:szCs w:val="20"/>
                <w:color w:val="auto"/>
              </w:rPr>
            </w:pPr>
            <w:r>
              <w:rPr>
                <w:rFonts w:ascii="Arial" w:cs="Arial" w:eastAsia="Arial" w:hAnsi="Arial"/>
                <w:sz w:val="19"/>
                <w:szCs w:val="19"/>
                <w:color w:val="auto"/>
              </w:rPr>
              <w:t>actual;</w:t>
            </w:r>
          </w:p>
        </w:tc>
        <w:tc>
          <w:tcPr>
            <w:tcW w:w="6140" w:type="dxa"/>
            <w:vAlign w:val="bottom"/>
            <w:gridSpan w:val="2"/>
          </w:tcPr>
          <w:p>
            <w:pPr>
              <w:jc w:val="right"/>
              <w:ind w:right="1185"/>
              <w:spacing w:after="0"/>
              <w:rPr>
                <w:sz w:val="20"/>
                <w:szCs w:val="20"/>
                <w:color w:val="auto"/>
              </w:rPr>
            </w:pPr>
            <w:r>
              <w:rPr>
                <w:rFonts w:ascii="Arial" w:cs="Arial" w:eastAsia="Arial" w:hAnsi="Arial"/>
                <w:sz w:val="19"/>
                <w:szCs w:val="19"/>
                <w:color w:val="auto"/>
                <w:w w:val="89"/>
              </w:rPr>
              <w:t>shares authorized, no shares issued and outstanding, pro forma;</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00" w:type="dxa"/>
            <w:vAlign w:val="bottom"/>
            <w:gridSpan w:val="2"/>
          </w:tcPr>
          <w:p>
            <w:pPr>
              <w:ind w:left="1180"/>
              <w:spacing w:after="0"/>
              <w:rPr>
                <w:sz w:val="20"/>
                <w:szCs w:val="20"/>
                <w:color w:val="auto"/>
              </w:rPr>
            </w:pPr>
            <w:r>
              <w:rPr>
                <w:rFonts w:ascii="Arial" w:cs="Arial" w:eastAsia="Arial" w:hAnsi="Arial"/>
                <w:sz w:val="19"/>
                <w:szCs w:val="19"/>
                <w:color w:val="auto"/>
              </w:rPr>
              <w:t>shares authorized,</w:t>
            </w:r>
          </w:p>
        </w:tc>
        <w:tc>
          <w:tcPr>
            <w:tcW w:w="4940" w:type="dxa"/>
            <w:vAlign w:val="bottom"/>
          </w:tcPr>
          <w:p>
            <w:pPr>
              <w:jc w:val="right"/>
              <w:ind w:right="525"/>
              <w:spacing w:after="0"/>
              <w:rPr>
                <w:sz w:val="20"/>
                <w:szCs w:val="20"/>
                <w:color w:val="auto"/>
              </w:rPr>
            </w:pPr>
            <w:r>
              <w:rPr>
                <w:rFonts w:ascii="Arial" w:cs="Arial" w:eastAsia="Arial" w:hAnsi="Arial"/>
                <w:sz w:val="19"/>
                <w:szCs w:val="19"/>
                <w:color w:val="auto"/>
                <w:w w:val="95"/>
              </w:rPr>
              <w:t>shares issued and outstanding, pro forma as adjusted</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40" w:type="dxa"/>
            <w:vAlign w:val="bottom"/>
          </w:tcPr>
          <w:p>
            <w:pPr>
              <w:jc w:val="right"/>
              <w:ind w:right="1825"/>
              <w:spacing w:after="0"/>
              <w:rPr>
                <w:sz w:val="20"/>
                <w:szCs w:val="20"/>
                <w:color w:val="auto"/>
              </w:rPr>
            </w:pPr>
            <w:r>
              <w:rPr>
                <w:rFonts w:ascii="Arial" w:cs="Arial" w:eastAsia="Arial" w:hAnsi="Arial"/>
                <w:sz w:val="19"/>
                <w:szCs w:val="19"/>
                <w:color w:val="auto"/>
              </w:rPr>
              <w:t>49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type w:val="continuous"/>
        </w:sectPr>
      </w:pPr>
    </w:p>
    <w:bookmarkStart w:id="54" w:name="page55"/>
    <w:bookmarkEnd w:id="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5"/>
                <w:szCs w:val="15"/>
                <w:b w:val="1"/>
                <w:bCs w:val="1"/>
                <w:color w:val="auto"/>
                <w:w w:val="91"/>
              </w:rPr>
              <w:t>As of January 31, 2018</w:t>
            </w: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w w:val="98"/>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Actual</w:t>
            </w:r>
          </w:p>
        </w:tc>
        <w:tc>
          <w:tcPr>
            <w:tcW w:w="2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5"/>
              </w:rPr>
              <w:t>Pro Forma</w:t>
            </w:r>
          </w:p>
        </w:tc>
        <w:tc>
          <w:tcPr>
            <w:tcW w:w="12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6"/>
              </w:rPr>
              <w:t>Adjusted</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640" w:type="dxa"/>
            <w:vAlign w:val="bottom"/>
            <w:tcBorders>
              <w:top w:val="single" w:sz="8" w:color="auto"/>
            </w:tcBorders>
            <w:gridSpan w:val="6"/>
          </w:tcPr>
          <w:p>
            <w:pPr>
              <w:jc w:val="center"/>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940" w:type="dxa"/>
            <w:vAlign w:val="bottom"/>
            <w:gridSpan w:val="3"/>
            <w:shd w:val="clear" w:color="auto" w:fill="CCEEFF"/>
          </w:tcPr>
          <w:p>
            <w:pPr>
              <w:ind w:left="380"/>
              <w:spacing w:after="0" w:line="214" w:lineRule="exact"/>
              <w:rPr>
                <w:sz w:val="20"/>
                <w:szCs w:val="20"/>
                <w:color w:val="auto"/>
              </w:rPr>
            </w:pPr>
            <w:r>
              <w:rPr>
                <w:rFonts w:ascii="Arial" w:cs="Arial" w:eastAsia="Arial" w:hAnsi="Arial"/>
                <w:sz w:val="19"/>
                <w:szCs w:val="19"/>
                <w:color w:val="auto"/>
              </w:rPr>
              <w:t>Class B common stock, $0.001 par value per share, no shares authorized, issued or</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80" w:type="dxa"/>
            <w:vAlign w:val="bottom"/>
            <w:gridSpan w:val="2"/>
            <w:shd w:val="clear" w:color="auto" w:fill="CCEEFF"/>
          </w:tcPr>
          <w:p>
            <w:pPr>
              <w:ind w:left="580"/>
              <w:spacing w:after="0"/>
              <w:rPr>
                <w:sz w:val="20"/>
                <w:szCs w:val="20"/>
                <w:color w:val="auto"/>
              </w:rPr>
            </w:pPr>
            <w:r>
              <w:rPr>
                <w:rFonts w:ascii="Arial" w:cs="Arial" w:eastAsia="Arial" w:hAnsi="Arial"/>
                <w:sz w:val="19"/>
                <w:szCs w:val="19"/>
                <w:color w:val="auto"/>
              </w:rPr>
              <w:t>outstanding, actual;</w:t>
            </w:r>
          </w:p>
        </w:tc>
        <w:tc>
          <w:tcPr>
            <w:tcW w:w="54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7"/>
              </w:rPr>
              <w:t>shares authorized, 235,275,442 shares issued and outstanding,</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40" w:type="dxa"/>
            <w:vAlign w:val="bottom"/>
            <w:gridSpan w:val="3"/>
            <w:shd w:val="clear" w:color="auto" w:fill="CCEEFF"/>
          </w:tcPr>
          <w:p>
            <w:pPr>
              <w:ind w:left="580"/>
              <w:spacing w:after="0"/>
              <w:rPr>
                <w:sz w:val="20"/>
                <w:szCs w:val="20"/>
                <w:color w:val="auto"/>
              </w:rPr>
            </w:pPr>
            <w:r>
              <w:rPr>
                <w:rFonts w:ascii="Arial" w:cs="Arial" w:eastAsia="Arial" w:hAnsi="Arial"/>
                <w:sz w:val="19"/>
                <w:szCs w:val="19"/>
                <w:color w:val="auto"/>
              </w:rPr>
              <w:t>pro forma and pro forma as adjusted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233</w:t>
            </w: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480" w:type="dxa"/>
            <w:vAlign w:val="bottom"/>
            <w:gridSpan w:val="2"/>
          </w:tcPr>
          <w:p>
            <w:pPr>
              <w:spacing w:after="0"/>
              <w:rPr>
                <w:sz w:val="20"/>
                <w:szCs w:val="20"/>
                <w:color w:val="auto"/>
              </w:rPr>
            </w:pPr>
            <w:r>
              <w:rPr>
                <w:rFonts w:ascii="Arial" w:cs="Arial" w:eastAsia="Arial" w:hAnsi="Arial"/>
                <w:sz w:val="19"/>
                <w:szCs w:val="19"/>
                <w:color w:val="auto"/>
              </w:rPr>
              <w:t>Additional paid-in capital</w:t>
            </w:r>
          </w:p>
        </w:tc>
        <w:tc>
          <w:tcPr>
            <w:tcW w:w="5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6,517</w:t>
            </w:r>
          </w:p>
        </w:tc>
        <w:tc>
          <w:tcPr>
            <w:tcW w:w="200" w:type="dxa"/>
            <w:vAlign w:val="bottom"/>
          </w:tcPr>
          <w:p>
            <w:pPr>
              <w:spacing w:after="0"/>
              <w:rPr>
                <w:sz w:val="19"/>
                <w:szCs w:val="19"/>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9"/>
                <w:szCs w:val="19"/>
                <w:color w:val="auto"/>
              </w:rPr>
              <w:t>165,916</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94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Accumulated other comprehensive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(531)</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9"/>
                <w:szCs w:val="19"/>
                <w:color w:val="auto"/>
              </w:rPr>
              <w:t>(531)</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80" w:type="dxa"/>
            <w:vAlign w:val="bottom"/>
            <w:gridSpan w:val="2"/>
          </w:tcPr>
          <w:p>
            <w:pPr>
              <w:spacing w:after="0"/>
              <w:rPr>
                <w:sz w:val="20"/>
                <w:szCs w:val="20"/>
                <w:color w:val="auto"/>
              </w:rPr>
            </w:pPr>
            <w:r>
              <w:rPr>
                <w:rFonts w:ascii="Arial" w:cs="Arial" w:eastAsia="Arial" w:hAnsi="Arial"/>
                <w:sz w:val="19"/>
                <w:szCs w:val="19"/>
                <w:color w:val="auto"/>
              </w:rPr>
              <w:t>Accumulated deficit</w:t>
            </w:r>
          </w:p>
        </w:tc>
        <w:tc>
          <w:tcPr>
            <w:tcW w:w="54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9"/>
                <w:szCs w:val="19"/>
                <w:color w:val="auto"/>
              </w:rPr>
              <w:t>(32,737)</w:t>
            </w:r>
          </w:p>
        </w:tc>
        <w:tc>
          <w:tcPr>
            <w:tcW w:w="1480" w:type="dxa"/>
            <w:vAlign w:val="bottom"/>
            <w:gridSpan w:val="3"/>
          </w:tcPr>
          <w:p>
            <w:pPr>
              <w:jc w:val="right"/>
              <w:ind w:right="400"/>
              <w:spacing w:after="0"/>
              <w:rPr>
                <w:sz w:val="20"/>
                <w:szCs w:val="20"/>
                <w:color w:val="auto"/>
              </w:rPr>
            </w:pPr>
            <w:r>
              <w:rPr>
                <w:rFonts w:ascii="Arial" w:cs="Arial" w:eastAsia="Arial" w:hAnsi="Arial"/>
                <w:sz w:val="19"/>
                <w:szCs w:val="19"/>
                <w:color w:val="auto"/>
              </w:rPr>
              <w:t>(32,737)</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940" w:type="dxa"/>
            <w:vAlign w:val="bottom"/>
            <w:gridSpan w:val="3"/>
            <w:shd w:val="clear" w:color="auto" w:fill="CCEEFF"/>
          </w:tcPr>
          <w:p>
            <w:pPr>
              <w:ind w:left="380"/>
              <w:spacing w:after="0"/>
              <w:rPr>
                <w:sz w:val="20"/>
                <w:szCs w:val="20"/>
                <w:color w:val="auto"/>
              </w:rPr>
            </w:pPr>
            <w:r>
              <w:rPr>
                <w:rFonts w:ascii="Arial" w:cs="Arial" w:eastAsia="Arial" w:hAnsi="Arial"/>
                <w:sz w:val="19"/>
                <w:szCs w:val="19"/>
                <w:color w:val="auto"/>
              </w:rPr>
              <w:t>Total stockholders’ (deficit) equity</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(26,671)</w:t>
            </w:r>
          </w:p>
        </w:tc>
        <w:tc>
          <w:tcPr>
            <w:tcW w:w="148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132,881</w:t>
            </w: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ind w:left="760"/>
              <w:spacing w:after="0"/>
              <w:rPr>
                <w:sz w:val="20"/>
                <w:szCs w:val="20"/>
                <w:color w:val="auto"/>
              </w:rPr>
            </w:pPr>
            <w:r>
              <w:rPr>
                <w:rFonts w:ascii="Arial" w:cs="Arial" w:eastAsia="Arial" w:hAnsi="Arial"/>
                <w:sz w:val="19"/>
                <w:szCs w:val="19"/>
                <w:color w:val="auto"/>
              </w:rPr>
              <w:t>Total capitalization</w:t>
            </w:r>
          </w:p>
        </w:tc>
        <w:tc>
          <w:tcPr>
            <w:tcW w:w="5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80" w:type="dxa"/>
            <w:vAlign w:val="bottom"/>
            <w:gridSpan w:val="2"/>
            <w:vMerge w:val="continue"/>
          </w:tcPr>
          <w:p>
            <w:pPr>
              <w:spacing w:after="0"/>
              <w:rPr>
                <w:sz w:val="20"/>
                <w:szCs w:val="20"/>
                <w:color w:val="auto"/>
              </w:rPr>
            </w:pPr>
          </w:p>
        </w:tc>
        <w:tc>
          <w:tcPr>
            <w:tcW w:w="5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87"/>
              </w:rPr>
              <w:t>$ 132,881</w:t>
            </w:r>
          </w:p>
        </w:tc>
        <w:tc>
          <w:tcPr>
            <w:tcW w:w="200" w:type="dxa"/>
            <w:vAlign w:val="bottom"/>
          </w:tcPr>
          <w:p>
            <w:pPr>
              <w:spacing w:after="0"/>
              <w:rPr>
                <w:sz w:val="20"/>
                <w:szCs w:val="20"/>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9"/>
                <w:szCs w:val="19"/>
                <w:color w:val="auto"/>
              </w:rPr>
              <w:t>$ 132,881</w:t>
            </w:r>
          </w:p>
        </w:tc>
        <w:tc>
          <w:tcPr>
            <w:tcW w:w="1200" w:type="dxa"/>
            <w:vAlign w:val="bottom"/>
          </w:tcPr>
          <w:p>
            <w:pPr>
              <w:jc w:val="right"/>
              <w:ind w:right="1019"/>
              <w:spacing w:after="0"/>
              <w:rPr>
                <w:sz w:val="20"/>
                <w:szCs w:val="20"/>
                <w:color w:val="auto"/>
              </w:rPr>
            </w:pPr>
            <w:r>
              <w:rPr>
                <w:rFonts w:ascii="Arial" w:cs="Arial" w:eastAsia="Arial" w:hAnsi="Arial"/>
                <w:sz w:val="19"/>
                <w:szCs w:val="19"/>
                <w:color w:val="auto"/>
                <w:w w:val="75"/>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60" w:type="dxa"/>
            <w:vAlign w:val="bottom"/>
            <w:tcBorders>
              <w:bottom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right="120" w:hanging="459"/>
        <w:spacing w:after="0" w:line="284" w:lineRule="auto"/>
        <w:tabs>
          <w:tab w:leader="none" w:pos="620" w:val="left"/>
        </w:tabs>
        <w:rPr>
          <w:sz w:val="20"/>
          <w:szCs w:val="20"/>
          <w:color w:val="auto"/>
        </w:rPr>
      </w:pPr>
      <w:r>
        <w:rPr>
          <w:rFonts w:ascii="Arial" w:cs="Arial" w:eastAsia="Arial" w:hAnsi="Arial"/>
          <w:sz w:val="17"/>
          <w:szCs w:val="17"/>
          <w:color w:val="auto"/>
        </w:rPr>
        <w:t>(1)</w:t>
        <w:tab/>
        <w:t>Each $1.00 increase (decrease) in the assumed initial public offering price of $ per share of Class A common stock, the midpoint of the price range set forth on the cover page of this prospectus, would increase (decrease) the pro forma as adjusted amount of each of cash and cash equivalents, marketable securities, total stockholders’ (deficit) equity and total liabilities, convertible preferred stock and stockholders’ (deficit) equity by approximately $ million, assuming that the number of shares offered by us, as set forth on the cover page of this prospectus,</w:t>
      </w:r>
    </w:p>
    <w:p>
      <w:pPr>
        <w:spacing w:after="0" w:line="1" w:lineRule="exact"/>
        <w:rPr>
          <w:sz w:val="20"/>
          <w:szCs w:val="20"/>
          <w:color w:val="auto"/>
        </w:rPr>
      </w:pPr>
    </w:p>
    <w:p>
      <w:pPr>
        <w:ind w:left="640" w:right="80"/>
        <w:spacing w:after="0" w:line="372" w:lineRule="auto"/>
        <w:rPr>
          <w:sz w:val="20"/>
          <w:szCs w:val="20"/>
          <w:color w:val="auto"/>
        </w:rPr>
      </w:pPr>
      <w:r>
        <w:rPr>
          <w:rFonts w:ascii="Arial" w:cs="Arial" w:eastAsia="Arial" w:hAnsi="Arial"/>
          <w:sz w:val="17"/>
          <w:szCs w:val="17"/>
          <w:color w:val="auto"/>
        </w:rPr>
        <w:t>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total stockholders’ (deficit) equity and total liabilities,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right="140"/>
        <w:spacing w:after="0" w:line="275" w:lineRule="auto"/>
        <w:rPr>
          <w:sz w:val="20"/>
          <w:szCs w:val="20"/>
          <w:color w:val="auto"/>
        </w:rPr>
      </w:pPr>
      <w:r>
        <w:rPr>
          <w:rFonts w:ascii="Arial" w:cs="Arial" w:eastAsia="Arial" w:hAnsi="Arial"/>
          <w:sz w:val="19"/>
          <w:szCs w:val="19"/>
          <w:color w:val="auto"/>
        </w:rPr>
        <w:t>stock and stockholders’ (deficit) equity by approximately $ million, assuming the assumed initial public offering price of $ per share of Class A common stock remains the same, and after deducting estimated underwriting discounts and commissions.</w:t>
      </w:r>
    </w:p>
    <w:p>
      <w:pPr>
        <w:spacing w:after="0" w:line="184" w:lineRule="exact"/>
        <w:rPr>
          <w:sz w:val="20"/>
          <w:szCs w:val="20"/>
          <w:color w:val="auto"/>
        </w:rPr>
      </w:pPr>
    </w:p>
    <w:p>
      <w:pPr>
        <w:ind w:left="180" w:right="140" w:firstLine="465"/>
        <w:spacing w:after="0" w:line="336" w:lineRule="auto"/>
        <w:rPr>
          <w:sz w:val="20"/>
          <w:szCs w:val="20"/>
          <w:color w:val="auto"/>
        </w:rPr>
      </w:pPr>
      <w:r>
        <w:rPr>
          <w:rFonts w:ascii="Arial" w:cs="Arial" w:eastAsia="Arial" w:hAnsi="Arial"/>
          <w:sz w:val="17"/>
          <w:szCs w:val="17"/>
          <w:color w:val="auto"/>
        </w:rPr>
        <w:t>The outstanding share information in the table above is based on no shares of our Class A common stock and 235,275,442 shares of our Class B common stock (including preferred stock on an as-converted basis and reclassified as common stock) outstanding as of January 31, 2018 and excludes:</w:t>
      </w:r>
    </w:p>
    <w:p>
      <w:pPr>
        <w:spacing w:after="0" w:line="37" w:lineRule="exact"/>
        <w:rPr>
          <w:sz w:val="20"/>
          <w:szCs w:val="20"/>
          <w:color w:val="auto"/>
        </w:rPr>
      </w:pPr>
    </w:p>
    <w:p>
      <w:pPr>
        <w:ind w:left="1100" w:right="460" w:hanging="464"/>
        <w:spacing w:after="0" w:line="275" w:lineRule="auto"/>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34,170,489 shares of our Class B common stock issuable upon the exercise of options to purchase shares of our Class B common stock outstanding as of January 31, 2018, with a weighted-average exercise price of $0.31 per share;</w:t>
      </w:r>
    </w:p>
    <w:p>
      <w:pPr>
        <w:spacing w:after="0" w:line="84" w:lineRule="exact"/>
        <w:rPr>
          <w:rFonts w:ascii="Arial" w:cs="Arial" w:eastAsia="Arial" w:hAnsi="Arial"/>
          <w:sz w:val="19"/>
          <w:szCs w:val="19"/>
          <w:color w:val="auto"/>
        </w:rPr>
      </w:pPr>
    </w:p>
    <w:p>
      <w:pPr>
        <w:ind w:left="1100" w:right="540" w:hanging="464"/>
        <w:spacing w:after="0" w:line="275" w:lineRule="auto"/>
        <w:tabs>
          <w:tab w:leader="none" w:pos="11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9,192,700 shares of our Class B common stock issuable upon the exercise of options to purchase shares of our Class B common stock granted after January 31, 2018, with a weighted-average exercise price of $4.93 per share;</w:t>
      </w:r>
    </w:p>
    <w:p>
      <w:pPr>
        <w:spacing w:after="0" w:line="84" w:lineRule="exact"/>
        <w:rPr>
          <w:rFonts w:ascii="Arial" w:cs="Arial" w:eastAsia="Arial" w:hAnsi="Arial"/>
          <w:sz w:val="19"/>
          <w:szCs w:val="19"/>
          <w:color w:val="auto"/>
        </w:rPr>
      </w:pPr>
    </w:p>
    <w:p>
      <w:pPr>
        <w:ind w:left="1100" w:right="20" w:hanging="464"/>
        <w:spacing w:after="0" w:line="288" w:lineRule="auto"/>
        <w:tabs>
          <w:tab w:leader="none" w:pos="1718"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shares of our Class A common stock issuable upon the automatic conversion of convertible promissory notes in the principal amount of $15.0 million plus interest in connection with this offering, assuming a conversion date of December 31, 2018 and an assumed initial</w:t>
      </w:r>
    </w:p>
    <w:p>
      <w:pPr>
        <w:ind w:left="1100" w:right="640"/>
        <w:spacing w:after="0" w:line="261" w:lineRule="auto"/>
        <w:rPr>
          <w:rFonts w:ascii="Arial" w:cs="Arial" w:eastAsia="Arial" w:hAnsi="Arial"/>
          <w:sz w:val="17"/>
          <w:szCs w:val="17"/>
          <w:color w:val="auto"/>
        </w:rPr>
      </w:pPr>
      <w:r>
        <w:rPr>
          <w:rFonts w:ascii="Arial" w:cs="Arial" w:eastAsia="Arial" w:hAnsi="Arial"/>
          <w:sz w:val="19"/>
          <w:szCs w:val="19"/>
          <w:color w:val="auto"/>
        </w:rPr>
        <w:t>public offering price of $ per share of Class A common stock, the midpoint of the price range set forth on the cover page of this prospectus;</w:t>
      </w:r>
    </w:p>
    <w:p>
      <w:pPr>
        <w:spacing w:after="0" w:line="96" w:lineRule="exact"/>
        <w:rPr>
          <w:rFonts w:ascii="Arial" w:cs="Arial" w:eastAsia="Arial" w:hAnsi="Arial"/>
          <w:sz w:val="17"/>
          <w:szCs w:val="17"/>
          <w:color w:val="auto"/>
        </w:rPr>
      </w:pPr>
    </w:p>
    <w:p>
      <w:pPr>
        <w:ind w:left="1100" w:right="260" w:hanging="464"/>
        <w:spacing w:after="0" w:line="275" w:lineRule="auto"/>
        <w:tabs>
          <w:tab w:leader="none" w:pos="1718" w:val="left"/>
        </w:tabs>
        <w:numPr>
          <w:ilvl w:val="0"/>
          <w:numId w:val="34"/>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Equity Incentive Plan, which includes an annual evergreen increase and will become effective in connection with this offering; and</w:t>
      </w:r>
    </w:p>
    <w:p>
      <w:pPr>
        <w:spacing w:after="0" w:line="84" w:lineRule="exact"/>
        <w:rPr>
          <w:rFonts w:ascii="Arial" w:cs="Arial" w:eastAsia="Arial" w:hAnsi="Arial"/>
          <w:sz w:val="19"/>
          <w:szCs w:val="19"/>
          <w:color w:val="auto"/>
        </w:rPr>
      </w:pPr>
    </w:p>
    <w:p>
      <w:pPr>
        <w:ind w:left="1100" w:right="80" w:hanging="464"/>
        <w:spacing w:after="0" w:line="275" w:lineRule="auto"/>
        <w:tabs>
          <w:tab w:leader="none" w:pos="1718" w:val="left"/>
        </w:tabs>
        <w:numPr>
          <w:ilvl w:val="0"/>
          <w:numId w:val="34"/>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Employee Stock Purchase Plan, which includes an annual evergreen increase and will become effective in connection with this offering.</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50</w:t>
      </w:r>
    </w:p>
    <w:p>
      <w:pPr>
        <w:sectPr>
          <w:pgSz w:w="12240" w:h="15840" w:orient="portrait"/>
          <w:cols w:equalWidth="0" w:num="1">
            <w:col w:w="11820"/>
          </w:cols>
          <w:pgMar w:left="120" w:top="336" w:right="300" w:bottom="1440" w:gutter="0" w:footer="0" w:header="0"/>
        </w:sectPr>
      </w:pPr>
    </w:p>
    <w:bookmarkStart w:id="55" w:name="page56"/>
    <w:bookmarkEnd w:id="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DILUTION</w:t>
      </w:r>
    </w:p>
    <w:p>
      <w:pPr>
        <w:spacing w:after="0" w:line="24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194" w:lineRule="exact"/>
        <w:rPr>
          <w:sz w:val="20"/>
          <w:szCs w:val="20"/>
          <w:color w:val="auto"/>
        </w:rPr>
      </w:pPr>
    </w:p>
    <w:p>
      <w:pPr>
        <w:jc w:val="both"/>
        <w:ind w:left="180" w:right="280" w:firstLine="465"/>
        <w:spacing w:after="0" w:line="277" w:lineRule="auto"/>
        <w:rPr>
          <w:sz w:val="20"/>
          <w:szCs w:val="20"/>
          <w:color w:val="auto"/>
        </w:rPr>
      </w:pPr>
      <w:r>
        <w:rPr>
          <w:rFonts w:ascii="Arial" w:cs="Arial" w:eastAsia="Arial" w:hAnsi="Arial"/>
          <w:sz w:val="18"/>
          <w:szCs w:val="18"/>
          <w:color w:val="auto"/>
        </w:rPr>
        <w:t>As of January 31, 2018, we had a pro forma net tangible book value (deficit) of $ million, or $ per share. Pro forma net tangible book value per share represents the amount of our total tangible assets less our total liabilities, divided by the number of shares of our Class A and Class B common stock outstanding as of January 31, 2018, after giving effect to the reclassification and automatic conversion of all shares of our convertible preferred stock outstanding as of January 31, 2018 into 152,665,804 shares of our Class B common stock.</w:t>
      </w:r>
    </w:p>
    <w:p>
      <w:pPr>
        <w:spacing w:after="0" w:line="185" w:lineRule="exact"/>
        <w:rPr>
          <w:sz w:val="20"/>
          <w:szCs w:val="20"/>
          <w:color w:val="auto"/>
        </w:rPr>
      </w:pPr>
    </w:p>
    <w:p>
      <w:pPr>
        <w:ind w:left="640"/>
        <w:spacing w:after="0"/>
        <w:tabs>
          <w:tab w:leader="none" w:pos="4280" w:val="left"/>
        </w:tabs>
        <w:rPr>
          <w:sz w:val="20"/>
          <w:szCs w:val="20"/>
          <w:color w:val="auto"/>
        </w:rPr>
      </w:pPr>
      <w:r>
        <w:rPr>
          <w:rFonts w:ascii="Arial" w:cs="Arial" w:eastAsia="Arial" w:hAnsi="Arial"/>
          <w:sz w:val="19"/>
          <w:szCs w:val="19"/>
          <w:color w:val="auto"/>
        </w:rPr>
        <w:t>After giving further effect to the sale of</w:t>
      </w:r>
      <w:r>
        <w:rPr>
          <w:sz w:val="20"/>
          <w:szCs w:val="20"/>
          <w:color w:val="auto"/>
        </w:rPr>
        <w:tab/>
      </w:r>
      <w:r>
        <w:rPr>
          <w:rFonts w:ascii="Arial" w:cs="Arial" w:eastAsia="Arial" w:hAnsi="Arial"/>
          <w:sz w:val="17"/>
          <w:szCs w:val="17"/>
          <w:color w:val="auto"/>
        </w:rPr>
        <w:t>shares of Class A common stock that we are offering at an assumed initial public offering price of</w:t>
      </w:r>
    </w:p>
    <w:p>
      <w:pPr>
        <w:spacing w:after="0" w:line="23" w:lineRule="exact"/>
        <w:rPr>
          <w:sz w:val="20"/>
          <w:szCs w:val="20"/>
          <w:color w:val="auto"/>
        </w:rPr>
      </w:pPr>
    </w:p>
    <w:p>
      <w:pPr>
        <w:ind w:left="700" w:hanging="521"/>
        <w:spacing w:after="0"/>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and after deducting the estimated underwriting discounts</w:t>
      </w:r>
    </w:p>
    <w:p>
      <w:pPr>
        <w:spacing w:after="0" w:line="32"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7"/>
          <w:szCs w:val="17"/>
          <w:color w:val="auto"/>
        </w:rPr>
        <w:t>and commissions and estimated offering expenses payable by us, our pro forma as adjusted net tangible book value as of January 31, 2018 would have</w:t>
      </w:r>
    </w:p>
    <w:p>
      <w:pPr>
        <w:spacing w:after="0" w:line="248" w:lineRule="exact"/>
        <w:rPr>
          <w:sz w:val="20"/>
          <w:szCs w:val="20"/>
          <w:color w:val="auto"/>
        </w:rPr>
      </w:pPr>
    </w:p>
    <w:p>
      <w:pPr>
        <w:ind w:left="180" w:right="140"/>
        <w:spacing w:after="0" w:line="263" w:lineRule="auto"/>
        <w:rPr>
          <w:sz w:val="20"/>
          <w:szCs w:val="20"/>
          <w:color w:val="auto"/>
        </w:rPr>
      </w:pPr>
      <w:r>
        <w:rPr>
          <w:rFonts w:ascii="Arial" w:cs="Arial" w:eastAsia="Arial" w:hAnsi="Arial"/>
          <w:sz w:val="19"/>
          <w:szCs w:val="19"/>
          <w:color w:val="auto"/>
        </w:rPr>
        <w:t>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Class A common stock in this offering.</w:t>
      </w:r>
    </w:p>
    <w:p>
      <w:pPr>
        <w:spacing w:after="0" w:line="19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9"/>
                <w:szCs w:val="19"/>
                <w:color w:val="auto"/>
              </w:rPr>
              <w:t>Assumed initial public offering price per share</w:t>
            </w:r>
          </w:p>
        </w:tc>
        <w:tc>
          <w:tcPr>
            <w:tcW w:w="4820" w:type="dxa"/>
            <w:vAlign w:val="bottom"/>
            <w:gridSpan w:val="4"/>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9"/>
                <w:szCs w:val="19"/>
                <w:color w:val="auto"/>
              </w:rPr>
              <w:t>Pro forma net tangible book value per share as of January 31, 2018</w:t>
            </w:r>
          </w:p>
        </w:tc>
        <w:tc>
          <w:tcPr>
            <w:tcW w:w="3700" w:type="dxa"/>
            <w:vAlign w:val="bottom"/>
            <w:gridSpan w:val="2"/>
          </w:tcPr>
          <w:p>
            <w:pPr>
              <w:jc w:val="right"/>
              <w:ind w:right="640"/>
              <w:spacing w:after="0"/>
              <w:rPr>
                <w:sz w:val="20"/>
                <w:szCs w:val="20"/>
                <w:color w:val="auto"/>
              </w:rPr>
            </w:pPr>
            <w:r>
              <w:rPr>
                <w:rFonts w:ascii="Arial" w:cs="Arial" w:eastAsia="Arial" w:hAnsi="Arial"/>
                <w:sz w:val="19"/>
                <w:szCs w:val="19"/>
                <w:color w:val="auto"/>
              </w:rPr>
              <w:t>$</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9"/>
                <w:szCs w:val="19"/>
                <w:color w:val="auto"/>
                <w:w w:val="92"/>
              </w:rPr>
              <w:t>Increase in pro forma net tangible book value per share attributable to this offering</w:t>
            </w:r>
          </w:p>
        </w:tc>
        <w:tc>
          <w:tcPr>
            <w:tcW w:w="29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5"/>
        </w:trPr>
        <w:tc>
          <w:tcPr>
            <w:tcW w:w="6760" w:type="dxa"/>
            <w:vAlign w:val="bottom"/>
            <w:gridSpan w:val="2"/>
          </w:tcPr>
          <w:p>
            <w:pPr>
              <w:spacing w:after="0"/>
              <w:rPr>
                <w:sz w:val="20"/>
                <w:szCs w:val="20"/>
                <w:color w:val="auto"/>
              </w:rPr>
            </w:pPr>
            <w:r>
              <w:rPr>
                <w:rFonts w:ascii="Arial" w:cs="Arial" w:eastAsia="Arial" w:hAnsi="Arial"/>
                <w:sz w:val="19"/>
                <w:szCs w:val="19"/>
                <w:color w:val="auto"/>
              </w:rPr>
              <w:t>Pro forma as adjusted net tangible book value per share after this offering</w:t>
            </w:r>
          </w:p>
        </w:tc>
        <w:tc>
          <w:tcPr>
            <w:tcW w:w="2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9"/>
                <w:szCs w:val="19"/>
                <w:color w:val="auto"/>
              </w:rPr>
              <w:t>Dilution per share to new investors in this offering</w:t>
            </w:r>
          </w:p>
        </w:tc>
        <w:tc>
          <w:tcPr>
            <w:tcW w:w="4820" w:type="dxa"/>
            <w:vAlign w:val="bottom"/>
            <w:gridSpan w:val="4"/>
            <w:shd w:val="clear" w:color="auto" w:fill="CCEEFF"/>
          </w:tcPr>
          <w:p>
            <w:pPr>
              <w:jc w:val="right"/>
              <w:ind w:right="6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740" w:type="dxa"/>
            <w:vAlign w:val="bottom"/>
          </w:tcPr>
          <w:p>
            <w:pPr>
              <w:ind w:left="440"/>
              <w:spacing w:after="0"/>
              <w:rPr>
                <w:sz w:val="20"/>
                <w:szCs w:val="20"/>
                <w:color w:val="auto"/>
              </w:rPr>
            </w:pPr>
            <w:r>
              <w:rPr>
                <w:rFonts w:ascii="Arial" w:cs="Arial" w:eastAsia="Arial" w:hAnsi="Arial"/>
                <w:sz w:val="19"/>
                <w:szCs w:val="19"/>
                <w:color w:val="auto"/>
                <w:w w:val="95"/>
              </w:rPr>
              <w:t>Each $1.00 increase (decrease) in the assumed initial public offering price of $</w:t>
            </w:r>
          </w:p>
        </w:tc>
        <w:tc>
          <w:tcPr>
            <w:tcW w:w="4880" w:type="dxa"/>
            <w:vAlign w:val="bottom"/>
            <w:gridSpan w:val="5"/>
          </w:tcPr>
          <w:p>
            <w:pPr>
              <w:ind w:left="100"/>
              <w:spacing w:after="0"/>
              <w:rPr>
                <w:sz w:val="20"/>
                <w:szCs w:val="20"/>
                <w:color w:val="auto"/>
              </w:rPr>
            </w:pPr>
            <w:r>
              <w:rPr>
                <w:rFonts w:ascii="Arial" w:cs="Arial" w:eastAsia="Arial" w:hAnsi="Arial"/>
                <w:sz w:val="19"/>
                <w:szCs w:val="19"/>
                <w:color w:val="auto"/>
                <w:w w:val="99"/>
              </w:rPr>
              <w:t>per share, the midpoint of the price range set forth on the</w:t>
            </w:r>
          </w:p>
        </w:tc>
      </w:tr>
    </w:tbl>
    <w:p>
      <w:pPr>
        <w:ind w:left="180"/>
        <w:spacing w:after="0"/>
        <w:rPr>
          <w:sz w:val="20"/>
          <w:szCs w:val="20"/>
          <w:color w:val="auto"/>
        </w:rPr>
      </w:pPr>
      <w:r>
        <w:rPr>
          <w:rFonts w:ascii="Arial" w:cs="Arial" w:eastAsia="Arial" w:hAnsi="Arial"/>
          <w:sz w:val="17"/>
          <w:szCs w:val="17"/>
          <w:color w:val="auto"/>
        </w:rPr>
        <w:t>cover page of this prospectus, would increase (decrease) the pro forma as adjusted net tangible book value per share after this offering by approximately</w:t>
      </w:r>
    </w:p>
    <w:p>
      <w:pPr>
        <w:spacing w:after="0" w:line="33" w:lineRule="exact"/>
        <w:rPr>
          <w:sz w:val="20"/>
          <w:szCs w:val="20"/>
          <w:color w:val="auto"/>
        </w:rPr>
      </w:pPr>
    </w:p>
    <w:p>
      <w:pPr>
        <w:ind w:left="180" w:right="120"/>
        <w:spacing w:after="0" w:line="185" w:lineRule="auto"/>
        <w:rPr>
          <w:sz w:val="20"/>
          <w:szCs w:val="20"/>
          <w:color w:val="auto"/>
        </w:rPr>
      </w:pPr>
      <w:r>
        <w:rPr>
          <w:rFonts w:ascii="Arial" w:cs="Arial" w:eastAsia="Arial" w:hAnsi="Arial"/>
          <w:sz w:val="17"/>
          <w:szCs w:val="17"/>
          <w:color w:val="auto"/>
        </w:rPr>
        <w:t>$ , and dilution in pro forma net tangible book value per share to new investors by approximately $ ,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right="420"/>
        <w:spacing w:after="0" w:line="263" w:lineRule="auto"/>
        <w:rPr>
          <w:sz w:val="20"/>
          <w:szCs w:val="20"/>
          <w:color w:val="auto"/>
        </w:rPr>
      </w:pPr>
      <w:r>
        <w:rPr>
          <w:rFonts w:ascii="Arial" w:cs="Arial" w:eastAsia="Arial" w:hAnsi="Arial"/>
          <w:sz w:val="19"/>
          <w:szCs w:val="19"/>
          <w:color w:val="auto"/>
        </w:rPr>
        <w:t>increase (decrease) our pro forma as adjusted net tangible book value per share after this offering 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w:t>
      </w:r>
    </w:p>
    <w:p>
      <w:pPr>
        <w:spacing w:after="0" w:line="194"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 the midpoint of the price range set forth on the cover page of this prospectus.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51</w:t>
      </w:r>
    </w:p>
    <w:p>
      <w:pPr>
        <w:sectPr>
          <w:pgSz w:w="12240" w:h="15840" w:orient="portrait"/>
          <w:cols w:equalWidth="0" w:num="1">
            <w:col w:w="11820"/>
          </w:cols>
          <w:pgMar w:left="120" w:top="336" w:right="300" w:bottom="1440" w:gutter="0" w:footer="0" w:header="0"/>
        </w:sectPr>
      </w:pPr>
    </w:p>
    <w:bookmarkStart w:id="56" w:name="page57"/>
    <w:bookmarkEnd w:id="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4" w:lineRule="auto"/>
        <w:rPr>
          <w:sz w:val="20"/>
          <w:szCs w:val="20"/>
          <w:color w:val="auto"/>
        </w:rPr>
      </w:pPr>
      <w:r>
        <w:rPr>
          <w:rFonts w:ascii="Arial" w:cs="Arial" w:eastAsia="Arial" w:hAnsi="Arial"/>
          <w:sz w:val="17"/>
          <w:szCs w:val="17"/>
          <w:color w:val="auto"/>
        </w:rPr>
        <w:t>The following table summarizes on the pro forma as adjusted basis described above, as of January 31, 2018, the differences between the number of shares of Class B common stock purchased from us by our existing stockholders and Class A common stock by new investors purchasing shares in this offering, the total consideration paid to us in cash and the average price per share paid by existing stockholders for shares of Class B common stock issued prior to this offering and the price to be paid by new investors for shares of Class A common stock in this offering. The calculation below is based</w:t>
      </w:r>
    </w:p>
    <w:p>
      <w:pPr>
        <w:spacing w:after="0" w:line="1" w:lineRule="exact"/>
        <w:rPr>
          <w:sz w:val="20"/>
          <w:szCs w:val="20"/>
          <w:color w:val="auto"/>
        </w:rPr>
      </w:pPr>
    </w:p>
    <w:p>
      <w:pPr>
        <w:ind w:left="180" w:right="460"/>
        <w:spacing w:after="0" w:line="289" w:lineRule="auto"/>
        <w:rPr>
          <w:sz w:val="20"/>
          <w:szCs w:val="20"/>
          <w:color w:val="auto"/>
        </w:rPr>
      </w:pPr>
      <w:r>
        <w:rPr>
          <w:rFonts w:ascii="Arial" w:cs="Arial" w:eastAsia="Arial" w:hAnsi="Arial"/>
          <w:sz w:val="18"/>
          <w:szCs w:val="18"/>
          <w:color w:val="auto"/>
        </w:rPr>
        <w:t>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3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60" w:type="dxa"/>
            <w:vAlign w:val="bottom"/>
            <w:gridSpan w:val="4"/>
            <w:vMerge w:val="restart"/>
          </w:tcPr>
          <w:p>
            <w:pPr>
              <w:jc w:val="right"/>
              <w:ind w:right="525"/>
              <w:spacing w:after="0"/>
              <w:rPr>
                <w:sz w:val="20"/>
                <w:szCs w:val="20"/>
                <w:color w:val="auto"/>
              </w:rPr>
            </w:pPr>
            <w:r>
              <w:rPr>
                <w:rFonts w:ascii="Arial" w:cs="Arial" w:eastAsia="Arial" w:hAnsi="Arial"/>
                <w:sz w:val="15"/>
                <w:szCs w:val="15"/>
                <w:b w:val="1"/>
                <w:bCs w:val="1"/>
                <w:color w:val="auto"/>
              </w:rPr>
              <w:t>Shares Purchased</w:t>
            </w:r>
          </w:p>
        </w:tc>
        <w:tc>
          <w:tcPr>
            <w:tcW w:w="158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w w:val="97"/>
              </w:rPr>
              <w:t>Total Consideration</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80"/>
        </w:trPr>
        <w:tc>
          <w:tcPr>
            <w:tcW w:w="1320" w:type="dxa"/>
            <w:vAlign w:val="bottom"/>
          </w:tcPr>
          <w:p>
            <w:pPr>
              <w:spacing w:after="0"/>
              <w:rPr>
                <w:sz w:val="6"/>
                <w:szCs w:val="6"/>
                <w:color w:val="auto"/>
              </w:rPr>
            </w:pPr>
          </w:p>
        </w:tc>
        <w:tc>
          <w:tcPr>
            <w:tcW w:w="5500" w:type="dxa"/>
            <w:vAlign w:val="bottom"/>
          </w:tcPr>
          <w:p>
            <w:pPr>
              <w:spacing w:after="0"/>
              <w:rPr>
                <w:sz w:val="6"/>
                <w:szCs w:val="6"/>
                <w:color w:val="auto"/>
              </w:rPr>
            </w:pPr>
          </w:p>
        </w:tc>
        <w:tc>
          <w:tcPr>
            <w:tcW w:w="1960" w:type="dxa"/>
            <w:vAlign w:val="bottom"/>
            <w:gridSpan w:val="4"/>
            <w:vMerge w:val="continue"/>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3"/>
            <w:vMerge w:val="restart"/>
          </w:tcPr>
          <w:p>
            <w:pPr>
              <w:jc w:val="center"/>
              <w:ind w:right="60"/>
              <w:spacing w:after="0" w:line="157" w:lineRule="exact"/>
              <w:rPr>
                <w:sz w:val="20"/>
                <w:szCs w:val="20"/>
                <w:color w:val="auto"/>
              </w:rPr>
            </w:pPr>
            <w:r>
              <w:rPr>
                <w:rFonts w:ascii="Arial" w:cs="Arial" w:eastAsia="Arial" w:hAnsi="Arial"/>
                <w:sz w:val="15"/>
                <w:szCs w:val="15"/>
                <w:b w:val="1"/>
                <w:bCs w:val="1"/>
                <w:color w:val="auto"/>
                <w:w w:val="92"/>
              </w:rPr>
              <w:t>Price Per</w:t>
            </w:r>
          </w:p>
        </w:tc>
        <w:tc>
          <w:tcPr>
            <w:tcW w:w="0" w:type="dxa"/>
            <w:vAlign w:val="bottom"/>
          </w:tcPr>
          <w:p>
            <w:pPr>
              <w:spacing w:after="0"/>
              <w:rPr>
                <w:sz w:val="1"/>
                <w:szCs w:val="1"/>
                <w:color w:val="auto"/>
              </w:rPr>
            </w:pPr>
          </w:p>
        </w:tc>
      </w:tr>
      <w:tr>
        <w:trPr>
          <w:trHeight w:val="57"/>
        </w:trPr>
        <w:tc>
          <w:tcPr>
            <w:tcW w:w="13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5"/>
                <w:szCs w:val="15"/>
                <w:b w:val="1"/>
                <w:bCs w:val="1"/>
                <w:color w:val="auto"/>
                <w:w w:val="98"/>
              </w:rPr>
              <w:t>Number</w:t>
            </w:r>
          </w:p>
        </w:tc>
        <w:tc>
          <w:tcPr>
            <w:tcW w:w="280" w:type="dxa"/>
            <w:vAlign w:val="bottom"/>
          </w:tcPr>
          <w:p>
            <w:pPr>
              <w:spacing w:after="0"/>
              <w:rPr>
                <w:sz w:val="15"/>
                <w:szCs w:val="15"/>
                <w:color w:val="auto"/>
              </w:rPr>
            </w:pPr>
          </w:p>
        </w:tc>
        <w:tc>
          <w:tcPr>
            <w:tcW w:w="1060" w:type="dxa"/>
            <w:vAlign w:val="bottom"/>
            <w:gridSpan w:val="2"/>
          </w:tcPr>
          <w:p>
            <w:pPr>
              <w:jc w:val="right"/>
              <w:ind w:right="385"/>
              <w:spacing w:after="0"/>
              <w:rPr>
                <w:sz w:val="20"/>
                <w:szCs w:val="20"/>
                <w:color w:val="auto"/>
              </w:rPr>
            </w:pPr>
            <w:r>
              <w:rPr>
                <w:rFonts w:ascii="Arial" w:cs="Arial" w:eastAsia="Arial" w:hAnsi="Arial"/>
                <w:sz w:val="15"/>
                <w:szCs w:val="15"/>
                <w:b w:val="1"/>
                <w:bCs w:val="1"/>
                <w:color w:val="auto"/>
              </w:rPr>
              <w:t>Percent</w:t>
            </w:r>
          </w:p>
        </w:tc>
        <w:tc>
          <w:tcPr>
            <w:tcW w:w="740" w:type="dxa"/>
            <w:vAlign w:val="bottom"/>
          </w:tcPr>
          <w:p>
            <w:pPr>
              <w:jc w:val="right"/>
              <w:ind w:right="14"/>
              <w:spacing w:after="0"/>
              <w:rPr>
                <w:sz w:val="20"/>
                <w:szCs w:val="20"/>
                <w:color w:val="auto"/>
              </w:rPr>
            </w:pPr>
            <w:r>
              <w:rPr>
                <w:rFonts w:ascii="Arial" w:cs="Arial" w:eastAsia="Arial" w:hAnsi="Arial"/>
                <w:sz w:val="15"/>
                <w:szCs w:val="15"/>
                <w:b w:val="1"/>
                <w:bCs w:val="1"/>
                <w:color w:val="auto"/>
              </w:rPr>
              <w:t>Amount</w:t>
            </w:r>
          </w:p>
        </w:tc>
        <w:tc>
          <w:tcPr>
            <w:tcW w:w="28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Arial" w:cs="Arial" w:eastAsia="Arial" w:hAnsi="Arial"/>
                <w:sz w:val="15"/>
                <w:szCs w:val="15"/>
                <w:b w:val="1"/>
                <w:bCs w:val="1"/>
                <w:color w:val="auto"/>
                <w:w w:val="87"/>
              </w:rPr>
              <w:t>Percent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Share</w:t>
            </w:r>
          </w:p>
        </w:tc>
        <w:tc>
          <w:tcPr>
            <w:tcW w:w="0" w:type="dxa"/>
            <w:vAlign w:val="bottom"/>
          </w:tcPr>
          <w:p>
            <w:pPr>
              <w:spacing w:after="0"/>
              <w:rPr>
                <w:sz w:val="1"/>
                <w:szCs w:val="1"/>
                <w:color w:val="auto"/>
              </w:rPr>
            </w:pPr>
          </w:p>
        </w:tc>
      </w:tr>
      <w:tr>
        <w:trPr>
          <w:trHeight w:val="222"/>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Existing stockholders</w:t>
            </w:r>
          </w:p>
        </w:tc>
        <w:tc>
          <w:tcPr>
            <w:tcW w:w="6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jc w:val="right"/>
              <w:ind w:right="165"/>
              <w:spacing w:after="0"/>
              <w:rPr>
                <w:sz w:val="20"/>
                <w:szCs w:val="20"/>
                <w:color w:val="auto"/>
              </w:rPr>
            </w:pPr>
            <w:r>
              <w:rPr>
                <w:rFonts w:ascii="Arial" w:cs="Arial" w:eastAsia="Arial" w:hAnsi="Arial"/>
                <w:sz w:val="19"/>
                <w:szCs w:val="19"/>
                <w:color w:val="auto"/>
                <w:w w:val="82"/>
              </w:rPr>
              <w:t>%</w:t>
            </w:r>
          </w:p>
        </w:tc>
        <w:tc>
          <w:tcPr>
            <w:tcW w:w="740" w:type="dxa"/>
            <w:vAlign w:val="bottom"/>
            <w:tcBorders>
              <w:top w:val="single" w:sz="8" w:color="auto"/>
            </w:tcBorders>
            <w:shd w:val="clear" w:color="auto" w:fill="CCEEFF"/>
          </w:tcPr>
          <w:p>
            <w:pPr>
              <w:jc w:val="right"/>
              <w:ind w:right="554"/>
              <w:spacing w:after="0"/>
              <w:rPr>
                <w:sz w:val="20"/>
                <w:szCs w:val="20"/>
                <w:color w:val="auto"/>
              </w:rPr>
            </w:pPr>
            <w:r>
              <w:rPr>
                <w:rFonts w:ascii="Arial" w:cs="Arial" w:eastAsia="Arial" w:hAnsi="Arial"/>
                <w:sz w:val="19"/>
                <w:szCs w:val="19"/>
                <w:color w:val="auto"/>
                <w:w w:val="75"/>
              </w:rPr>
              <w:t>$</w:t>
            </w:r>
          </w:p>
        </w:tc>
        <w:tc>
          <w:tcPr>
            <w:tcW w:w="2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jc w:val="right"/>
              <w:ind w:right="185"/>
              <w:spacing w:after="0"/>
              <w:rPr>
                <w:sz w:val="20"/>
                <w:szCs w:val="20"/>
                <w:color w:val="auto"/>
              </w:rPr>
            </w:pPr>
            <w:r>
              <w:rPr>
                <w:rFonts w:ascii="Arial" w:cs="Arial" w:eastAsia="Arial" w:hAnsi="Arial"/>
                <w:sz w:val="19"/>
                <w:szCs w:val="19"/>
                <w:color w:val="auto"/>
                <w:w w:val="82"/>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r>
              <w:rPr>
                <w:rFonts w:ascii="Arial" w:cs="Arial" w:eastAsia="Arial" w:hAnsi="Arial"/>
                <w:sz w:val="19"/>
                <w:szCs w:val="19"/>
                <w:color w:val="auto"/>
              </w:rPr>
              <w:t>New investors</w:t>
            </w:r>
          </w:p>
        </w:tc>
        <w:tc>
          <w:tcPr>
            <w:tcW w:w="55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5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5"/>
              <w:spacing w:after="0"/>
              <w:rPr>
                <w:sz w:val="20"/>
                <w:szCs w:val="20"/>
                <w:color w:val="auto"/>
              </w:rPr>
            </w:pPr>
            <w:r>
              <w:rPr>
                <w:rFonts w:ascii="Arial" w:cs="Arial" w:eastAsia="Arial" w:hAnsi="Arial"/>
                <w:sz w:val="19"/>
                <w:szCs w:val="19"/>
                <w:color w:val="auto"/>
              </w:rPr>
              <w:t>100%</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9"/>
                <w:szCs w:val="19"/>
                <w:color w:val="auto"/>
                <w:w w:val="75"/>
              </w:rPr>
              <w:t>$</w:t>
            </w:r>
          </w:p>
        </w:tc>
        <w:tc>
          <w:tcPr>
            <w:tcW w:w="1340" w:type="dxa"/>
            <w:vAlign w:val="bottom"/>
            <w:gridSpan w:val="4"/>
            <w:shd w:val="clear" w:color="auto" w:fill="CCEEFF"/>
          </w:tcPr>
          <w:p>
            <w:pPr>
              <w:jc w:val="right"/>
              <w:ind w:right="185"/>
              <w:spacing w:after="0"/>
              <w:rPr>
                <w:sz w:val="20"/>
                <w:szCs w:val="20"/>
                <w:color w:val="auto"/>
              </w:rPr>
            </w:pPr>
            <w:r>
              <w:rPr>
                <w:rFonts w:ascii="Arial" w:cs="Arial" w:eastAsia="Arial" w:hAnsi="Arial"/>
                <w:sz w:val="19"/>
                <w:szCs w:val="19"/>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520" w:type="dxa"/>
            <w:vAlign w:val="bottom"/>
            <w:gridSpan w:val="7"/>
          </w:tcPr>
          <w:p>
            <w:pPr>
              <w:ind w:left="460"/>
              <w:spacing w:after="0"/>
              <w:rPr>
                <w:sz w:val="20"/>
                <w:szCs w:val="20"/>
                <w:color w:val="auto"/>
              </w:rPr>
            </w:pPr>
            <w:r>
              <w:rPr>
                <w:rFonts w:ascii="Arial" w:cs="Arial" w:eastAsia="Arial" w:hAnsi="Arial"/>
                <w:sz w:val="19"/>
                <w:szCs w:val="19"/>
                <w:color w:val="auto"/>
                <w:w w:val="95"/>
              </w:rPr>
              <w:t>Sales by the selling stockholders in this offering will reduce the number of shares held by existing stockholders to</w:t>
            </w:r>
          </w:p>
        </w:tc>
        <w:tc>
          <w:tcPr>
            <w:tcW w:w="1420" w:type="dxa"/>
            <w:vAlign w:val="bottom"/>
            <w:gridSpan w:val="5"/>
          </w:tcPr>
          <w:p>
            <w:pPr>
              <w:jc w:val="right"/>
              <w:spacing w:after="0"/>
              <w:rPr>
                <w:sz w:val="20"/>
                <w:szCs w:val="20"/>
                <w:color w:val="auto"/>
              </w:rPr>
            </w:pPr>
            <w:r>
              <w:rPr>
                <w:rFonts w:ascii="Arial" w:cs="Arial" w:eastAsia="Arial" w:hAnsi="Arial"/>
                <w:sz w:val="19"/>
                <w:szCs w:val="19"/>
                <w:color w:val="auto"/>
                <w:w w:val="92"/>
              </w:rPr>
              <w:t>, or approximately</w:t>
            </w: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360" w:type="dxa"/>
            <w:vAlign w:val="bottom"/>
            <w:gridSpan w:val="9"/>
          </w:tcPr>
          <w:p>
            <w:pPr>
              <w:spacing w:after="0"/>
              <w:rPr>
                <w:sz w:val="20"/>
                <w:szCs w:val="20"/>
                <w:color w:val="auto"/>
              </w:rPr>
            </w:pPr>
            <w:r>
              <w:rPr>
                <w:rFonts w:ascii="Arial" w:cs="Arial" w:eastAsia="Arial" w:hAnsi="Arial"/>
                <w:sz w:val="19"/>
                <w:szCs w:val="19"/>
                <w:color w:val="auto"/>
                <w:w w:val="94"/>
              </w:rPr>
              <w:t>of the total shares of common stock outstanding after this offering, and will increase the number of shares held by new investors to</w:t>
            </w:r>
          </w:p>
        </w:tc>
        <w:tc>
          <w:tcPr>
            <w:tcW w:w="580" w:type="dxa"/>
            <w:vAlign w:val="bottom"/>
            <w:gridSpan w:val="3"/>
          </w:tcPr>
          <w:p>
            <w:pPr>
              <w:jc w:val="right"/>
              <w:ind w:right="245"/>
              <w:spacing w:after="0"/>
              <w:rPr>
                <w:sz w:val="20"/>
                <w:szCs w:val="20"/>
                <w:color w:val="auto"/>
              </w:rPr>
            </w:pPr>
            <w:r>
              <w:rPr>
                <w:rFonts w:ascii="Arial" w:cs="Arial" w:eastAsia="Arial" w:hAnsi="Arial"/>
                <w:sz w:val="19"/>
                <w:szCs w:val="19"/>
                <w:color w:val="auto"/>
                <w:w w:val="87"/>
              </w:rPr>
              <w:t>, or</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approximately</w:t>
            </w:r>
          </w:p>
        </w:tc>
        <w:tc>
          <w:tcPr>
            <w:tcW w:w="6120" w:type="dxa"/>
            <w:vAlign w:val="bottom"/>
            <w:gridSpan w:val="2"/>
          </w:tcPr>
          <w:p>
            <w:pPr>
              <w:ind w:left="200"/>
              <w:spacing w:after="0"/>
              <w:rPr>
                <w:sz w:val="20"/>
                <w:szCs w:val="20"/>
                <w:color w:val="auto"/>
              </w:rPr>
            </w:pPr>
            <w:r>
              <w:rPr>
                <w:rFonts w:ascii="Arial" w:cs="Arial" w:eastAsia="Arial" w:hAnsi="Arial"/>
                <w:sz w:val="19"/>
                <w:szCs w:val="19"/>
                <w:color w:val="auto"/>
              </w:rPr>
              <w:t>% of the total shares of common stock outstanding after this offering.</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80" w:right="220" w:firstLine="465"/>
        <w:spacing w:after="0" w:line="263" w:lineRule="auto"/>
        <w:rPr>
          <w:sz w:val="20"/>
          <w:szCs w:val="20"/>
          <w:color w:val="auto"/>
        </w:rPr>
      </w:pPr>
      <w:r>
        <w:rPr>
          <w:rFonts w:ascii="Arial" w:cs="Arial" w:eastAsia="Arial" w:hAnsi="Arial"/>
          <w:sz w:val="19"/>
          <w:szCs w:val="19"/>
          <w:color w:val="auto"/>
        </w:rPr>
        <w:t>The outstanding share information in the table above is based on no shares of our Class A common stock and 235,275,442 shares of our Class B common stock (including preferred stock on an as-converted basis and reclassified as Class B common stock) outstanding as of January 31, 2018 and excludes:</w:t>
      </w:r>
    </w:p>
    <w:p>
      <w:pPr>
        <w:spacing w:after="0" w:line="95" w:lineRule="exact"/>
        <w:rPr>
          <w:sz w:val="20"/>
          <w:szCs w:val="20"/>
          <w:color w:val="auto"/>
        </w:rPr>
      </w:pPr>
    </w:p>
    <w:p>
      <w:pPr>
        <w:ind w:left="1100" w:right="460" w:hanging="464"/>
        <w:spacing w:after="0" w:line="275" w:lineRule="auto"/>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34,170,489 shares of our Class B common stock issuable upon the exercise of options to purchase shares of our Class B common stock outstanding as of January 31, 2018, with a weighted-average exercise price of $0.31 per share;</w:t>
      </w:r>
    </w:p>
    <w:p>
      <w:pPr>
        <w:spacing w:after="0" w:line="84" w:lineRule="exact"/>
        <w:rPr>
          <w:rFonts w:ascii="Arial" w:cs="Arial" w:eastAsia="Arial" w:hAnsi="Arial"/>
          <w:sz w:val="19"/>
          <w:szCs w:val="19"/>
          <w:color w:val="auto"/>
        </w:rPr>
      </w:pPr>
    </w:p>
    <w:p>
      <w:pPr>
        <w:ind w:left="1100" w:right="540" w:hanging="464"/>
        <w:spacing w:after="0" w:line="275" w:lineRule="auto"/>
        <w:tabs>
          <w:tab w:leader="none" w:pos="11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9,192,700 shares of our Class B common stock issuable upon the exercise of options to purchase shares of our Class B common stock granted after January 31, 2018, with a weighted-average exercise price of $4.93 per share;</w:t>
      </w:r>
    </w:p>
    <w:p>
      <w:pPr>
        <w:spacing w:after="0" w:line="84" w:lineRule="exact"/>
        <w:rPr>
          <w:rFonts w:ascii="Arial" w:cs="Arial" w:eastAsia="Arial" w:hAnsi="Arial"/>
          <w:sz w:val="19"/>
          <w:szCs w:val="19"/>
          <w:color w:val="auto"/>
        </w:rPr>
      </w:pPr>
    </w:p>
    <w:p>
      <w:pPr>
        <w:ind w:left="1100" w:right="20" w:hanging="464"/>
        <w:spacing w:after="0" w:line="288" w:lineRule="auto"/>
        <w:tabs>
          <w:tab w:leader="none" w:pos="17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shares of our Class A common stock issuable upon the automatic conversion of convertible promissory notes in the principal amount of $15.0 million plus interest in connection with this offering, assuming a conversion date of December 31, 2018 and an assumed initial</w:t>
      </w:r>
    </w:p>
    <w:p>
      <w:pPr>
        <w:ind w:left="1100" w:right="640"/>
        <w:spacing w:after="0" w:line="261" w:lineRule="auto"/>
        <w:rPr>
          <w:rFonts w:ascii="Arial" w:cs="Arial" w:eastAsia="Arial" w:hAnsi="Arial"/>
          <w:sz w:val="17"/>
          <w:szCs w:val="17"/>
          <w:color w:val="auto"/>
        </w:rPr>
      </w:pPr>
      <w:r>
        <w:rPr>
          <w:rFonts w:ascii="Arial" w:cs="Arial" w:eastAsia="Arial" w:hAnsi="Arial"/>
          <w:sz w:val="19"/>
          <w:szCs w:val="19"/>
          <w:color w:val="auto"/>
        </w:rPr>
        <w:t>public offering price of $ per share of Class A common stock, the midpoint of the price range set forth on the cover page of this prospectus;</w:t>
      </w:r>
    </w:p>
    <w:p>
      <w:pPr>
        <w:spacing w:after="0" w:line="96" w:lineRule="exact"/>
        <w:rPr>
          <w:rFonts w:ascii="Arial" w:cs="Arial" w:eastAsia="Arial" w:hAnsi="Arial"/>
          <w:sz w:val="17"/>
          <w:szCs w:val="17"/>
          <w:color w:val="auto"/>
        </w:rPr>
      </w:pPr>
    </w:p>
    <w:p>
      <w:pPr>
        <w:ind w:left="1100" w:right="260" w:hanging="464"/>
        <w:spacing w:after="0" w:line="275" w:lineRule="auto"/>
        <w:tabs>
          <w:tab w:leader="none" w:pos="1718"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Equity Incentive Plan, which includes an annual evergreen increase and will become effective in connection with this offering; and</w:t>
      </w:r>
    </w:p>
    <w:p>
      <w:pPr>
        <w:spacing w:after="0" w:line="84" w:lineRule="exact"/>
        <w:rPr>
          <w:rFonts w:ascii="Arial" w:cs="Arial" w:eastAsia="Arial" w:hAnsi="Arial"/>
          <w:sz w:val="19"/>
          <w:szCs w:val="19"/>
          <w:color w:val="auto"/>
        </w:rPr>
      </w:pPr>
    </w:p>
    <w:p>
      <w:pPr>
        <w:ind w:left="1100" w:right="80" w:hanging="464"/>
        <w:spacing w:after="0" w:line="275" w:lineRule="auto"/>
        <w:tabs>
          <w:tab w:leader="none" w:pos="1718" w:val="left"/>
        </w:tabs>
        <w:numPr>
          <w:ilvl w:val="0"/>
          <w:numId w:val="36"/>
        </w:numPr>
        <w:rPr>
          <w:rFonts w:ascii="Arial" w:cs="Arial" w:eastAsia="Arial" w:hAnsi="Arial"/>
          <w:sz w:val="19"/>
          <w:szCs w:val="19"/>
          <w:color w:val="auto"/>
        </w:rPr>
      </w:pPr>
      <w:r>
        <w:rPr>
          <w:rFonts w:ascii="Arial" w:cs="Arial" w:eastAsia="Arial" w:hAnsi="Arial"/>
          <w:sz w:val="19"/>
          <w:szCs w:val="19"/>
          <w:color w:val="auto"/>
        </w:rPr>
        <w:t>shares of our Class A common stock reserved for future issuance under our 2019 Employee Stock Purchase Plan, which includes an annual evergreen increase and will become effective in connection with this offering.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any outstanding options are exercised, there will be further dilution to new investors. If all of such outstanding options had been</w:t>
      </w:r>
    </w:p>
    <w:p>
      <w:pPr>
        <w:spacing w:after="0" w:line="46" w:lineRule="exact"/>
        <w:rPr>
          <w:sz w:val="20"/>
          <w:szCs w:val="20"/>
          <w:color w:val="auto"/>
        </w:rPr>
      </w:pPr>
    </w:p>
    <w:p>
      <w:pPr>
        <w:ind w:left="180" w:right="240"/>
        <w:spacing w:after="0" w:line="261" w:lineRule="auto"/>
        <w:rPr>
          <w:sz w:val="20"/>
          <w:szCs w:val="20"/>
          <w:color w:val="auto"/>
        </w:rPr>
      </w:pPr>
      <w:r>
        <w:rPr>
          <w:rFonts w:ascii="Arial" w:cs="Arial" w:eastAsia="Arial" w:hAnsi="Arial"/>
          <w:sz w:val="19"/>
          <w:szCs w:val="19"/>
          <w:color w:val="auto"/>
        </w:rPr>
        <w:t>exercised as of January 31, 2018, the pro forma as adjusted net tangible book value per share after this offering would be $ , and total dilution per share to new investors would be $ .</w:t>
      </w:r>
    </w:p>
    <w:p>
      <w:pPr>
        <w:spacing w:after="0" w:line="196"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If the underwriters exercise their over-allotment option in full, our existing stockholders would own % and the investors purchasing shares of our Class A common stock in this offering would own % of the total number of shares of our Class A common stock outstanding immediately after completion of this offering.</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52</w:t>
      </w:r>
    </w:p>
    <w:p>
      <w:pPr>
        <w:sectPr>
          <w:pgSz w:w="12240" w:h="15840" w:orient="portrait"/>
          <w:cols w:equalWidth="0" w:num="1">
            <w:col w:w="11820"/>
          </w:cols>
          <w:pgMar w:left="120" w:top="336" w:right="300" w:bottom="1440" w:gutter="0" w:footer="0" w:header="0"/>
        </w:sectPr>
      </w:pPr>
    </w:p>
    <w:bookmarkStart w:id="57" w:name="page58"/>
    <w:bookmarkEnd w:id="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SELECTED CONSOLIDATED FINANCIAL DATA</w:t>
      </w:r>
    </w:p>
    <w:p>
      <w:pPr>
        <w:spacing w:after="0" w:line="244"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The following selected consolidated statements of operations data for the years ended January 31, 2017 and 2018 and the consolidated balance sheet data as of January 31, 2017 and 2018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9"/>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8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center"/>
              <w:ind w:right="6"/>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per share data)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b w:val="1"/>
                <w:bCs w:val="1"/>
                <w:color w:val="auto"/>
              </w:rPr>
              <w:t>Consolidated Statements of Operations Data:</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Revenue</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60,817</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151,478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12,472</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45"/>
        </w:trPr>
        <w:tc>
          <w:tcPr>
            <w:tcW w:w="8760" w:type="dxa"/>
            <w:vAlign w:val="bottom"/>
            <w:gridSpan w:val="3"/>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120,698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Operating expenses: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9,218</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31,580</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7,547</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125,531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760" w:type="dxa"/>
            <w:vAlign w:val="bottom"/>
            <w:gridSpan w:val="3"/>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tcPr>
          <w:p>
            <w:pPr>
              <w:spacing w:after="0"/>
              <w:rPr>
                <w:sz w:val="21"/>
                <w:szCs w:val="21"/>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158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gridSpan w:val="2"/>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(172)</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7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(14,366)</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(14,380)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7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(0.20)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w w:val="97"/>
              </w:rPr>
              <w:t>Weighted-average shares used in computing net loss per share attributable to common stockholders, basic</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and diluted</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70,309,256</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98"/>
              </w:rPr>
              <w:t>78,119,865</w:t>
            </w:r>
          </w:p>
        </w:tc>
        <w:tc>
          <w:tcPr>
            <w:tcW w:w="0" w:type="dxa"/>
            <w:vAlign w:val="bottom"/>
          </w:tcPr>
          <w:p>
            <w:pPr>
              <w:spacing w:after="0"/>
              <w:rPr>
                <w:sz w:val="1"/>
                <w:szCs w:val="1"/>
                <w:color w:val="auto"/>
              </w:rPr>
            </w:pPr>
          </w:p>
        </w:tc>
      </w:tr>
      <w:tr>
        <w:trPr>
          <w:trHeight w:val="20"/>
        </w:trPr>
        <w:tc>
          <w:tcPr>
            <w:tcW w:w="8760" w:type="dxa"/>
            <w:vAlign w:val="bottom"/>
            <w:gridSpan w:val="3"/>
            <w:vMerge w:val="restart"/>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7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gridSpan w:val="2"/>
            <w:shd w:val="clear" w:color="auto" w:fill="CCEEFF"/>
          </w:tcPr>
          <w:p>
            <w:pPr>
              <w:spacing w:after="0" w:line="212" w:lineRule="exact"/>
              <w:rPr>
                <w:sz w:val="20"/>
                <w:szCs w:val="20"/>
                <w:color w:val="auto"/>
              </w:rPr>
            </w:pPr>
            <w:r>
              <w:rPr>
                <w:rFonts w:ascii="Arial" w:cs="Arial" w:eastAsia="Arial" w:hAnsi="Arial"/>
                <w:sz w:val="19"/>
                <w:szCs w:val="19"/>
                <w:color w:val="auto"/>
              </w:rPr>
              <w:t>Weighted-average shares used in computing pro forma net loss per share attributable to common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gridSpan w:val="2"/>
            <w:shd w:val="clear" w:color="auto" w:fill="CCEEFF"/>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9"/>
          <w:szCs w:val="19"/>
          <w:color w:val="auto"/>
        </w:rPr>
        <w:t>(1)</w:t>
        <w:tab/>
        <w:t>Includes stock-based compensation expense as follows:</w:t>
      </w:r>
    </w:p>
    <w:p>
      <w:pPr>
        <w:spacing w:after="0" w:line="258"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46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5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420" w:type="dxa"/>
            <w:vAlign w:val="bottom"/>
            <w:vMerge w:val="restart"/>
          </w:tcPr>
          <w:p>
            <w:pPr>
              <w:jc w:val="right"/>
              <w:ind w:right="4005"/>
              <w:spacing w:after="0"/>
              <w:rPr>
                <w:sz w:val="20"/>
                <w:szCs w:val="20"/>
                <w:color w:val="auto"/>
              </w:rPr>
            </w:pPr>
            <w:r>
              <w:rPr>
                <w:rFonts w:ascii="Arial" w:cs="Arial" w:eastAsia="Arial" w:hAnsi="Arial"/>
                <w:sz w:val="19"/>
                <w:szCs w:val="19"/>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6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58" w:name="page59"/>
    <w:bookmarkEnd w:id="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20" w:hanging="461"/>
        <w:spacing w:after="0" w:line="282"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tbl>
      <w:tblPr>
        <w:tblLayout w:type="fixed"/>
        <w:tblInd w:w="18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gridSpan w:val="3"/>
          </w:tcPr>
          <w:p>
            <w:pPr>
              <w:jc w:val="right"/>
              <w:ind w:right="500"/>
              <w:spacing w:after="0" w:line="165" w:lineRule="exact"/>
              <w:rPr>
                <w:sz w:val="20"/>
                <w:szCs w:val="20"/>
                <w:color w:val="auto"/>
              </w:rPr>
            </w:pPr>
            <w:r>
              <w:rPr>
                <w:rFonts w:ascii="Arial" w:cs="Arial" w:eastAsia="Arial" w:hAnsi="Arial"/>
                <w:sz w:val="15"/>
                <w:szCs w:val="15"/>
                <w:b w:val="1"/>
                <w:bCs w:val="1"/>
                <w:color w:val="auto"/>
              </w:rPr>
              <w:t>As of January 31,</w:t>
            </w:r>
          </w:p>
        </w:tc>
      </w:tr>
      <w:tr>
        <w:trPr>
          <w:trHeight w:val="151"/>
        </w:trPr>
        <w:tc>
          <w:tcPr>
            <w:tcW w:w="44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line="151" w:lineRule="exact"/>
              <w:rPr>
                <w:sz w:val="20"/>
                <w:szCs w:val="20"/>
                <w:color w:val="auto"/>
              </w:rPr>
            </w:pPr>
            <w:r>
              <w:rPr>
                <w:rFonts w:ascii="Arial" w:cs="Arial" w:eastAsia="Arial" w:hAnsi="Arial"/>
                <w:sz w:val="15"/>
                <w:szCs w:val="15"/>
                <w:b w:val="1"/>
                <w:bCs w:val="1"/>
                <w:color w:val="auto"/>
              </w:rPr>
              <w:t>2017</w:t>
            </w:r>
          </w:p>
        </w:tc>
        <w:tc>
          <w:tcPr>
            <w:tcW w:w="920" w:type="dxa"/>
            <w:vAlign w:val="bottom"/>
            <w:tcBorders>
              <w:top w:val="single" w:sz="8" w:color="auto"/>
              <w:bottom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44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900" w:type="dxa"/>
            <w:vAlign w:val="bottom"/>
            <w:gridSpan w:val="2"/>
          </w:tcPr>
          <w:p>
            <w:pPr>
              <w:jc w:val="right"/>
              <w:ind w:right="40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Consolidated Balance Sheet Data:</w:t>
            </w:r>
          </w:p>
        </w:tc>
        <w:tc>
          <w:tcPr>
            <w:tcW w:w="5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$134,324</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$ 36,146</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Marketable securities</w:t>
            </w:r>
          </w:p>
        </w:tc>
        <w:tc>
          <w:tcPr>
            <w:tcW w:w="5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9"/>
                <w:szCs w:val="19"/>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103,056</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Working capital</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123,007</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114,633</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6140" w:type="dxa"/>
            <w:vAlign w:val="bottom"/>
            <w:gridSpan w:val="2"/>
            <w:shd w:val="clear" w:color="auto" w:fill="CCEEFF"/>
          </w:tcPr>
          <w:p>
            <w:pPr>
              <w:jc w:val="right"/>
              <w:ind w:right="179"/>
              <w:spacing w:after="0"/>
              <w:rPr>
                <w:sz w:val="20"/>
                <w:szCs w:val="20"/>
                <w:color w:val="auto"/>
              </w:rPr>
            </w:pPr>
            <w:r>
              <w:rPr>
                <w:rFonts w:ascii="Arial" w:cs="Arial" w:eastAsia="Arial" w:hAnsi="Arial"/>
                <w:sz w:val="19"/>
                <w:szCs w:val="19"/>
                <w:color w:val="auto"/>
              </w:rPr>
              <w:t>164,796</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215,019</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Deferred revenue, current and non-current</w:t>
            </w:r>
          </w:p>
        </w:tc>
        <w:tc>
          <w:tcPr>
            <w:tcW w:w="6140" w:type="dxa"/>
            <w:vAlign w:val="bottom"/>
            <w:gridSpan w:val="2"/>
          </w:tcPr>
          <w:p>
            <w:pPr>
              <w:jc w:val="right"/>
              <w:ind w:right="179"/>
              <w:spacing w:after="0"/>
              <w:rPr>
                <w:sz w:val="20"/>
                <w:szCs w:val="20"/>
                <w:color w:val="auto"/>
              </w:rPr>
            </w:pPr>
            <w:r>
              <w:rPr>
                <w:rFonts w:ascii="Arial" w:cs="Arial" w:eastAsia="Arial" w:hAnsi="Arial"/>
                <w:sz w:val="19"/>
                <w:szCs w:val="19"/>
                <w:color w:val="auto"/>
              </w:rPr>
              <w:t>22,766</w:t>
            </w:r>
          </w:p>
        </w:tc>
        <w:tc>
          <w:tcPr>
            <w:tcW w:w="1040" w:type="dxa"/>
            <w:vAlign w:val="bottom"/>
            <w:gridSpan w:val="2"/>
          </w:tcPr>
          <w:p>
            <w:pPr>
              <w:jc w:val="right"/>
              <w:ind w:right="120"/>
              <w:spacing w:after="0"/>
              <w:rPr>
                <w:sz w:val="20"/>
                <w:szCs w:val="20"/>
                <w:color w:val="auto"/>
              </w:rPr>
            </w:pPr>
            <w:r>
              <w:rPr>
                <w:rFonts w:ascii="Arial" w:cs="Arial" w:eastAsia="Arial" w:hAnsi="Arial"/>
                <w:sz w:val="19"/>
                <w:szCs w:val="19"/>
                <w:color w:val="auto"/>
              </w:rPr>
              <w:t>54,262</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6140" w:type="dxa"/>
            <w:vAlign w:val="bottom"/>
            <w:gridSpan w:val="2"/>
            <w:shd w:val="clear" w:color="auto" w:fill="CCEEFF"/>
          </w:tcPr>
          <w:p>
            <w:pPr>
              <w:jc w:val="right"/>
              <w:ind w:right="179"/>
              <w:spacing w:after="0"/>
              <w:rPr>
                <w:sz w:val="20"/>
                <w:szCs w:val="20"/>
                <w:color w:val="auto"/>
              </w:rPr>
            </w:pPr>
            <w:r>
              <w:rPr>
                <w:rFonts w:ascii="Arial" w:cs="Arial" w:eastAsia="Arial" w:hAnsi="Arial"/>
                <w:sz w:val="19"/>
                <w:szCs w:val="19"/>
                <w:color w:val="auto"/>
              </w:rPr>
              <w:t>159,757</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159,552</w:t>
            </w:r>
          </w:p>
        </w:tc>
        <w:tc>
          <w:tcPr>
            <w:tcW w:w="120" w:type="dxa"/>
            <w:vAlign w:val="bottom"/>
            <w:shd w:val="clear" w:color="auto" w:fill="CCEEFF"/>
          </w:tcPr>
          <w:p>
            <w:pPr>
              <w:spacing w:after="0"/>
              <w:rPr>
                <w:sz w:val="19"/>
                <w:szCs w:val="19"/>
                <w:color w:val="auto"/>
              </w:rPr>
            </w:pPr>
          </w:p>
        </w:tc>
      </w:tr>
      <w:tr>
        <w:trPr>
          <w:trHeight w:val="228"/>
        </w:trPr>
        <w:tc>
          <w:tcPr>
            <w:tcW w:w="4460" w:type="dxa"/>
            <w:vAlign w:val="bottom"/>
          </w:tcPr>
          <w:p>
            <w:pPr>
              <w:spacing w:after="0"/>
              <w:rPr>
                <w:sz w:val="20"/>
                <w:szCs w:val="20"/>
                <w:color w:val="auto"/>
              </w:rPr>
            </w:pPr>
            <w:r>
              <w:rPr>
                <w:rFonts w:ascii="Arial" w:cs="Arial" w:eastAsia="Arial" w:hAnsi="Arial"/>
                <w:sz w:val="19"/>
                <w:szCs w:val="19"/>
                <w:color w:val="auto"/>
              </w:rPr>
              <w:t>Accumulated deficit</w:t>
            </w:r>
          </w:p>
        </w:tc>
        <w:tc>
          <w:tcPr>
            <w:tcW w:w="6140" w:type="dxa"/>
            <w:vAlign w:val="bottom"/>
            <w:gridSpan w:val="2"/>
          </w:tcPr>
          <w:p>
            <w:pPr>
              <w:jc w:val="right"/>
              <w:ind w:right="119"/>
              <w:spacing w:after="0"/>
              <w:rPr>
                <w:sz w:val="20"/>
                <w:szCs w:val="20"/>
                <w:color w:val="auto"/>
              </w:rPr>
            </w:pPr>
            <w:r>
              <w:rPr>
                <w:rFonts w:ascii="Arial" w:cs="Arial" w:eastAsia="Arial" w:hAnsi="Arial"/>
                <w:sz w:val="19"/>
                <w:szCs w:val="19"/>
                <w:color w:val="auto"/>
              </w:rPr>
              <w:t>(28,915)</w:t>
            </w:r>
          </w:p>
        </w:tc>
        <w:tc>
          <w:tcPr>
            <w:tcW w:w="1040" w:type="dxa"/>
            <w:vAlign w:val="bottom"/>
            <w:gridSpan w:val="2"/>
          </w:tcPr>
          <w:p>
            <w:pPr>
              <w:jc w:val="right"/>
              <w:ind w:right="60"/>
              <w:spacing w:after="0"/>
              <w:rPr>
                <w:sz w:val="20"/>
                <w:szCs w:val="20"/>
                <w:color w:val="auto"/>
              </w:rPr>
            </w:pPr>
            <w:r>
              <w:rPr>
                <w:rFonts w:ascii="Arial" w:cs="Arial" w:eastAsia="Arial" w:hAnsi="Arial"/>
                <w:sz w:val="19"/>
                <w:szCs w:val="19"/>
                <w:color w:val="auto"/>
              </w:rPr>
              <w:t>(32,737)</w:t>
            </w:r>
          </w:p>
        </w:tc>
      </w:tr>
      <w:tr>
        <w:trPr>
          <w:trHeight w:val="228"/>
        </w:trPr>
        <w:tc>
          <w:tcPr>
            <w:tcW w:w="446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 deficit</w:t>
            </w:r>
          </w:p>
        </w:tc>
        <w:tc>
          <w:tcPr>
            <w:tcW w:w="6140" w:type="dxa"/>
            <w:vAlign w:val="bottom"/>
            <w:gridSpan w:val="2"/>
            <w:shd w:val="clear" w:color="auto" w:fill="CCEEFF"/>
          </w:tcPr>
          <w:p>
            <w:pPr>
              <w:jc w:val="right"/>
              <w:ind w:right="119"/>
              <w:spacing w:after="0"/>
              <w:rPr>
                <w:sz w:val="20"/>
                <w:szCs w:val="20"/>
                <w:color w:val="auto"/>
              </w:rPr>
            </w:pPr>
            <w:r>
              <w:rPr>
                <w:rFonts w:ascii="Arial" w:cs="Arial" w:eastAsia="Arial" w:hAnsi="Arial"/>
                <w:sz w:val="19"/>
                <w:szCs w:val="19"/>
                <w:color w:val="auto"/>
              </w:rPr>
              <w:t>(28,838)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(26,671)</w:t>
            </w:r>
          </w:p>
        </w:tc>
      </w:tr>
      <w:tr>
        <w:trPr>
          <w:trHeight w:val="384"/>
        </w:trPr>
        <w:tc>
          <w:tcPr>
            <w:tcW w:w="4460" w:type="dxa"/>
            <w:vAlign w:val="bottom"/>
          </w:tcPr>
          <w:p>
            <w:pPr>
              <w:spacing w:after="0"/>
              <w:rPr>
                <w:sz w:val="24"/>
                <w:szCs w:val="24"/>
                <w:color w:val="auto"/>
              </w:rPr>
            </w:pPr>
          </w:p>
        </w:tc>
        <w:tc>
          <w:tcPr>
            <w:tcW w:w="5160" w:type="dxa"/>
            <w:vAlign w:val="bottom"/>
          </w:tcPr>
          <w:p>
            <w:pPr>
              <w:jc w:val="right"/>
              <w:ind w:right="3605"/>
              <w:spacing w:after="0"/>
              <w:rPr>
                <w:sz w:val="20"/>
                <w:szCs w:val="20"/>
                <w:color w:val="auto"/>
              </w:rPr>
            </w:pPr>
            <w:r>
              <w:rPr>
                <w:rFonts w:ascii="Arial" w:cs="Arial" w:eastAsia="Arial" w:hAnsi="Arial"/>
                <w:sz w:val="19"/>
                <w:szCs w:val="19"/>
                <w:color w:val="auto"/>
              </w:rPr>
              <w:t>54</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59" w:name="page60"/>
    <w:bookmarkEnd w:id="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MANAGEMENT’S DISCUSSION AND ANALYSIS OF FINANCIAL CONDITION AND RESULTS OF OPERATIONS</w:t>
      </w:r>
    </w:p>
    <w:p>
      <w:pPr>
        <w:spacing w:after="0" w:line="24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90"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The positive impact we have on our hosts and customers is reflected in our average customer Net Promoter Score (NPS), which has been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Since our inception, our consistent focus on innovation has allowed us to achieve the following significant milestones:</w:t>
      </w:r>
    </w:p>
    <w:p>
      <w:pPr>
        <w:spacing w:after="0" w:line="132" w:lineRule="exact"/>
        <w:rPr>
          <w:sz w:val="20"/>
          <w:szCs w:val="20"/>
          <w:color w:val="auto"/>
        </w:rPr>
      </w:pPr>
    </w:p>
    <w:p>
      <w:pPr>
        <w:ind w:left="1100" w:hanging="464"/>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2011: </w:t>
      </w:r>
      <w:r>
        <w:rPr>
          <w:rFonts w:ascii="Arial" w:cs="Arial" w:eastAsia="Arial" w:hAnsi="Arial"/>
          <w:sz w:val="19"/>
          <w:szCs w:val="19"/>
          <w:color w:val="auto"/>
        </w:rPr>
        <w:t>Zoom founded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2013: </w:t>
      </w:r>
      <w:r>
        <w:rPr>
          <w:rFonts w:ascii="Arial" w:cs="Arial" w:eastAsia="Arial" w:hAnsi="Arial"/>
          <w:sz w:val="19"/>
          <w:szCs w:val="19"/>
          <w:color w:val="auto"/>
        </w:rPr>
        <w:t>First public release of Zoom Meetings, which supported 200 million annual meeting minutes by year end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2014: </w:t>
      </w:r>
      <w:r>
        <w:rPr>
          <w:rFonts w:ascii="Arial" w:cs="Arial" w:eastAsia="Arial" w:hAnsi="Arial"/>
          <w:sz w:val="19"/>
          <w:szCs w:val="19"/>
          <w:color w:val="auto"/>
        </w:rPr>
        <w:t>Introduced Zoom Chat, Zoom Video Webinar and Zoom Rooms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Revolutionized mobile screen sharing, introduced Zoom Video Breakout Rooms and partnered with Slack and salesforce.com</w:t>
      </w:r>
    </w:p>
    <w:p>
      <w:pPr>
        <w:spacing w:after="0" w:line="149" w:lineRule="exact"/>
        <w:rPr>
          <w:rFonts w:ascii="Arial" w:cs="Arial" w:eastAsia="Arial" w:hAnsi="Arial"/>
          <w:sz w:val="18"/>
          <w:szCs w:val="18"/>
          <w:color w:val="auto"/>
        </w:rPr>
      </w:pPr>
    </w:p>
    <w:p>
      <w:pPr>
        <w:ind w:left="1100" w:right="280" w:hanging="464"/>
        <w:spacing w:after="0" w:line="282" w:lineRule="auto"/>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2016: </w:t>
      </w:r>
      <w:r>
        <w:rPr>
          <w:rFonts w:ascii="Arial" w:cs="Arial" w:eastAsia="Arial" w:hAnsi="Arial"/>
          <w:sz w:val="19"/>
          <w:szCs w:val="19"/>
          <w:color w:val="auto"/>
        </w:rPr>
        <w:t>Added native interoperability with Microsoft Skype for business, introduced touch and three-screen support for Zoom Rooms and</w:t>
      </w:r>
      <w:r>
        <w:rPr>
          <w:rFonts w:ascii="Arial" w:cs="Arial" w:eastAsia="Arial" w:hAnsi="Arial"/>
          <w:sz w:val="19"/>
          <w:szCs w:val="19"/>
          <w:b w:val="1"/>
          <w:bCs w:val="1"/>
          <w:color w:val="auto"/>
        </w:rPr>
        <w:t xml:space="preserve"> </w:t>
      </w:r>
      <w:r>
        <w:rPr>
          <w:rFonts w:ascii="Arial" w:cs="Arial" w:eastAsia="Arial" w:hAnsi="Arial"/>
          <w:sz w:val="19"/>
          <w:szCs w:val="19"/>
          <w:color w:val="auto"/>
        </w:rPr>
        <w:t>reached six billion annual meeting minutes</w:t>
      </w:r>
    </w:p>
    <w:p>
      <w:pPr>
        <w:spacing w:after="0" w:line="71" w:lineRule="exact"/>
        <w:rPr>
          <w:rFonts w:ascii="Arial" w:cs="Arial" w:eastAsia="Arial" w:hAnsi="Arial"/>
          <w:sz w:val="19"/>
          <w:szCs w:val="19"/>
          <w:color w:val="auto"/>
        </w:rPr>
      </w:pPr>
    </w:p>
    <w:p>
      <w:pPr>
        <w:ind w:left="1100" w:right="180" w:hanging="464"/>
        <w:spacing w:after="0" w:line="282" w:lineRule="auto"/>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2017: </w:t>
      </w:r>
      <w:r>
        <w:rPr>
          <w:rFonts w:ascii="Arial" w:cs="Arial" w:eastAsia="Arial" w:hAnsi="Arial"/>
          <w:sz w:val="19"/>
          <w:szCs w:val="19"/>
          <w:color w:val="auto"/>
        </w:rPr>
        <w:t>Announced Zoom Developer Platform, hosted our first user conference, Zoomtopia, and opened offices in Australia and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Kingdom</w:t>
      </w:r>
    </w:p>
    <w:p>
      <w:pPr>
        <w:spacing w:after="0" w:line="71" w:lineRule="exact"/>
        <w:rPr>
          <w:rFonts w:ascii="Arial" w:cs="Arial" w:eastAsia="Arial" w:hAnsi="Arial"/>
          <w:sz w:val="19"/>
          <w:szCs w:val="19"/>
          <w:color w:val="auto"/>
        </w:rPr>
      </w:pPr>
    </w:p>
    <w:p>
      <w:pPr>
        <w:ind w:left="1100" w:hanging="464"/>
        <w:spacing w:after="0"/>
        <w:tabs>
          <w:tab w:leader="none" w:pos="110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2018: </w:t>
      </w:r>
      <w:r>
        <w:rPr>
          <w:rFonts w:ascii="Arial" w:cs="Arial" w:eastAsia="Arial" w:hAnsi="Arial"/>
          <w:sz w:val="19"/>
          <w:szCs w:val="19"/>
          <w:color w:val="auto"/>
        </w:rPr>
        <w:t>Announced Zoom Phone, Zoom App Marketplace and partnerships with Atlassian and Dropbox</w:t>
      </w:r>
    </w:p>
    <w:p>
      <w:pPr>
        <w:spacing w:after="0" w:line="17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55</w:t>
      </w:r>
    </w:p>
    <w:p>
      <w:pPr>
        <w:sectPr>
          <w:pgSz w:w="12240" w:h="15840" w:orient="portrait"/>
          <w:cols w:equalWidth="0" w:num="1">
            <w:col w:w="11740"/>
          </w:cols>
          <w:pgMar w:left="120" w:top="336" w:right="380" w:bottom="1440" w:gutter="0" w:footer="0" w:header="0"/>
        </w:sectPr>
      </w:pPr>
    </w:p>
    <w:bookmarkStart w:id="60" w:name="page61"/>
    <w:bookmarkEnd w:id="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84" w:lineRule="auto"/>
        <w:rPr>
          <w:sz w:val="20"/>
          <w:szCs w:val="20"/>
          <w:color w:val="auto"/>
        </w:rPr>
      </w:pPr>
      <w:r>
        <w:rPr>
          <w:rFonts w:ascii="Arial" w:cs="Arial" w:eastAsia="Arial" w:hAnsi="Arial"/>
          <w:sz w:val="18"/>
          <w:szCs w:val="18"/>
          <w:color w:val="auto"/>
        </w:rPr>
        <w:t>Our revenue was $60.8 million and $151.5 million for the fiscal years ended January 31, 2017 and 2018, respectively, representing annual revenue growth of 149%. Our net loss was $0.0 million and $3.8 million for the fiscal years ended January 31, 2017 and 2018, respectively. Cash provided by operations was $9.4 million and $19.4 million for the fiscal years ended January 31, 2017 and 2018, respectively.</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Business Model</w:t>
      </w:r>
    </w:p>
    <w:p>
      <w:pPr>
        <w:spacing w:after="0" w:line="130"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We generate revenue from the sale of subscriptions to our video-first communications platform. Subscription revenue is driven primarily by the number of paid hosts, as well as purchases of additional products including Zoom Rooms and Video Webinars. A host is any user of our video-first communications platform that initiates a Zoom Meeting and invites one or more participants to join that meeting. We refer to hosts that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78" w:lineRule="exact"/>
        <w:rPr>
          <w:sz w:val="20"/>
          <w:szCs w:val="20"/>
          <w:color w:val="auto"/>
        </w:rPr>
      </w:pPr>
    </w:p>
    <w:p>
      <w:pPr>
        <w:ind w:left="180" w:right="300" w:firstLine="465"/>
        <w:spacing w:after="0" w:line="259" w:lineRule="auto"/>
        <w:rPr>
          <w:sz w:val="20"/>
          <w:szCs w:val="20"/>
          <w:color w:val="auto"/>
        </w:rPr>
      </w:pPr>
      <w:r>
        <w:rPr>
          <w:rFonts w:ascii="Arial" w:cs="Arial" w:eastAsia="Arial" w:hAnsi="Arial"/>
          <w:sz w:val="19"/>
          <w:szCs w:val="19"/>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Go-to-Market Model</w:t>
      </w:r>
    </w:p>
    <w:p>
      <w:pPr>
        <w:spacing w:after="0" w:line="130"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88" w:lineRule="exact"/>
        <w:rPr>
          <w:sz w:val="20"/>
          <w:szCs w:val="20"/>
          <w:color w:val="auto"/>
        </w:rPr>
      </w:pPr>
    </w:p>
    <w:p>
      <w:pPr>
        <w:ind w:left="180" w:right="100" w:firstLine="465"/>
        <w:spacing w:after="0" w:line="286" w:lineRule="auto"/>
        <w:rPr>
          <w:sz w:val="20"/>
          <w:szCs w:val="20"/>
          <w:color w:val="auto"/>
        </w:rPr>
      </w:pPr>
      <w:r>
        <w:rPr>
          <w:rFonts w:ascii="Arial" w:cs="Arial" w:eastAsia="Arial" w:hAnsi="Arial"/>
          <w:sz w:val="17"/>
          <w:szCs w:val="17"/>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As of January 31, 2019, 66% of our 521 customers with more than $100,000 of annual recurring revenue (ARR) started with at least one free host prior to subscribing, with these 521 customers representing 33% of total ARR for the fiscal year ended January 31, 2019. We define ARR as the annualized revenue run-rate of a contracted customer agreement at a point in time. We calculate ARR by taking the monthly recurring revenue (MRR) and multiplying it by 12. MRR is defined as recurring revenue for the last month of the period from all customers under contract with us for a recurring subscription, including monthly subscribers who have not provided any indication that they intend to cancel. MRR should be viewed independently of revenue as MRR is an operating metric and not intended to be a replacement or forecast of revenue.</w:t>
      </w:r>
    </w:p>
    <w:p>
      <w:pPr>
        <w:spacing w:after="0" w:line="181"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Our customer base is diverse and spans various industries and countries. Our top 10 customers accounted for less than 10% of revenue for each of the fiscal years ended January 31, 2017 and 2018.</w:t>
      </w:r>
    </w:p>
    <w:p>
      <w:pPr>
        <w:spacing w:after="0" w:line="184"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We have experienced significant success in attracting large enterprise accounts using our model. As of January 31, 2019, we had 521 customers with greater than $100,000 of ARR, compared to just 244 customers one year before.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56</w:t>
      </w:r>
    </w:p>
    <w:p>
      <w:pPr>
        <w:sectPr>
          <w:pgSz w:w="12240" w:h="15840" w:orient="portrait"/>
          <w:cols w:equalWidth="0" w:num="1">
            <w:col w:w="11800"/>
          </w:cols>
          <w:pgMar w:left="120" w:top="336" w:right="320" w:bottom="1440" w:gutter="0" w:footer="0" w:header="0"/>
        </w:sectPr>
      </w:pPr>
    </w:p>
    <w:bookmarkStart w:id="61" w:name="page62"/>
    <w:bookmarkEnd w:id="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Acquiring New Customers</w:t>
      </w:r>
    </w:p>
    <w:p>
      <w:pPr>
        <w:spacing w:after="0" w:line="124"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Expansion of Zoom Across Existing Customers</w:t>
      </w:r>
    </w:p>
    <w:p>
      <w:pPr>
        <w:spacing w:after="0" w:line="124"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We believe that there is a large opportunity for growth with many of our existing customers. As of January 31, 2019, greater than 50% of the Fortune 500 had at least one paid Zoom host, but only 4% had ARR greater than $100,000.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9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same customers as of the current period end (Current Period ARR). Current Period ARR includes any upsells and is net of contraction or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Innovation and Expansion of Our Platform</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continue to invest resources to enhance the capabilities of our platform. We recently announced Zoom Phone in October 2018 and expect to make this product generally available in 2019. We also recently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57</w:t>
      </w:r>
    </w:p>
    <w:p>
      <w:pPr>
        <w:sectPr>
          <w:pgSz w:w="12240" w:h="15840" w:orient="portrait"/>
          <w:cols w:equalWidth="0" w:num="1">
            <w:col w:w="11800"/>
          </w:cols>
          <w:pgMar w:left="120" w:top="336" w:right="320" w:bottom="1440" w:gutter="0" w:footer="0" w:header="0"/>
        </w:sectPr>
      </w:pPr>
    </w:p>
    <w:bookmarkStart w:id="62" w:name="page63"/>
    <w:bookmarkEnd w:id="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International Expansion</w:t>
      </w:r>
    </w:p>
    <w:p>
      <w:pPr>
        <w:spacing w:after="0" w:line="12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Our platform addresses the communications needs of users worldwide. Minimal updates are required in order to make Zoom available for foreign markets, and we see international expansion as a major opportunity.</w:t>
      </w:r>
    </w:p>
    <w:p>
      <w:pPr>
        <w:spacing w:after="0" w:line="184"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We only recently started to expand our go-to-market operations internationally. Our international revenue represented 17% of our revenue in the fiscal year ended January 31, 2018 when we first established a physical sales presence in Australia and the United Kingdom. In the fiscal year ended January 31, 2019, we added four additional local sales locations in France, Japan, the Netherlands and Singapore, and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Key Business Metrics</w:t>
      </w:r>
    </w:p>
    <w:p>
      <w:pPr>
        <w:spacing w:after="0" w:line="130"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We review the following key business metrics to measure our performance, identify trends, formulate financial projections, and make strategic decisions.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Customers with Greater Than 10 Employees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January 31, 2019, we had approximately 50,800 customers with more than 10 employees, which represented 79% of total ARR, compared to approximately 25,800 such customers at the end of the prior fiscal year, which represented 75% of total ARR. When disclosing this metric, we round down to the nearest hundred.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Customers with Greater Than $100,000 of Annual Recurring Revenue</w:t>
      </w:r>
    </w:p>
    <w:p>
      <w:pPr>
        <w:spacing w:after="0" w:line="12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We focus on growing the number of customers with greater than $100,000 of ARR as a measure of our ability to scale with our customers and attract larger organizations to Zoom. As of January 31, 2019, we had 521 customers with greater than $100,000 of ARR, which represented 33% of total ARR compared to 244 such customers one year before, representing 27% of total ARR, demonstrating our rapid penetration of larger organizations including enterprises. These customers are a subset of the customers with greater than 10 employees. We define customers with greater than $100,000 of ARR as those customers on a subscription plan that have more than $100,000 in ARR as of a period end.</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Components of Results of Operations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w:t>
      </w:r>
    </w:p>
    <w:p>
      <w:pPr>
        <w:spacing w:after="0" w:line="124" w:lineRule="exact"/>
        <w:rPr>
          <w:sz w:val="20"/>
          <w:szCs w:val="20"/>
          <w:color w:val="auto"/>
        </w:rPr>
      </w:pPr>
    </w:p>
    <w:p>
      <w:pPr>
        <w:ind w:left="180" w:right="60" w:firstLine="465"/>
        <w:spacing w:after="0" w:line="284" w:lineRule="auto"/>
        <w:rPr>
          <w:sz w:val="20"/>
          <w:szCs w:val="20"/>
          <w:color w:val="auto"/>
        </w:rPr>
      </w:pPr>
      <w:r>
        <w:rPr>
          <w:rFonts w:ascii="Arial" w:cs="Arial" w:eastAsia="Arial" w:hAnsi="Arial"/>
          <w:sz w:val="18"/>
          <w:szCs w:val="18"/>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Cost of Revenue</w:t>
      </w:r>
    </w:p>
    <w:p>
      <w:pPr>
        <w:spacing w:after="0" w:line="124"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Cost of revenue primarily consists of costs related to hosting our video-first communications platform and providing general operating support services to our customers. These costs are related to our co-located data</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58</w:t>
      </w:r>
    </w:p>
    <w:p>
      <w:pPr>
        <w:sectPr>
          <w:pgSz w:w="12240" w:h="15840" w:orient="portrait"/>
          <w:cols w:equalWidth="0" w:num="1">
            <w:col w:w="11820"/>
          </w:cols>
          <w:pgMar w:left="120" w:top="336" w:right="300" w:bottom="1440" w:gutter="0" w:footer="0" w:header="0"/>
        </w:sectPr>
      </w:pPr>
    </w:p>
    <w:bookmarkStart w:id="63" w:name="page64"/>
    <w:bookmarkEnd w:id="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80"/>
        <w:spacing w:after="0" w:line="336" w:lineRule="auto"/>
        <w:rPr>
          <w:sz w:val="20"/>
          <w:szCs w:val="20"/>
          <w:color w:val="auto"/>
        </w:rPr>
      </w:pPr>
      <w:r>
        <w:rPr>
          <w:rFonts w:ascii="Arial" w:cs="Arial" w:eastAsia="Arial" w:hAnsi="Arial"/>
          <w:sz w:val="17"/>
          <w:szCs w:val="17"/>
          <w:color w:val="auto"/>
        </w:rPr>
        <w:t>centers, third-party cloud hosting, integrated third-party public switched telephone network (PSTN) services, personnel-related costs, amortization of capitalized software development and allocated overhead. We expect our cost of revenue to increase in absolute dollars as our revenue increases.</w:t>
      </w:r>
    </w:p>
    <w:p>
      <w:pPr>
        <w:spacing w:after="0" w:line="25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Research and Development</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Research and development expenses primarily consist of personnel-related costs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Sales and Marketing</w:t>
      </w:r>
    </w:p>
    <w:p>
      <w:pPr>
        <w:spacing w:after="0" w:line="124" w:lineRule="exact"/>
        <w:rPr>
          <w:sz w:val="20"/>
          <w:szCs w:val="20"/>
          <w:color w:val="auto"/>
        </w:rPr>
      </w:pPr>
    </w:p>
    <w:p>
      <w:pPr>
        <w:ind w:left="180" w:firstLine="465"/>
        <w:spacing w:after="0" w:line="272" w:lineRule="auto"/>
        <w:rPr>
          <w:sz w:val="20"/>
          <w:szCs w:val="20"/>
          <w:color w:val="auto"/>
        </w:rPr>
      </w:pPr>
      <w:r>
        <w:rPr>
          <w:rFonts w:ascii="Arial" w:cs="Arial" w:eastAsia="Arial" w:hAnsi="Arial"/>
          <w:sz w:val="18"/>
          <w:szCs w:val="18"/>
          <w:color w:val="auto"/>
        </w:rPr>
        <w:t>Sales and marketing expenses primarily consist of personnel-related costs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 While we expect our sales and marketing expenses to decrease as a percentage of our revenue over time, they may fluctuate as a percentage of our revenue from period to period.</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General and Administrative</w:t>
      </w:r>
    </w:p>
    <w:p>
      <w:pPr>
        <w:spacing w:after="0" w:line="124"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color w:val="auto"/>
        </w:rPr>
        <w:t>General and administrative expenses primarily consist of personnel-related costs associated with our finance, legal and human resources organizations, professional fees for external legal, accounting and other consulting services,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Interest Income,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Interest income, net consists primarily of interest income earned on our cash equivalents and marketable securities.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Other Income,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Other income, net consists primarily of miscellaneous non-operational income and expenses.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Provision for Income Taxes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Provision for income taxes consists primarily of income taxes related to foreign and state jurisdictions in which we conduct business.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59</w:t>
      </w:r>
    </w:p>
    <w:p>
      <w:pPr>
        <w:sectPr>
          <w:pgSz w:w="12240" w:h="15840" w:orient="portrait"/>
          <w:cols w:equalWidth="0" w:num="1">
            <w:col w:w="11800"/>
          </w:cols>
          <w:pgMar w:left="120" w:top="336" w:right="320" w:bottom="1440" w:gutter="0" w:footer="0" w:header="0"/>
        </w:sectPr>
      </w:pPr>
    </w:p>
    <w:bookmarkStart w:id="64" w:name="page65"/>
    <w:bookmarkEnd w:id="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Results of Operations</w:t>
      </w:r>
    </w:p>
    <w:p>
      <w:pPr>
        <w:spacing w:after="0" w:line="130"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The following tables set forth selected consolidated statements of operations data and such data as a percentage of total revenue for each of the periods indicated:</w:t>
      </w:r>
    </w:p>
    <w:p>
      <w:pPr>
        <w:spacing w:after="0" w:line="203" w:lineRule="exact"/>
        <w:rPr>
          <w:sz w:val="20"/>
          <w:szCs w:val="20"/>
          <w:color w:val="auto"/>
        </w:rPr>
      </w:pPr>
    </w:p>
    <w:p>
      <w:pPr>
        <w:ind w:left="10380"/>
        <w:spacing w:after="0"/>
        <w:rPr>
          <w:sz w:val="20"/>
          <w:szCs w:val="20"/>
          <w:color w:val="auto"/>
        </w:rPr>
      </w:pPr>
      <w:r>
        <w:rPr>
          <w:rFonts w:ascii="Arial" w:cs="Arial" w:eastAsia="Arial" w:hAnsi="Arial"/>
          <w:sz w:val="15"/>
          <w:szCs w:val="15"/>
          <w:b w:val="1"/>
          <w:bCs w:val="1"/>
          <w:color w:val="auto"/>
        </w:rPr>
        <w:t>Year Ended</w:t>
      </w:r>
    </w:p>
    <w:p>
      <w:pPr>
        <w:ind w:left="1038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07"/>
              <w:spacing w:after="0" w:line="151" w:lineRule="exact"/>
              <w:rPr>
                <w:sz w:val="20"/>
                <w:szCs w:val="20"/>
                <w:color w:val="auto"/>
              </w:rPr>
            </w:pPr>
            <w:r>
              <w:rPr>
                <w:rFonts w:ascii="Arial" w:cs="Arial" w:eastAsia="Arial" w:hAnsi="Arial"/>
                <w:sz w:val="15"/>
                <w:szCs w:val="15"/>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0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jc w:val="right"/>
              <w:ind w:right="386"/>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99"/>
              </w:rPr>
              <w:t>60,817</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151,478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20" w:type="dxa"/>
            <w:vAlign w:val="bottom"/>
            <w:gridSpan w:val="2"/>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w w:val="99"/>
              </w:rPr>
              <w:t>12,472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9"/>
              </w:rPr>
              <w:t>48,345</w:t>
            </w:r>
          </w:p>
        </w:tc>
        <w:tc>
          <w:tcPr>
            <w:tcW w:w="46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7"/>
              </w:rPr>
              <w:t>120,698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9,218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9"/>
                <w:szCs w:val="19"/>
                <w:color w:val="auto"/>
                <w:w w:val="99"/>
              </w:rPr>
              <w:t>31,580</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7,547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9620" w:type="dxa"/>
            <w:vAlign w:val="bottom"/>
            <w:gridSpan w:val="2"/>
          </w:tcPr>
          <w:p>
            <w:pPr>
              <w:ind w:left="112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9"/>
              </w:rPr>
              <w:t>48,345</w:t>
            </w:r>
          </w:p>
        </w:tc>
        <w:tc>
          <w:tcPr>
            <w:tcW w:w="4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87"/>
              </w:rPr>
              <w:t>125,531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98</w:t>
            </w:r>
          </w:p>
        </w:tc>
        <w:tc>
          <w:tcPr>
            <w:tcW w:w="4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9640" w:type="dxa"/>
            <w:vAlign w:val="bottom"/>
            <w:gridSpan w:val="3"/>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158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(172)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9640" w:type="dxa"/>
            <w:vAlign w:val="bottom"/>
            <w:gridSpan w:val="3"/>
            <w:vMerge w:val="restart"/>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4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90"/>
              </w:rPr>
              <w:t>(14,366)</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9"/>
                <w:szCs w:val="19"/>
                <w:color w:val="auto"/>
              </w:rPr>
              <w:t>Net loss attributable to common stockholders</w:t>
            </w:r>
            <w:r>
              <w:rPr>
                <w:rFonts w:ascii="Arial" w:cs="Arial" w:eastAsia="Arial" w:hAnsi="Arial"/>
                <w:sz w:val="16"/>
                <w:szCs w:val="16"/>
                <w:color w:val="auto"/>
              </w:rPr>
              <w:t>(2)</w:t>
            </w:r>
          </w:p>
        </w:tc>
        <w:tc>
          <w:tcPr>
            <w:tcW w:w="100" w:type="dxa"/>
            <w:vAlign w:val="bottom"/>
          </w:tcPr>
          <w:p>
            <w:pPr>
              <w:jc w:val="right"/>
              <w:spacing w:after="0"/>
              <w:rPr>
                <w:sz w:val="20"/>
                <w:szCs w:val="20"/>
                <w:color w:val="auto"/>
              </w:rPr>
            </w:pPr>
            <w:r>
              <w:rPr>
                <w:rFonts w:ascii="Arial" w:cs="Arial" w:eastAsia="Arial" w:hAnsi="Arial"/>
                <w:sz w:val="19"/>
                <w:szCs w:val="19"/>
                <w:u w:val="single" w:color="auto"/>
                <w:color w:val="auto"/>
                <w:w w:val="75"/>
              </w:rPr>
              <w:t>$</w:t>
            </w: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w w:val="90"/>
              </w:rPr>
              <w:t>(14,380)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hanging="461"/>
        <w:spacing w:after="0"/>
        <w:tabs>
          <w:tab w:leader="none" w:pos="6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Includes stock-based compensation expense as follows:</w:t>
      </w:r>
    </w:p>
    <w:p>
      <w:pPr>
        <w:spacing w:after="0" w:line="258"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11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1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67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r>
      <w:tr>
        <w:trPr>
          <w:trHeight w:val="228"/>
        </w:trPr>
        <w:tc>
          <w:tcPr>
            <w:tcW w:w="6760" w:type="dxa"/>
            <w:vAlign w:val="bottom"/>
            <w:gridSpan w:val="2"/>
          </w:tcPr>
          <w:p>
            <w:pPr>
              <w:spacing w:after="0"/>
              <w:rPr>
                <w:sz w:val="20"/>
                <w:szCs w:val="20"/>
                <w:color w:val="auto"/>
              </w:rPr>
            </w:pPr>
            <w:r>
              <w:rPr>
                <w:rFonts w:ascii="Arial" w:cs="Arial" w:eastAsia="Arial" w:hAnsi="Arial"/>
                <w:sz w:val="19"/>
                <w:szCs w:val="19"/>
                <w:color w:val="auto"/>
              </w:rPr>
              <w:t>Research and development</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r>
      <w:tr>
        <w:trPr>
          <w:trHeight w:val="228"/>
        </w:trPr>
        <w:tc>
          <w:tcPr>
            <w:tcW w:w="67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r>
      <w:tr>
        <w:trPr>
          <w:trHeight w:val="237"/>
        </w:trPr>
        <w:tc>
          <w:tcPr>
            <w:tcW w:w="6760" w:type="dxa"/>
            <w:vAlign w:val="bottom"/>
            <w:gridSpan w:val="2"/>
          </w:tcPr>
          <w:p>
            <w:pPr>
              <w:spacing w:after="0"/>
              <w:rPr>
                <w:sz w:val="20"/>
                <w:szCs w:val="20"/>
                <w:color w:val="auto"/>
              </w:rPr>
            </w:pPr>
            <w:r>
              <w:rPr>
                <w:rFonts w:ascii="Arial" w:cs="Arial" w:eastAsia="Arial" w:hAnsi="Arial"/>
                <w:sz w:val="19"/>
                <w:szCs w:val="19"/>
                <w:color w:val="auto"/>
              </w:rPr>
              <w:t>General and administrative</w:t>
            </w: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r>
      <w:tr>
        <w:trPr>
          <w:trHeight w:val="228"/>
        </w:trPr>
        <w:tc>
          <w:tcPr>
            <w:tcW w:w="676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1160" w:type="dxa"/>
            <w:vAlign w:val="bottom"/>
            <w:tcBorders>
              <w:bottom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29" w:lineRule="exact"/>
        <w:rPr>
          <w:sz w:val="20"/>
          <w:szCs w:val="20"/>
          <w:color w:val="auto"/>
        </w:rPr>
      </w:pPr>
    </w:p>
    <w:p>
      <w:pPr>
        <w:ind w:left="640" w:right="20" w:hanging="461"/>
        <w:spacing w:after="0" w:line="29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6 to our consolidated financial statements included elsewhere in this prospectus for more information.</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60</w:t>
      </w:r>
    </w:p>
    <w:p>
      <w:pPr>
        <w:sectPr>
          <w:pgSz w:w="12240" w:h="15840" w:orient="portrait"/>
          <w:cols w:equalWidth="0" w:num="1">
            <w:col w:w="11820"/>
          </w:cols>
          <w:pgMar w:left="120" w:top="336" w:right="300" w:bottom="1440" w:gutter="0" w:footer="0" w:header="0"/>
        </w:sectPr>
      </w:pPr>
    </w:p>
    <w:bookmarkStart w:id="65" w:name="page66"/>
    <w:bookmarkEnd w:id="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25"/>
              <w:spacing w:after="0" w:line="151" w:lineRule="exact"/>
              <w:rPr>
                <w:sz w:val="20"/>
                <w:szCs w:val="20"/>
                <w:color w:val="auto"/>
              </w:rPr>
            </w:pPr>
            <w:r>
              <w:rPr>
                <w:rFonts w:ascii="Arial" w:cs="Arial" w:eastAsia="Arial" w:hAnsi="Arial"/>
                <w:sz w:val="15"/>
                <w:szCs w:val="15"/>
                <w:b w:val="1"/>
                <w:bCs w:val="1"/>
                <w:color w:val="auto"/>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80" w:type="dxa"/>
            <w:vAlign w:val="bottom"/>
            <w:gridSpan w:val="8"/>
          </w:tcPr>
          <w:p>
            <w:pPr>
              <w:jc w:val="right"/>
              <w:ind w:right="520"/>
              <w:spacing w:after="0" w:line="151" w:lineRule="exact"/>
              <w:rPr>
                <w:sz w:val="20"/>
                <w:szCs w:val="20"/>
                <w:color w:val="auto"/>
              </w:rPr>
            </w:pPr>
            <w:r>
              <w:rPr>
                <w:rFonts w:ascii="Arial" w:cs="Arial" w:eastAsia="Arial" w:hAnsi="Arial"/>
                <w:sz w:val="15"/>
                <w:szCs w:val="15"/>
                <w:b w:val="1"/>
                <w:bCs w:val="1"/>
                <w:color w:val="auto"/>
              </w:rPr>
              <w:t>(as a percentage of revenue)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10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100%</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9"/>
                <w:szCs w:val="19"/>
                <w:color w:val="auto"/>
              </w:rPr>
              <w:t>Cost of revenue</w:t>
            </w: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21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9"/>
                <w:szCs w:val="19"/>
                <w:color w:val="auto"/>
              </w:rPr>
              <w:t>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Gross profit</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79</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80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860" w:type="dxa"/>
            <w:vAlign w:val="bottom"/>
            <w:gridSpan w:val="3"/>
          </w:tcPr>
          <w:p>
            <w:pPr>
              <w:spacing w:after="0"/>
              <w:rPr>
                <w:sz w:val="20"/>
                <w:szCs w:val="20"/>
                <w:color w:val="auto"/>
              </w:rPr>
            </w:pPr>
            <w:r>
              <w:rPr>
                <w:rFonts w:ascii="Arial" w:cs="Arial" w:eastAsia="Arial" w:hAnsi="Arial"/>
                <w:sz w:val="19"/>
                <w:szCs w:val="19"/>
                <w:color w:val="auto"/>
              </w:rPr>
              <w:t>Operating expenses:</w:t>
            </w:r>
          </w:p>
        </w:tc>
        <w:tc>
          <w:tcPr>
            <w:tcW w:w="9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15</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10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tcPr>
          <w:p>
            <w:pPr>
              <w:ind w:left="360"/>
              <w:spacing w:after="0"/>
              <w:rPr>
                <w:sz w:val="20"/>
                <w:szCs w:val="20"/>
                <w:color w:val="auto"/>
              </w:rPr>
            </w:pPr>
            <w:r>
              <w:rPr>
                <w:rFonts w:ascii="Arial" w:cs="Arial" w:eastAsia="Arial" w:hAnsi="Arial"/>
                <w:sz w:val="19"/>
                <w:szCs w:val="19"/>
                <w:color w:val="auto"/>
              </w:rPr>
              <w:t>Sales and marketing</w:t>
            </w: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52</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9"/>
                <w:szCs w:val="19"/>
                <w:color w:val="auto"/>
              </w:rPr>
              <w:t>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12</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9"/>
                <w:szCs w:val="19"/>
                <w:color w:val="auto"/>
              </w:rPr>
              <w:t>18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vMerge w:val="restart"/>
          </w:tcPr>
          <w:p>
            <w:pPr>
              <w:ind w:left="1120"/>
              <w:spacing w:after="0"/>
              <w:rPr>
                <w:sz w:val="20"/>
                <w:szCs w:val="20"/>
                <w:color w:val="auto"/>
              </w:rPr>
            </w:pPr>
            <w:r>
              <w:rPr>
                <w:rFonts w:ascii="Arial" w:cs="Arial" w:eastAsia="Arial" w:hAnsi="Arial"/>
                <w:sz w:val="19"/>
                <w:szCs w:val="19"/>
                <w:color w:val="auto"/>
              </w:rPr>
              <w:t>Total operating expenses</w:t>
            </w: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840" w:type="dxa"/>
            <w:vAlign w:val="bottom"/>
            <w:gridSpan w:val="2"/>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79</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9"/>
                <w:szCs w:val="19"/>
                <w:color w:val="auto"/>
              </w:rPr>
              <w:t>83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9"/>
                <w:szCs w:val="19"/>
                <w:color w:val="auto"/>
              </w:rPr>
              <w:t>Interest income, net</w:t>
            </w: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9"/>
                <w:szCs w:val="19"/>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8860" w:type="dxa"/>
            <w:vAlign w:val="bottom"/>
            <w:gridSpan w:val="3"/>
            <w:vMerge w:val="restart"/>
          </w:tcPr>
          <w:p>
            <w:pPr>
              <w:spacing w:after="0"/>
              <w:rPr>
                <w:sz w:val="20"/>
                <w:szCs w:val="20"/>
                <w:color w:val="auto"/>
              </w:rPr>
            </w:pPr>
            <w:r>
              <w:rPr>
                <w:rFonts w:ascii="Arial" w:cs="Arial" w:eastAsia="Arial" w:hAnsi="Arial"/>
                <w:sz w:val="19"/>
                <w:szCs w:val="19"/>
                <w:color w:val="auto"/>
              </w:rPr>
              <w:t>Net income (loss) before provision for income taxes</w:t>
            </w: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gridSpan w:val="3"/>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8860" w:type="dxa"/>
            <w:vAlign w:val="bottom"/>
            <w:gridSpan w:val="3"/>
            <w:vMerge w:val="restart"/>
          </w:tcPr>
          <w:p>
            <w:pPr>
              <w:spacing w:after="0"/>
              <w:rPr>
                <w:sz w:val="20"/>
                <w:szCs w:val="20"/>
                <w:color w:val="auto"/>
              </w:rPr>
            </w:pPr>
            <w:r>
              <w:rPr>
                <w:rFonts w:ascii="Arial" w:cs="Arial" w:eastAsia="Arial" w:hAnsi="Arial"/>
                <w:sz w:val="19"/>
                <w:szCs w:val="19"/>
                <w:color w:val="auto"/>
              </w:rPr>
              <w:t>Net loss</w:t>
            </w: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60" w:type="dxa"/>
            <w:vAlign w:val="bottom"/>
            <w:gridSpan w:val="3"/>
            <w:vMerge w:val="continue"/>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p>
        </w:tc>
        <w:tc>
          <w:tcPr>
            <w:tcW w:w="10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9"/>
                <w:szCs w:val="19"/>
                <w:color w:val="auto"/>
              </w:rPr>
              <w:t>(24)</w:t>
            </w: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9"/>
                <w:szCs w:val="19"/>
                <w:color w:val="auto"/>
              </w:rPr>
              <w:t>Net loss attributable to common stockholders</w:t>
            </w:r>
          </w:p>
        </w:tc>
        <w:tc>
          <w:tcPr>
            <w:tcW w:w="1640" w:type="dxa"/>
            <w:vAlign w:val="bottom"/>
            <w:gridSpan w:val="3"/>
          </w:tcPr>
          <w:p>
            <w:pPr>
              <w:jc w:val="right"/>
              <w:ind w:right="414"/>
              <w:spacing w:after="0"/>
              <w:rPr>
                <w:sz w:val="20"/>
                <w:szCs w:val="20"/>
                <w:color w:val="auto"/>
              </w:rPr>
            </w:pPr>
            <w:r>
              <w:rPr>
                <w:rFonts w:ascii="Arial" w:cs="Arial" w:eastAsia="Arial" w:hAnsi="Arial"/>
                <w:sz w:val="19"/>
                <w:szCs w:val="19"/>
                <w:color w:val="auto"/>
              </w:rPr>
              <w:t>(24)%</w:t>
            </w:r>
          </w:p>
        </w:tc>
        <w:tc>
          <w:tcPr>
            <w:tcW w:w="18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vMerge w:val="restart"/>
          </w:tcPr>
          <w:p>
            <w:pPr>
              <w:ind w:left="440"/>
              <w:spacing w:after="0"/>
              <w:rPr>
                <w:sz w:val="20"/>
                <w:szCs w:val="20"/>
                <w:color w:val="auto"/>
              </w:rPr>
            </w:pPr>
            <w:r>
              <w:rPr>
                <w:rFonts w:ascii="Arial" w:cs="Arial" w:eastAsia="Arial" w:hAnsi="Arial"/>
                <w:sz w:val="19"/>
                <w:szCs w:val="19"/>
                <w:b w:val="1"/>
                <w:bCs w:val="1"/>
                <w:i w:val="1"/>
                <w:iCs w:val="1"/>
                <w:color w:val="auto"/>
              </w:rPr>
              <w:t>Comparison of the Fiscal Years Ended January 31, 2017 and 2018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88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840" w:type="dxa"/>
            <w:vAlign w:val="bottom"/>
            <w:gridSpan w:val="2"/>
          </w:tcPr>
          <w:p>
            <w:pPr>
              <w:ind w:left="440"/>
              <w:spacing w:after="0"/>
              <w:rPr>
                <w:sz w:val="20"/>
                <w:szCs w:val="20"/>
                <w:color w:val="auto"/>
              </w:rPr>
            </w:pPr>
            <w:r>
              <w:rPr>
                <w:rFonts w:ascii="Arial" w:cs="Arial" w:eastAsia="Arial" w:hAnsi="Arial"/>
                <w:sz w:val="19"/>
                <w:szCs w:val="19"/>
                <w:i w:val="1"/>
                <w:iCs w:val="1"/>
                <w:color w:val="auto"/>
              </w:rPr>
              <w:t>Revenue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gridSpan w:val="8"/>
          </w:tcPr>
          <w:p>
            <w:pPr>
              <w:jc w:val="right"/>
              <w:ind w:right="68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jc w:val="right"/>
              <w:ind w:right="270"/>
              <w:spacing w:after="0" w:line="151"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2018</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tcBorders>
              <w:top w:val="single" w:sz="8" w:color="auto"/>
            </w:tcBorders>
            <w:gridSpan w:val="4"/>
          </w:tcPr>
          <w:p>
            <w:pPr>
              <w:ind w:left="480"/>
              <w:spacing w:after="0" w:line="151" w:lineRule="exact"/>
              <w:rPr>
                <w:sz w:val="20"/>
                <w:szCs w:val="20"/>
                <w:color w:val="auto"/>
              </w:rPr>
            </w:pPr>
            <w:r>
              <w:rPr>
                <w:rFonts w:ascii="Arial" w:cs="Arial" w:eastAsia="Arial" w:hAnsi="Arial"/>
                <w:sz w:val="15"/>
                <w:szCs w:val="15"/>
                <w:b w:val="1"/>
                <w:bCs w:val="1"/>
                <w:color w:val="auto"/>
              </w:rPr>
              <w:t>(in thousands)</w:t>
            </w:r>
          </w:p>
        </w:tc>
        <w:tc>
          <w:tcPr>
            <w:tcW w:w="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900" w:type="dxa"/>
            <w:vAlign w:val="bottom"/>
            <w:tcBorders>
              <w:left w:val="single" w:sz="8" w:color="CCEEFF"/>
            </w:tcBorders>
            <w:shd w:val="clear" w:color="auto" w:fill="CCEEFF"/>
          </w:tcPr>
          <w:p>
            <w:pPr>
              <w:jc w:val="right"/>
              <w:ind w:right="110"/>
              <w:spacing w:after="0"/>
              <w:rPr>
                <w:sz w:val="20"/>
                <w:szCs w:val="20"/>
                <w:color w:val="auto"/>
              </w:rPr>
            </w:pPr>
            <w:r>
              <w:rPr>
                <w:rFonts w:ascii="Arial" w:cs="Arial" w:eastAsia="Arial" w:hAnsi="Arial"/>
                <w:sz w:val="19"/>
                <w:szCs w:val="19"/>
                <w:color w:val="auto"/>
                <w:w w:val="98"/>
              </w:rPr>
              <w:t>$60,817</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90"/>
              </w:rPr>
              <w:t>$151,478</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9"/>
                <w:szCs w:val="19"/>
                <w:color w:val="auto"/>
              </w:rPr>
              <w:t>149%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0" w:right="140" w:firstLine="465"/>
        <w:spacing w:after="0" w:line="284" w:lineRule="auto"/>
        <w:rPr>
          <w:sz w:val="20"/>
          <w:szCs w:val="20"/>
          <w:color w:val="auto"/>
        </w:rPr>
      </w:pPr>
      <w:r>
        <w:rPr>
          <w:rFonts w:ascii="Arial" w:cs="Arial" w:eastAsia="Arial" w:hAnsi="Arial"/>
          <w:sz w:val="18"/>
          <w:szCs w:val="18"/>
          <w:color w:val="auto"/>
        </w:rPr>
        <w:t>Revenue in the fiscal year ended January 31, 2018 increased by $90.7 million, or 149%, compared to the fiscal year ended January 31, 2017. The increase was substantially due to subscription services provided to existing customers which accounted for approximately 55% of the increase and to subscription services provided to new customers which accounted for approximately 45% of the increase.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Cost of Revenue</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5"/>
                <w:szCs w:val="15"/>
                <w:b w:val="1"/>
                <w:bCs w:val="1"/>
                <w:color w:val="auto"/>
              </w:rPr>
              <w:t>Year Ended January 31,</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1"/>
        </w:trPr>
        <w:tc>
          <w:tcPr>
            <w:tcW w:w="4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80" w:type="dxa"/>
            <w:vAlign w:val="bottom"/>
            <w:tcBorders>
              <w:bottom w:val="single" w:sz="8" w:color="auto"/>
            </w:tcBorders>
          </w:tcPr>
          <w:p>
            <w:pPr>
              <w:jc w:val="right"/>
              <w:ind w:right="444"/>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0"/>
              <w:spacing w:after="0" w:line="151" w:lineRule="exact"/>
              <w:rPr>
                <w:sz w:val="20"/>
                <w:szCs w:val="20"/>
                <w:color w:val="auto"/>
              </w:rPr>
            </w:pPr>
            <w:r>
              <w:rPr>
                <w:rFonts w:ascii="Arial" w:cs="Arial" w:eastAsia="Arial" w:hAnsi="Arial"/>
                <w:sz w:val="15"/>
                <w:szCs w:val="15"/>
                <w:b w:val="1"/>
                <w:bCs w:val="1"/>
                <w:color w:val="auto"/>
              </w:rPr>
              <w:t>2018</w:t>
            </w:r>
          </w:p>
        </w:tc>
        <w:tc>
          <w:tcPr>
            <w:tcW w:w="540" w:type="dxa"/>
            <w:vAlign w:val="bottom"/>
          </w:tcPr>
          <w:p>
            <w:pPr>
              <w:spacing w:after="0"/>
              <w:rPr>
                <w:sz w:val="13"/>
                <w:szCs w:val="13"/>
                <w:color w:val="auto"/>
              </w:rPr>
            </w:pPr>
          </w:p>
        </w:tc>
        <w:tc>
          <w:tcPr>
            <w:tcW w:w="340" w:type="dxa"/>
            <w:vAlign w:val="bottom"/>
            <w:tcBorders>
              <w:bottom w:val="single" w:sz="8" w:color="auto"/>
            </w:tcBorders>
          </w:tcPr>
          <w:p>
            <w:pPr>
              <w:jc w:val="right"/>
              <w:ind w:right="11"/>
              <w:spacing w:after="0" w:line="151"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r>
      <w:tr>
        <w:trPr>
          <w:trHeight w:val="151"/>
        </w:trPr>
        <w:tc>
          <w:tcPr>
            <w:tcW w:w="49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gridSpan w:val="3"/>
          </w:tcPr>
          <w:p>
            <w:pPr>
              <w:jc w:val="right"/>
              <w:ind w:right="390"/>
              <w:spacing w:after="0" w:line="151" w:lineRule="exact"/>
              <w:rPr>
                <w:sz w:val="20"/>
                <w:szCs w:val="20"/>
                <w:color w:val="auto"/>
              </w:rPr>
            </w:pPr>
            <w:r>
              <w:rPr>
                <w:rFonts w:ascii="Arial" w:cs="Arial" w:eastAsia="Arial" w:hAnsi="Arial"/>
                <w:sz w:val="15"/>
                <w:szCs w:val="15"/>
                <w:b w:val="1"/>
                <w:bCs w:val="1"/>
                <w:color w:val="auto"/>
              </w:rPr>
              <w:t>(in thousands)</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4700" w:type="dxa"/>
            <w:vAlign w:val="bottom"/>
            <w:gridSpan w:val="2"/>
            <w:shd w:val="clear" w:color="auto" w:fill="CCEEFF"/>
          </w:tcPr>
          <w:p>
            <w:pPr>
              <w:jc w:val="right"/>
              <w:ind w:right="284"/>
              <w:spacing w:after="0"/>
              <w:rPr>
                <w:sz w:val="20"/>
                <w:szCs w:val="20"/>
                <w:color w:val="auto"/>
              </w:rPr>
            </w:pPr>
            <w:r>
              <w:rPr>
                <w:rFonts w:ascii="Arial" w:cs="Arial" w:eastAsia="Arial" w:hAnsi="Arial"/>
                <w:sz w:val="19"/>
                <w:szCs w:val="19"/>
                <w:color w:val="auto"/>
              </w:rPr>
              <w:t>$12,472</w:t>
            </w:r>
          </w:p>
        </w:tc>
        <w:tc>
          <w:tcPr>
            <w:tcW w:w="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30,780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98"/>
              </w:rPr>
              <w:t>147%</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Gross profit</w:t>
            </w:r>
          </w:p>
        </w:tc>
        <w:tc>
          <w:tcPr>
            <w:tcW w:w="4700" w:type="dxa"/>
            <w:vAlign w:val="bottom"/>
            <w:gridSpan w:val="2"/>
          </w:tcPr>
          <w:p>
            <w:pPr>
              <w:jc w:val="right"/>
              <w:ind w:right="284"/>
              <w:spacing w:after="0"/>
              <w:rPr>
                <w:sz w:val="20"/>
                <w:szCs w:val="20"/>
                <w:color w:val="auto"/>
              </w:rPr>
            </w:pPr>
            <w:r>
              <w:rPr>
                <w:rFonts w:ascii="Arial" w:cs="Arial" w:eastAsia="Arial" w:hAnsi="Arial"/>
                <w:sz w:val="19"/>
                <w:szCs w:val="19"/>
                <w:color w:val="auto"/>
              </w:rPr>
              <w:t>$48,345</w:t>
            </w: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120,698</w:t>
            </w:r>
          </w:p>
        </w:tc>
        <w:tc>
          <w:tcPr>
            <w:tcW w:w="5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9"/>
                <w:szCs w:val="19"/>
                <w:color w:val="auto"/>
                <w:w w:val="98"/>
              </w:rPr>
              <w:t>150%</w:t>
            </w: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Gross margin</w:t>
            </w:r>
          </w:p>
        </w:tc>
        <w:tc>
          <w:tcPr>
            <w:tcW w:w="4700" w:type="dxa"/>
            <w:vAlign w:val="bottom"/>
            <w:gridSpan w:val="2"/>
            <w:shd w:val="clear" w:color="auto" w:fill="CCEEFF"/>
          </w:tcPr>
          <w:p>
            <w:pPr>
              <w:jc w:val="right"/>
              <w:ind w:right="124"/>
              <w:spacing w:after="0"/>
              <w:rPr>
                <w:sz w:val="20"/>
                <w:szCs w:val="20"/>
                <w:color w:val="auto"/>
              </w:rPr>
            </w:pPr>
            <w:r>
              <w:rPr>
                <w:rFonts w:ascii="Arial" w:cs="Arial" w:eastAsia="Arial" w:hAnsi="Arial"/>
                <w:sz w:val="19"/>
                <w:szCs w:val="19"/>
                <w:color w:val="auto"/>
              </w:rPr>
              <w:t>79%</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9"/>
                <w:szCs w:val="19"/>
                <w:color w:val="auto"/>
              </w:rPr>
              <w:t>80%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bl>
    <w:p>
      <w:pPr>
        <w:spacing w:after="0" w:line="214" w:lineRule="exact"/>
        <w:rPr>
          <w:sz w:val="20"/>
          <w:szCs w:val="20"/>
          <w:color w:val="auto"/>
        </w:rPr>
      </w:pPr>
    </w:p>
    <w:p>
      <w:pPr>
        <w:jc w:val="both"/>
        <w:ind w:left="180" w:right="40" w:firstLine="465"/>
        <w:spacing w:after="0" w:line="298" w:lineRule="auto"/>
        <w:rPr>
          <w:sz w:val="20"/>
          <w:szCs w:val="20"/>
          <w:color w:val="auto"/>
        </w:rPr>
      </w:pPr>
      <w:r>
        <w:rPr>
          <w:rFonts w:ascii="Arial" w:cs="Arial" w:eastAsia="Arial" w:hAnsi="Arial"/>
          <w:sz w:val="17"/>
          <w:szCs w:val="17"/>
          <w:color w:val="auto"/>
        </w:rPr>
        <w:t>Cost of revenue increased by $18.3 million, or 147%, for the fiscal year ended January 31, 2018, as compared to the fiscal 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costs as a result of increased headcount.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61</w:t>
      </w:r>
    </w:p>
    <w:p>
      <w:pPr>
        <w:sectPr>
          <w:pgSz w:w="12240" w:h="15840" w:orient="portrait"/>
          <w:cols w:equalWidth="0" w:num="1">
            <w:col w:w="11820"/>
          </w:cols>
          <w:pgMar w:left="120" w:top="336" w:right="300" w:bottom="1440" w:gutter="0" w:footer="0" w:header="0"/>
        </w:sectPr>
      </w:pPr>
    </w:p>
    <w:bookmarkStart w:id="66" w:name="page67"/>
    <w:bookmarkEnd w:id="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Operating Expenses</w:t>
      </w:r>
    </w:p>
    <w:p>
      <w:pPr>
        <w:spacing w:after="0" w:line="258" w:lineRule="exact"/>
        <w:rPr>
          <w:sz w:val="20"/>
          <w:szCs w:val="20"/>
          <w:color w:val="auto"/>
        </w:rPr>
      </w:pPr>
    </w:p>
    <w:p>
      <w:pPr>
        <w:ind w:left="97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4445</wp:posOffset>
            </wp:positionV>
            <wp:extent cx="13855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ind w:left="9540"/>
        <w:spacing w:after="0"/>
        <w:tabs>
          <w:tab w:leader="none" w:pos="10480" w:val="left"/>
          <w:tab w:leader="none" w:pos="113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-3810</wp:posOffset>
            </wp:positionV>
            <wp:extent cx="13855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5570" cy="8890"/>
                    </a:xfrm>
                    <a:prstGeom prst="rect">
                      <a:avLst/>
                    </a:prstGeom>
                    <a:noFill/>
                  </pic:spPr>
                </pic:pic>
              </a:graphicData>
            </a:graphic>
          </wp:anchor>
        </w:drawing>
      </w:r>
    </w:p>
    <w:p>
      <w:pPr>
        <w:ind w:left="97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w:t>
            </w:r>
          </w:p>
        </w:tc>
        <w:tc>
          <w:tcPr>
            <w:tcW w:w="432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$9,218</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$15,733</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71%</w:t>
            </w:r>
          </w:p>
        </w:tc>
      </w:tr>
    </w:tbl>
    <w:p>
      <w:pPr>
        <w:spacing w:after="0" w:line="214"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Research and development expense increased by $6.5 million, or 71%, for the fiscal year ended January 31, 2018, as compared to the fiscal year ended January 31, 2017, as we continued to add new features and functionality to our video-first communications platform. The increase was primarily attributable to an increase in personnel-related costs of $5.3 million as a result of increased headcount. The remainder of the increase was primarily attributable to increased expenses of $0.4 million related to equipment and software and $0.3 million in allocated overhead.</w:t>
      </w:r>
    </w:p>
    <w:p>
      <w:pPr>
        <w:spacing w:after="0" w:line="190" w:lineRule="exact"/>
        <w:rPr>
          <w:sz w:val="20"/>
          <w:szCs w:val="20"/>
          <w:color w:val="auto"/>
        </w:rPr>
      </w:pPr>
    </w:p>
    <w:p>
      <w:pPr>
        <w:ind w:left="96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4445</wp:posOffset>
            </wp:positionV>
            <wp:extent cx="15214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9360"/>
        <w:spacing w:after="0"/>
        <w:tabs>
          <w:tab w:leader="none" w:pos="10380" w:val="left"/>
          <w:tab w:leader="none" w:pos="1134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-3810</wp:posOffset>
            </wp:positionV>
            <wp:extent cx="15214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1460" cy="8890"/>
                    </a:xfrm>
                    <a:prstGeom prst="rect">
                      <a:avLst/>
                    </a:prstGeom>
                    <a:noFill/>
                  </pic:spPr>
                </pic:pic>
              </a:graphicData>
            </a:graphic>
          </wp:anchor>
        </w:drawing>
      </w:r>
    </w:p>
    <w:p>
      <w:pPr>
        <w:ind w:left="95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458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$31,580</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$82,707</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162%</w:t>
            </w:r>
          </w:p>
        </w:tc>
      </w:tr>
    </w:tbl>
    <w:p>
      <w:pPr>
        <w:spacing w:after="0" w:line="214"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Sales and marketing expense increased by $51.1 million, or 162%, for the fiscal year ended January 31, 2018, as compared to 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costs of $20.9 million as a result of increased headcount to support the growth in our sales force, which includes a</w:t>
      </w:r>
    </w:p>
    <w:p>
      <w:pPr>
        <w:spacing w:after="0" w:line="1" w:lineRule="exact"/>
        <w:rPr>
          <w:sz w:val="20"/>
          <w:szCs w:val="20"/>
          <w:color w:val="auto"/>
        </w:rPr>
      </w:pPr>
    </w:p>
    <w:p>
      <w:pPr>
        <w:ind w:left="180" w:right="340"/>
        <w:spacing w:after="0" w:line="255" w:lineRule="auto"/>
        <w:rPr>
          <w:sz w:val="20"/>
          <w:szCs w:val="20"/>
          <w:color w:val="auto"/>
        </w:rPr>
      </w:pPr>
      <w:r>
        <w:rPr>
          <w:rFonts w:ascii="Arial" w:cs="Arial" w:eastAsia="Arial" w:hAnsi="Arial"/>
          <w:sz w:val="19"/>
          <w:szCs w:val="19"/>
          <w:color w:val="auto"/>
        </w:rPr>
        <w:t>$6.5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223" w:lineRule="exact"/>
        <w:rPr>
          <w:sz w:val="20"/>
          <w:szCs w:val="20"/>
          <w:color w:val="auto"/>
        </w:rPr>
      </w:pPr>
    </w:p>
    <w:p>
      <w:pPr>
        <w:jc w:val="center"/>
        <w:ind w:left="892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4445</wp:posOffset>
            </wp:positionV>
            <wp:extent cx="14490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9440"/>
        <w:spacing w:after="0"/>
        <w:tabs>
          <w:tab w:leader="none" w:pos="10380" w:val="left"/>
          <w:tab w:leader="none" w:pos="1134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5918835</wp:posOffset>
            </wp:positionH>
            <wp:positionV relativeFrom="paragraph">
              <wp:posOffset>-3810</wp:posOffset>
            </wp:positionV>
            <wp:extent cx="14490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96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General and administrative</w:t>
            </w:r>
          </w:p>
        </w:tc>
        <w:tc>
          <w:tcPr>
            <w:tcW w:w="426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$7,547</w:t>
            </w:r>
          </w:p>
        </w:tc>
        <w:tc>
          <w:tcPr>
            <w:tcW w:w="10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$27,091</w:t>
            </w: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259%</w:t>
            </w:r>
          </w:p>
        </w:tc>
      </w:tr>
    </w:tbl>
    <w:p>
      <w:pPr>
        <w:spacing w:after="0" w:line="214" w:lineRule="exact"/>
        <w:rPr>
          <w:sz w:val="20"/>
          <w:szCs w:val="20"/>
          <w:color w:val="auto"/>
        </w:rPr>
      </w:pPr>
    </w:p>
    <w:p>
      <w:pPr>
        <w:ind w:left="180" w:right="60" w:firstLine="465"/>
        <w:spacing w:after="0" w:line="288" w:lineRule="auto"/>
        <w:rPr>
          <w:sz w:val="20"/>
          <w:szCs w:val="20"/>
          <w:color w:val="auto"/>
        </w:rPr>
      </w:pPr>
      <w:r>
        <w:rPr>
          <w:rFonts w:ascii="Arial" w:cs="Arial" w:eastAsia="Arial" w:hAnsi="Arial"/>
          <w:sz w:val="17"/>
          <w:szCs w:val="17"/>
          <w:color w:val="auto"/>
        </w:rPr>
        <w:t>General and administrative expense increased by $19.5 million, or 259%, for the fiscal year ended January 31, 2018, as 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6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costs as a result of increased headcount, $1.2 million for external accounting and consulting services, $0.8 million related to equipment and software and $0.6 million in allocated overhead.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Interest Income, Net</w:t>
      </w:r>
    </w:p>
    <w:p>
      <w:pPr>
        <w:spacing w:after="0" w:line="258" w:lineRule="exact"/>
        <w:rPr>
          <w:sz w:val="20"/>
          <w:szCs w:val="20"/>
          <w:color w:val="auto"/>
        </w:rPr>
      </w:pPr>
    </w:p>
    <w:p>
      <w:pPr>
        <w:ind w:left="9760"/>
        <w:spacing w:after="0"/>
        <w:rPr>
          <w:sz w:val="20"/>
          <w:szCs w:val="20"/>
          <w:color w:val="auto"/>
        </w:rPr>
      </w:pPr>
      <w:r>
        <w:rPr>
          <w:rFonts w:ascii="Arial" w:cs="Arial" w:eastAsia="Arial" w:hAnsi="Arial"/>
          <w:sz w:val="15"/>
          <w:szCs w:val="15"/>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4445</wp:posOffset>
            </wp:positionV>
            <wp:extent cx="13493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ind w:left="9480"/>
        <w:spacing w:after="0"/>
        <w:tabs>
          <w:tab w:leader="none" w:pos="10280" w:val="left"/>
          <w:tab w:leader="none" w:pos="112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-3810</wp:posOffset>
            </wp:positionV>
            <wp:extent cx="13493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ind w:left="964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Interest income, net</w:t>
            </w:r>
          </w:p>
        </w:tc>
        <w:tc>
          <w:tcPr>
            <w:tcW w:w="442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$ 98</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$1,241</w:t>
            </w:r>
          </w:p>
        </w:tc>
        <w:tc>
          <w:tcPr>
            <w:tcW w:w="8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1,166%</w:t>
            </w:r>
          </w:p>
        </w:tc>
      </w:tr>
    </w:tbl>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62</w:t>
      </w:r>
    </w:p>
    <w:p>
      <w:pPr>
        <w:sectPr>
          <w:pgSz w:w="12240" w:h="15840" w:orient="portrait"/>
          <w:cols w:equalWidth="0" w:num="1">
            <w:col w:w="11820"/>
          </w:cols>
          <w:pgMar w:left="120" w:top="336" w:right="300" w:bottom="1440" w:gutter="0" w:footer="0" w:header="0"/>
        </w:sectPr>
      </w:pPr>
    </w:p>
    <w:bookmarkStart w:id="67" w:name="page68"/>
    <w:bookmarkEnd w:id="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920" w:firstLine="465"/>
        <w:spacing w:after="0" w:line="304" w:lineRule="auto"/>
        <w:rPr>
          <w:sz w:val="20"/>
          <w:szCs w:val="20"/>
          <w:color w:val="auto"/>
        </w:rPr>
      </w:pPr>
      <w:r>
        <w:rPr>
          <w:rFonts w:ascii="Arial" w:cs="Arial" w:eastAsia="Arial" w:hAnsi="Arial"/>
          <w:sz w:val="18"/>
          <w:szCs w:val="18"/>
          <w:color w:val="auto"/>
        </w:rPr>
        <w:t>Interest income net increased by $1.1 million, or 1,166%, for the fiscal year ended January 31, 2018, compared to the fiscal year ended January 31, 2017. The increase was primarily driven by interest income earned from our investments in marketable securities.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Other Income, Net</w:t>
      </w:r>
    </w:p>
    <w:p>
      <w:pPr>
        <w:spacing w:after="0" w:line="258" w:lineRule="exact"/>
        <w:rPr>
          <w:sz w:val="20"/>
          <w:szCs w:val="20"/>
          <w:color w:val="auto"/>
        </w:rPr>
      </w:pPr>
    </w:p>
    <w:p>
      <w:pPr>
        <w:ind w:left="10320"/>
        <w:spacing w:after="0"/>
        <w:rPr>
          <w:sz w:val="20"/>
          <w:szCs w:val="20"/>
          <w:color w:val="auto"/>
        </w:rPr>
      </w:pPr>
      <w:r>
        <w:rPr>
          <w:rFonts w:ascii="Arial" w:cs="Arial" w:eastAsia="Arial" w:hAnsi="Arial"/>
          <w:sz w:val="15"/>
          <w:szCs w:val="15"/>
          <w:b w:val="1"/>
          <w:bCs w:val="1"/>
          <w:color w:val="auto"/>
        </w:rPr>
        <w:t>Year Ended</w:t>
      </w:r>
    </w:p>
    <w:p>
      <w:pPr>
        <w:ind w:left="10320"/>
        <w:spacing w:after="0"/>
        <w:rPr>
          <w:sz w:val="20"/>
          <w:szCs w:val="20"/>
          <w:color w:val="auto"/>
        </w:rPr>
      </w:pPr>
      <w:r>
        <w:rPr>
          <w:rFonts w:ascii="Arial" w:cs="Arial" w:eastAsia="Arial" w:hAnsi="Arial"/>
          <w:sz w:val="15"/>
          <w:szCs w:val="15"/>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-4445</wp:posOffset>
            </wp:positionV>
            <wp:extent cx="11322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jc w:val="both"/>
        <w:ind w:left="9840"/>
        <w:spacing w:after="0" w:line="238" w:lineRule="auto"/>
        <w:tabs>
          <w:tab w:leader="none" w:pos="10580" w:val="left"/>
          <w:tab w:leader="none" w:pos="1138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6235700</wp:posOffset>
            </wp:positionH>
            <wp:positionV relativeFrom="paragraph">
              <wp:posOffset>-3810</wp:posOffset>
            </wp:positionV>
            <wp:extent cx="11322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992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468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$ 60</w:t>
            </w:r>
          </w:p>
        </w:tc>
        <w:tc>
          <w:tcPr>
            <w:tcW w:w="82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rPr>
              <w:t>$ 74</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23%</w:t>
            </w:r>
          </w:p>
        </w:tc>
      </w:tr>
    </w:tbl>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There were no significant changes to other income, net during the respective periods.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Provision for Income Taxes</w:t>
      </w:r>
    </w:p>
    <w:p>
      <w:pPr>
        <w:spacing w:after="0" w:line="258" w:lineRule="exact"/>
        <w:rPr>
          <w:sz w:val="20"/>
          <w:szCs w:val="20"/>
          <w:color w:val="auto"/>
        </w:rPr>
      </w:pPr>
    </w:p>
    <w:p>
      <w:pPr>
        <w:ind w:left="10420"/>
        <w:spacing w:after="0"/>
        <w:rPr>
          <w:sz w:val="20"/>
          <w:szCs w:val="20"/>
          <w:color w:val="auto"/>
        </w:rPr>
      </w:pPr>
      <w:r>
        <w:rPr>
          <w:rFonts w:ascii="Arial" w:cs="Arial" w:eastAsia="Arial" w:hAnsi="Arial"/>
          <w:sz w:val="15"/>
          <w:szCs w:val="15"/>
          <w:b w:val="1"/>
          <w:bCs w:val="1"/>
          <w:color w:val="auto"/>
        </w:rPr>
        <w:t>Year Ended</w:t>
      </w:r>
    </w:p>
    <w:p>
      <w:pPr>
        <w:ind w:left="10420"/>
        <w:spacing w:after="0"/>
        <w:rPr>
          <w:sz w:val="20"/>
          <w:szCs w:val="20"/>
          <w:color w:val="auto"/>
        </w:rPr>
      </w:pPr>
      <w:r>
        <w:rPr>
          <w:rFonts w:ascii="Arial" w:cs="Arial" w:eastAsia="Arial" w:hAnsi="Arial"/>
          <w:sz w:val="15"/>
          <w:szCs w:val="15"/>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-4445</wp:posOffset>
            </wp:positionV>
            <wp:extent cx="10140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14095" cy="8890"/>
                    </a:xfrm>
                    <a:prstGeom prst="rect">
                      <a:avLst/>
                    </a:prstGeom>
                    <a:noFill/>
                  </pic:spPr>
                </pic:pic>
              </a:graphicData>
            </a:graphic>
          </wp:anchor>
        </w:drawing>
      </w:r>
    </w:p>
    <w:p>
      <w:pPr>
        <w:jc w:val="both"/>
        <w:ind w:left="10040"/>
        <w:spacing w:after="0" w:line="238" w:lineRule="auto"/>
        <w:tabs>
          <w:tab w:leader="none" w:pos="10700" w:val="left"/>
          <w:tab w:leader="none" w:pos="11380" w:val="left"/>
        </w:tabs>
        <w:rPr>
          <w:sz w:val="20"/>
          <w:szCs w:val="20"/>
          <w:color w:val="auto"/>
        </w:rPr>
      </w:pPr>
      <w:r>
        <w:rPr>
          <w:rFonts w:ascii="Arial" w:cs="Arial" w:eastAsia="Arial" w:hAnsi="Arial"/>
          <w:sz w:val="15"/>
          <w:szCs w:val="15"/>
          <w:b w:val="1"/>
          <w:bCs w:val="1"/>
          <w:u w:val="single" w:color="auto"/>
          <w:color w:val="auto"/>
        </w:rPr>
        <w:t>2017</w:t>
      </w:r>
      <w:r>
        <w:rPr>
          <w:sz w:val="20"/>
          <w:szCs w:val="20"/>
          <w:color w:val="auto"/>
        </w:rPr>
        <w:tab/>
      </w:r>
      <w:r>
        <w:rPr>
          <w:rFonts w:ascii="Arial" w:cs="Arial" w:eastAsia="Arial" w:hAnsi="Arial"/>
          <w:sz w:val="15"/>
          <w:szCs w:val="15"/>
          <w:b w:val="1"/>
          <w:bCs w:val="1"/>
          <w:u w:val="single" w:color="auto"/>
          <w:color w:val="auto"/>
        </w:rPr>
        <w:t>2018</w:t>
      </w:r>
      <w:r>
        <w:rPr>
          <w:sz w:val="20"/>
          <w:szCs w:val="20"/>
          <w:color w:val="auto"/>
        </w:rPr>
        <w:tab/>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7204710</wp:posOffset>
            </wp:positionH>
            <wp:positionV relativeFrom="paragraph">
              <wp:posOffset>-3810</wp:posOffset>
            </wp:positionV>
            <wp:extent cx="1631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ind w:left="10080"/>
        <w:spacing w:after="0" w:line="228" w:lineRule="auto"/>
        <w:rPr>
          <w:sz w:val="20"/>
          <w:szCs w:val="20"/>
          <w:color w:val="auto"/>
        </w:rPr>
      </w:pPr>
      <w:r>
        <w:rPr>
          <w:rFonts w:ascii="Arial" w:cs="Arial" w:eastAsia="Arial" w:hAnsi="Arial"/>
          <w:sz w:val="15"/>
          <w:szCs w:val="15"/>
          <w:b w:val="1"/>
          <w:bCs w:val="1"/>
          <w:color w:val="auto"/>
        </w:rPr>
        <w:t>(in thousands)</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4420" w:type="dxa"/>
            <w:vAlign w:val="bottom"/>
            <w:shd w:val="clear" w:color="auto" w:fill="CCEEFF"/>
          </w:tcPr>
          <w:p>
            <w:pPr>
              <w:jc w:val="right"/>
              <w:ind w:right="45"/>
              <w:spacing w:after="0"/>
              <w:rPr>
                <w:sz w:val="20"/>
                <w:szCs w:val="20"/>
                <w:color w:val="auto"/>
              </w:rPr>
            </w:pPr>
            <w:r>
              <w:rPr>
                <w:rFonts w:ascii="Arial" w:cs="Arial" w:eastAsia="Arial" w:hAnsi="Arial"/>
                <w:sz w:val="19"/>
                <w:szCs w:val="19"/>
                <w:color w:val="auto"/>
              </w:rPr>
              <w:t>$172</w:t>
            </w:r>
          </w:p>
        </w:tc>
        <w:tc>
          <w:tcPr>
            <w:tcW w:w="70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rPr>
              <w:t>$304</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77%</w:t>
            </w:r>
          </w:p>
        </w:tc>
      </w:tr>
    </w:tbl>
    <w:p>
      <w:pPr>
        <w:spacing w:after="0" w:line="214" w:lineRule="exact"/>
        <w:rPr>
          <w:sz w:val="20"/>
          <w:szCs w:val="20"/>
          <w:color w:val="auto"/>
        </w:rPr>
      </w:pPr>
    </w:p>
    <w:p>
      <w:pPr>
        <w:ind w:left="180" w:right="560" w:firstLine="465"/>
        <w:spacing w:after="0" w:line="275" w:lineRule="auto"/>
        <w:rPr>
          <w:sz w:val="20"/>
          <w:szCs w:val="20"/>
          <w:color w:val="auto"/>
        </w:rPr>
      </w:pPr>
      <w:r>
        <w:rPr>
          <w:rFonts w:ascii="Arial" w:cs="Arial" w:eastAsia="Arial" w:hAnsi="Arial"/>
          <w:sz w:val="19"/>
          <w:szCs w:val="19"/>
          <w:color w:val="auto"/>
        </w:rPr>
        <w:t>Provision for income taxes increased by $0.1 million, or 77%, for the fiscal year ended January 31, 2018, compared to the fiscal year ended January 31, 2017. The change in provision for income taxes was due primarily to international operations.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63</w:t>
      </w:r>
    </w:p>
    <w:p>
      <w:pPr>
        <w:sectPr>
          <w:pgSz w:w="12240" w:h="15840" w:orient="portrait"/>
          <w:cols w:equalWidth="0" w:num="1">
            <w:col w:w="11820"/>
          </w:cols>
          <w:pgMar w:left="120" w:top="336" w:right="300" w:bottom="1440" w:gutter="0" w:footer="0" w:header="0"/>
        </w:sectPr>
      </w:pPr>
    </w:p>
    <w:bookmarkStart w:id="68" w:name="page69"/>
    <w:bookmarkEnd w:id="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Quarterly Results of Operations</w:t>
      </w:r>
    </w:p>
    <w:p>
      <w:pPr>
        <w:spacing w:after="0" w:line="130"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5"/>
                <w:szCs w:val="15"/>
                <w:b w:val="1"/>
                <w:bCs w:val="1"/>
                <w:color w:val="auto"/>
                <w:w w:val="92"/>
              </w:rPr>
              <w:t>Three Months Ended</w:t>
            </w: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gridSpan w:val="3"/>
          </w:tcPr>
          <w:p>
            <w:pPr>
              <w:jc w:val="right"/>
              <w:ind w:right="220"/>
              <w:spacing w:after="0" w:line="128"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c>
          <w:tcPr>
            <w:tcW w:w="80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7"/>
              </w:rPr>
              <w:t>July 31,</w:t>
            </w:r>
          </w:p>
        </w:tc>
        <w:tc>
          <w:tcPr>
            <w:tcW w:w="120" w:type="dxa"/>
            <w:vAlign w:val="bottom"/>
          </w:tcPr>
          <w:p>
            <w:pPr>
              <w:spacing w:after="0"/>
              <w:rPr>
                <w:sz w:val="11"/>
                <w:szCs w:val="11"/>
                <w:color w:val="auto"/>
              </w:rPr>
            </w:pPr>
          </w:p>
        </w:tc>
        <w:tc>
          <w:tcPr>
            <w:tcW w:w="96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106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January 31,</w:t>
            </w:r>
          </w:p>
        </w:tc>
        <w:tc>
          <w:tcPr>
            <w:tcW w:w="580" w:type="dxa"/>
            <w:vAlign w:val="bottom"/>
          </w:tcPr>
          <w:p>
            <w:pPr>
              <w:spacing w:after="0" w:line="128" w:lineRule="exact"/>
              <w:rPr>
                <w:sz w:val="20"/>
                <w:szCs w:val="20"/>
                <w:color w:val="auto"/>
              </w:rPr>
            </w:pPr>
            <w:r>
              <w:rPr>
                <w:rFonts w:ascii="Arial" w:cs="Arial" w:eastAsia="Arial" w:hAnsi="Arial"/>
                <w:sz w:val="14"/>
                <w:szCs w:val="14"/>
                <w:b w:val="1"/>
                <w:bCs w:val="1"/>
                <w:color w:val="auto"/>
              </w:rPr>
              <w:t>April 30,</w:t>
            </w:r>
          </w:p>
        </w:tc>
        <w:tc>
          <w:tcPr>
            <w:tcW w:w="2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7"/>
              </w:rPr>
              <w:t>July 31,</w:t>
            </w:r>
          </w:p>
        </w:tc>
        <w:tc>
          <w:tcPr>
            <w:tcW w:w="24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4"/>
                <w:szCs w:val="14"/>
                <w:b w:val="1"/>
                <w:bCs w:val="1"/>
                <w:color w:val="auto"/>
                <w:w w:val="96"/>
              </w:rPr>
              <w:t>October 31,</w:t>
            </w:r>
          </w:p>
        </w:tc>
        <w:tc>
          <w:tcPr>
            <w:tcW w:w="2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5"/>
                <w:szCs w:val="15"/>
                <w:b w:val="1"/>
                <w:bCs w:val="1"/>
                <w:color w:val="auto"/>
              </w:rPr>
              <w:t>2018</w:t>
            </w:r>
          </w:p>
        </w:tc>
        <w:tc>
          <w:tcPr>
            <w:tcW w:w="7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b w:val="1"/>
                <w:bCs w:val="1"/>
                <w:color w:val="auto"/>
              </w:rPr>
              <w:t>2018</w:t>
            </w:r>
          </w:p>
        </w:tc>
        <w:tc>
          <w:tcPr>
            <w:tcW w:w="100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5"/>
                <w:szCs w:val="15"/>
                <w:b w:val="1"/>
                <w:bCs w:val="1"/>
                <w:color w:val="auto"/>
              </w:rPr>
              <w:t>2018</w:t>
            </w:r>
          </w:p>
        </w:tc>
        <w:tc>
          <w:tcPr>
            <w:tcW w:w="10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196"/>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89"/>
              </w:rPr>
              <w:t>26,753</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$32,921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40,890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99"/>
              </w:rPr>
              <w:t>50,914</w:t>
            </w:r>
          </w:p>
        </w:tc>
        <w:tc>
          <w:tcPr>
            <w:tcW w:w="5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9"/>
                <w:szCs w:val="19"/>
                <w:color w:val="auto"/>
              </w:rPr>
              <w:t>Cost of revenue</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6,777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7,755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10,749</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740"/>
              <w:spacing w:after="0"/>
              <w:rPr>
                <w:sz w:val="20"/>
                <w:szCs w:val="20"/>
                <w:color w:val="auto"/>
              </w:rPr>
            </w:pPr>
            <w:r>
              <w:rPr>
                <w:rFonts w:ascii="Arial" w:cs="Arial" w:eastAsia="Arial" w:hAnsi="Arial"/>
                <w:sz w:val="19"/>
                <w:szCs w:val="19"/>
                <w:color w:val="auto"/>
              </w:rPr>
              <w:t>Gross profit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21,254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26,144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33,135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w w:val="99"/>
              </w:rPr>
              <w:t>40,165</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3,545</w:t>
            </w: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3,542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4,199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4,447</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tcPr>
          <w:p>
            <w:pPr>
              <w:ind w:left="360"/>
              <w:spacing w:after="0"/>
              <w:rPr>
                <w:sz w:val="20"/>
                <w:szCs w:val="20"/>
                <w:color w:val="auto"/>
              </w:rPr>
            </w:pPr>
            <w:r>
              <w:rPr>
                <w:rFonts w:ascii="Arial" w:cs="Arial" w:eastAsia="Arial" w:hAnsi="Arial"/>
                <w:sz w:val="19"/>
                <w:szCs w:val="19"/>
                <w:color w:val="auto"/>
              </w:rPr>
              <w:t>Sales and marketing</w:t>
            </w: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9"/>
                <w:szCs w:val="19"/>
                <w:color w:val="auto"/>
                <w:w w:val="89"/>
              </w:rPr>
              <w:t>12,693</w:t>
            </w:r>
          </w:p>
        </w:tc>
        <w:tc>
          <w:tcPr>
            <w:tcW w:w="920" w:type="dxa"/>
            <w:vAlign w:val="bottom"/>
            <w:gridSpan w:val="3"/>
          </w:tcPr>
          <w:p>
            <w:pPr>
              <w:jc w:val="right"/>
              <w:ind w:right="180"/>
              <w:spacing w:after="0"/>
              <w:rPr>
                <w:sz w:val="20"/>
                <w:szCs w:val="20"/>
                <w:color w:val="auto"/>
              </w:rPr>
            </w:pPr>
            <w:r>
              <w:rPr>
                <w:rFonts w:ascii="Arial" w:cs="Arial" w:eastAsia="Arial" w:hAnsi="Arial"/>
                <w:sz w:val="19"/>
                <w:szCs w:val="19"/>
                <w:color w:val="auto"/>
              </w:rPr>
              <w:t>16,636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23,803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29,575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12,508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5,414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6,419</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w w:val="89"/>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32,686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33,416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w w:val="99"/>
              </w:rPr>
              <w:t>40,441</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Income (loss) from operations</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2,266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(6,542)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(276)</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403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390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Other income (expense), net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9"/>
                <w:szCs w:val="19"/>
                <w:color w:val="auto"/>
              </w:rPr>
              <w:t>64</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w w:val="96"/>
              </w:rPr>
              <w:t>Net income (loss) before provision for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2,405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(6,202)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178</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(53)</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9"/>
                <w:szCs w:val="19"/>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(114)</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9"/>
                <w:szCs w:val="19"/>
                <w:color w:val="auto"/>
              </w:rPr>
              <w:t>Net income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2,352</w:t>
            </w:r>
          </w:p>
        </w:tc>
        <w:tc>
          <w:tcPr>
            <w:tcW w:w="1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9"/>
                <w:szCs w:val="19"/>
                <w:color w:val="auto"/>
              </w:rPr>
              <w:t>$ (6,259)</w:t>
            </w:r>
          </w:p>
        </w:tc>
        <w:tc>
          <w:tcPr>
            <w:tcW w:w="2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9"/>
                <w:szCs w:val="19"/>
                <w:color w:val="auto"/>
              </w:rPr>
              <w:t>21</w:t>
            </w:r>
          </w:p>
        </w:tc>
        <w:tc>
          <w:tcPr>
            <w:tcW w:w="2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64</w:t>
            </w:r>
          </w:p>
        </w:tc>
        <w:tc>
          <w:tcPr>
            <w:tcW w:w="580" w:type="dxa"/>
            <w:vAlign w:val="bottom"/>
          </w:tcPr>
          <w:p>
            <w:pPr>
              <w:spacing w:after="0"/>
              <w:rPr>
                <w:sz w:val="20"/>
                <w:szCs w:val="20"/>
                <w:color w:val="auto"/>
              </w:rPr>
            </w:pPr>
            <w:r>
              <w:rPr>
                <w:rFonts w:ascii="Arial" w:cs="Arial" w:eastAsia="Arial" w:hAnsi="Arial"/>
                <w:sz w:val="19"/>
                <w:szCs w:val="19"/>
                <w:color w:val="auto"/>
              </w:rPr>
              <w:t>$</w:t>
            </w:r>
          </w:p>
        </w:tc>
        <w:tc>
          <w:tcPr>
            <w:tcW w:w="78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100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102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40" w:hanging="461"/>
        <w:spacing w:after="0"/>
        <w:tabs>
          <w:tab w:leader="none" w:pos="6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Includes stock-based compensation expense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4040" w:type="dxa"/>
            <w:vAlign w:val="bottom"/>
          </w:tcPr>
          <w:p>
            <w:pPr>
              <w:spacing w:after="0"/>
              <w:rPr>
                <w:sz w:val="11"/>
                <w:szCs w:val="11"/>
                <w:color w:val="auto"/>
              </w:rPr>
            </w:pPr>
          </w:p>
        </w:tc>
        <w:tc>
          <w:tcPr>
            <w:tcW w:w="84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April 30,</w:t>
            </w:r>
          </w:p>
        </w:tc>
        <w:tc>
          <w:tcPr>
            <w:tcW w:w="740" w:type="dxa"/>
            <w:vAlign w:val="bottom"/>
            <w:gridSpan w:val="3"/>
          </w:tcPr>
          <w:p>
            <w:pPr>
              <w:jc w:val="right"/>
              <w:ind w:right="180"/>
              <w:spacing w:after="0" w:line="128" w:lineRule="exact"/>
              <w:rPr>
                <w:sz w:val="20"/>
                <w:szCs w:val="20"/>
                <w:color w:val="auto"/>
              </w:rPr>
            </w:pPr>
            <w:r>
              <w:rPr>
                <w:rFonts w:ascii="Arial" w:cs="Arial" w:eastAsia="Arial" w:hAnsi="Arial"/>
                <w:sz w:val="14"/>
                <w:szCs w:val="14"/>
                <w:b w:val="1"/>
                <w:bCs w:val="1"/>
                <w:color w:val="auto"/>
              </w:rPr>
              <w:t>July 31,</w:t>
            </w:r>
          </w:p>
        </w:tc>
        <w:tc>
          <w:tcPr>
            <w:tcW w:w="14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October 31,</w:t>
            </w:r>
          </w:p>
        </w:tc>
        <w:tc>
          <w:tcPr>
            <w:tcW w:w="104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January 31,</w:t>
            </w:r>
          </w:p>
        </w:tc>
        <w:tc>
          <w:tcPr>
            <w:tcW w:w="720" w:type="dxa"/>
            <w:vAlign w:val="bottom"/>
          </w:tcPr>
          <w:p>
            <w:pPr>
              <w:jc w:val="right"/>
              <w:ind w:right="6"/>
              <w:spacing w:after="0" w:line="128" w:lineRule="exact"/>
              <w:rPr>
                <w:sz w:val="20"/>
                <w:szCs w:val="20"/>
                <w:color w:val="auto"/>
              </w:rPr>
            </w:pPr>
            <w:r>
              <w:rPr>
                <w:rFonts w:ascii="Arial" w:cs="Arial" w:eastAsia="Arial" w:hAnsi="Arial"/>
                <w:sz w:val="14"/>
                <w:szCs w:val="14"/>
                <w:b w:val="1"/>
                <w:bCs w:val="1"/>
                <w:color w:val="auto"/>
              </w:rPr>
              <w:t>April 30,</w:t>
            </w:r>
          </w:p>
        </w:tc>
        <w:tc>
          <w:tcPr>
            <w:tcW w:w="260" w:type="dxa"/>
            <w:vAlign w:val="bottom"/>
          </w:tcPr>
          <w:p>
            <w:pPr>
              <w:spacing w:after="0"/>
              <w:rPr>
                <w:sz w:val="11"/>
                <w:szCs w:val="11"/>
                <w:color w:val="auto"/>
              </w:rPr>
            </w:pPr>
          </w:p>
        </w:tc>
        <w:tc>
          <w:tcPr>
            <w:tcW w:w="720" w:type="dxa"/>
            <w:vAlign w:val="bottom"/>
          </w:tcPr>
          <w:p>
            <w:pPr>
              <w:jc w:val="right"/>
              <w:ind w:right="29"/>
              <w:spacing w:after="0" w:line="128" w:lineRule="exact"/>
              <w:rPr>
                <w:sz w:val="20"/>
                <w:szCs w:val="20"/>
                <w:color w:val="auto"/>
              </w:rPr>
            </w:pPr>
            <w:r>
              <w:rPr>
                <w:rFonts w:ascii="Arial" w:cs="Arial" w:eastAsia="Arial" w:hAnsi="Arial"/>
                <w:sz w:val="14"/>
                <w:szCs w:val="14"/>
                <w:b w:val="1"/>
                <w:bCs w:val="1"/>
                <w:color w:val="auto"/>
              </w:rPr>
              <w:t>July 31,</w:t>
            </w:r>
          </w:p>
        </w:tc>
        <w:tc>
          <w:tcPr>
            <w:tcW w:w="26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4"/>
                <w:szCs w:val="14"/>
                <w:b w:val="1"/>
                <w:bCs w:val="1"/>
                <w:color w:val="auto"/>
                <w:w w:val="98"/>
              </w:rPr>
              <w:t>October 31,</w:t>
            </w:r>
          </w:p>
        </w:tc>
        <w:tc>
          <w:tcPr>
            <w:tcW w:w="240" w:type="dxa"/>
            <w:vAlign w:val="bottom"/>
          </w:tcPr>
          <w:p>
            <w:pPr>
              <w:spacing w:after="0"/>
              <w:rPr>
                <w:sz w:val="11"/>
                <w:szCs w:val="11"/>
                <w:color w:val="auto"/>
              </w:rPr>
            </w:pPr>
          </w:p>
        </w:tc>
        <w:tc>
          <w:tcPr>
            <w:tcW w:w="780" w:type="dxa"/>
            <w:vAlign w:val="bottom"/>
          </w:tcPr>
          <w:p>
            <w:pPr>
              <w:ind w:left="20"/>
              <w:spacing w:after="0" w:line="128" w:lineRule="exact"/>
              <w:rPr>
                <w:sz w:val="20"/>
                <w:szCs w:val="20"/>
                <w:color w:val="auto"/>
              </w:rPr>
            </w:pPr>
            <w:r>
              <w:rPr>
                <w:rFonts w:ascii="Arial" w:cs="Arial" w:eastAsia="Arial" w:hAnsi="Arial"/>
                <w:sz w:val="14"/>
                <w:szCs w:val="14"/>
                <w:b w:val="1"/>
                <w:bCs w:val="1"/>
                <w:color w:val="auto"/>
                <w:w w:val="95"/>
              </w:rPr>
              <w:t>January 31,</w:t>
            </w:r>
          </w:p>
        </w:tc>
        <w:tc>
          <w:tcPr>
            <w:tcW w:w="60" w:type="dxa"/>
            <w:vAlign w:val="bottom"/>
          </w:tcPr>
          <w:p>
            <w:pPr>
              <w:spacing w:after="0"/>
              <w:rPr>
                <w:sz w:val="11"/>
                <w:szCs w:val="11"/>
                <w:color w:val="auto"/>
              </w:rPr>
            </w:pPr>
          </w:p>
        </w:tc>
      </w:tr>
      <w:tr>
        <w:trPr>
          <w:trHeight w:val="180"/>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89"/>
              </w:rPr>
              <w:t>2017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95"/>
              </w:rPr>
              <w:t>2017</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95"/>
              </w:rPr>
              <w:t>2017</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2018</w:t>
            </w:r>
          </w:p>
        </w:tc>
        <w:tc>
          <w:tcPr>
            <w:tcW w:w="98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5"/>
                <w:szCs w:val="15"/>
                <w:b w:val="1"/>
                <w:bCs w:val="1"/>
                <w:color w:val="auto"/>
              </w:rPr>
              <w:t>2018</w:t>
            </w:r>
          </w:p>
        </w:tc>
        <w:tc>
          <w:tcPr>
            <w:tcW w:w="104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2018</w:t>
            </w:r>
          </w:p>
        </w:tc>
        <w:tc>
          <w:tcPr>
            <w:tcW w:w="102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5"/>
                <w:szCs w:val="15"/>
                <w:b w:val="1"/>
                <w:bCs w:val="1"/>
                <w:color w:val="auto"/>
              </w:rPr>
              <w:t>2019</w:t>
            </w:r>
          </w:p>
        </w:tc>
        <w:tc>
          <w:tcPr>
            <w:tcW w:w="60" w:type="dxa"/>
            <w:vAlign w:val="bottom"/>
          </w:tcPr>
          <w:p>
            <w:pPr>
              <w:spacing w:after="0"/>
              <w:rPr>
                <w:sz w:val="15"/>
                <w:szCs w:val="15"/>
                <w:color w:val="auto"/>
              </w:rPr>
            </w:pPr>
          </w:p>
        </w:tc>
      </w:tr>
      <w:tr>
        <w:trPr>
          <w:trHeight w:val="15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right"/>
              <w:ind w:right="186"/>
              <w:spacing w:after="0" w:line="151" w:lineRule="exact"/>
              <w:rPr>
                <w:sz w:val="20"/>
                <w:szCs w:val="20"/>
                <w:color w:val="auto"/>
              </w:rPr>
            </w:pPr>
            <w:r>
              <w:rPr>
                <w:rFonts w:ascii="Arial" w:cs="Arial" w:eastAsia="Arial" w:hAnsi="Arial"/>
                <w:sz w:val="15"/>
                <w:szCs w:val="15"/>
                <w:b w:val="1"/>
                <w:bCs w:val="1"/>
                <w:color w:val="auto"/>
              </w:rPr>
              <w:t>(in thousands)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404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45</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49"/>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28"/>
        </w:trPr>
        <w:tc>
          <w:tcPr>
            <w:tcW w:w="404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9"/>
                <w:szCs w:val="19"/>
                <w:color w:val="auto"/>
              </w:rPr>
              <w:t>102</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9"/>
                <w:szCs w:val="19"/>
                <w:color w:val="auto"/>
              </w:rPr>
              <w:t>110</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404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135</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286</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404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8,684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9"/>
                <w:szCs w:val="19"/>
                <w:color w:val="auto"/>
              </w:rPr>
              <w:t>147</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
        </w:trPr>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40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8,945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475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49"/>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1"/>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9"/>
                <w:szCs w:val="19"/>
                <w:color w:val="auto"/>
              </w:rPr>
              <w:t>64</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69" w:name="page70"/>
    <w:bookmarkEnd w:id="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5"/>
                <w:szCs w:val="15"/>
                <w:b w:val="1"/>
                <w:bCs w:val="1"/>
                <w:color w:val="auto"/>
              </w:rPr>
              <w:t>Three Months Ended</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Arial" w:cs="Arial" w:eastAsia="Arial" w:hAnsi="Arial"/>
                <w:sz w:val="14"/>
                <w:szCs w:val="14"/>
                <w:b w:val="1"/>
                <w:bCs w:val="1"/>
                <w:color w:val="auto"/>
              </w:rPr>
              <w:t>April 30,</w:t>
            </w:r>
          </w:p>
        </w:tc>
        <w:tc>
          <w:tcPr>
            <w:tcW w:w="900" w:type="dxa"/>
            <w:vAlign w:val="bottom"/>
            <w:gridSpan w:val="2"/>
          </w:tcPr>
          <w:p>
            <w:pPr>
              <w:jc w:val="center"/>
              <w:ind w:right="320"/>
              <w:spacing w:after="0" w:line="128" w:lineRule="exact"/>
              <w:rPr>
                <w:sz w:val="20"/>
                <w:szCs w:val="20"/>
                <w:color w:val="auto"/>
              </w:rPr>
            </w:pPr>
            <w:r>
              <w:rPr>
                <w:rFonts w:ascii="Arial" w:cs="Arial" w:eastAsia="Arial" w:hAnsi="Arial"/>
                <w:sz w:val="14"/>
                <w:szCs w:val="14"/>
                <w:b w:val="1"/>
                <w:bCs w:val="1"/>
                <w:color w:val="auto"/>
                <w:w w:val="97"/>
              </w:rPr>
              <w:t>July 31,</w:t>
            </w:r>
          </w:p>
        </w:tc>
        <w:tc>
          <w:tcPr>
            <w:tcW w:w="1100" w:type="dxa"/>
            <w:vAlign w:val="bottom"/>
            <w:gridSpan w:val="2"/>
          </w:tcPr>
          <w:p>
            <w:pPr>
              <w:jc w:val="right"/>
              <w:ind w:right="320"/>
              <w:spacing w:after="0" w:line="128" w:lineRule="exact"/>
              <w:rPr>
                <w:sz w:val="20"/>
                <w:szCs w:val="20"/>
                <w:color w:val="auto"/>
              </w:rPr>
            </w:pPr>
            <w:r>
              <w:rPr>
                <w:rFonts w:ascii="Arial" w:cs="Arial" w:eastAsia="Arial" w:hAnsi="Arial"/>
                <w:sz w:val="14"/>
                <w:szCs w:val="14"/>
                <w:b w:val="1"/>
                <w:bCs w:val="1"/>
                <w:color w:val="auto"/>
                <w:w w:val="98"/>
              </w:rPr>
              <w:t>October 31,</w:t>
            </w:r>
          </w:p>
        </w:tc>
        <w:tc>
          <w:tcPr>
            <w:tcW w:w="1100" w:type="dxa"/>
            <w:vAlign w:val="bottom"/>
            <w:gridSpan w:val="2"/>
          </w:tcPr>
          <w:p>
            <w:pPr>
              <w:jc w:val="right"/>
              <w:ind w:right="300"/>
              <w:spacing w:after="0" w:line="128" w:lineRule="exact"/>
              <w:rPr>
                <w:sz w:val="20"/>
                <w:szCs w:val="20"/>
                <w:color w:val="auto"/>
              </w:rPr>
            </w:pPr>
            <w:r>
              <w:rPr>
                <w:rFonts w:ascii="Arial" w:cs="Arial" w:eastAsia="Arial" w:hAnsi="Arial"/>
                <w:sz w:val="14"/>
                <w:szCs w:val="14"/>
                <w:b w:val="1"/>
                <w:bCs w:val="1"/>
                <w:color w:val="auto"/>
              </w:rPr>
              <w:t>January 31,</w:t>
            </w:r>
          </w:p>
        </w:tc>
        <w:tc>
          <w:tcPr>
            <w:tcW w:w="920" w:type="dxa"/>
            <w:vAlign w:val="bottom"/>
            <w:gridSpan w:val="2"/>
          </w:tcPr>
          <w:p>
            <w:pPr>
              <w:jc w:val="right"/>
              <w:ind w:right="234"/>
              <w:spacing w:after="0" w:line="128" w:lineRule="exact"/>
              <w:rPr>
                <w:sz w:val="20"/>
                <w:szCs w:val="20"/>
                <w:color w:val="auto"/>
              </w:rPr>
            </w:pPr>
            <w:r>
              <w:rPr>
                <w:rFonts w:ascii="Arial" w:cs="Arial" w:eastAsia="Arial" w:hAnsi="Arial"/>
                <w:sz w:val="14"/>
                <w:szCs w:val="14"/>
                <w:b w:val="1"/>
                <w:bCs w:val="1"/>
                <w:color w:val="auto"/>
              </w:rPr>
              <w:t>April 30,</w:t>
            </w:r>
          </w:p>
        </w:tc>
        <w:tc>
          <w:tcPr>
            <w:tcW w:w="1020" w:type="dxa"/>
            <w:vAlign w:val="bottom"/>
            <w:gridSpan w:val="2"/>
          </w:tcPr>
          <w:p>
            <w:pPr>
              <w:jc w:val="center"/>
              <w:ind w:right="194"/>
              <w:spacing w:after="0" w:line="128" w:lineRule="exact"/>
              <w:rPr>
                <w:sz w:val="20"/>
                <w:szCs w:val="20"/>
                <w:color w:val="auto"/>
              </w:rPr>
            </w:pPr>
            <w:r>
              <w:rPr>
                <w:rFonts w:ascii="Arial" w:cs="Arial" w:eastAsia="Arial" w:hAnsi="Arial"/>
                <w:sz w:val="14"/>
                <w:szCs w:val="14"/>
                <w:b w:val="1"/>
                <w:bCs w:val="1"/>
                <w:color w:val="auto"/>
                <w:w w:val="97"/>
              </w:rPr>
              <w:t>July 31,</w:t>
            </w:r>
          </w:p>
        </w:tc>
        <w:tc>
          <w:tcPr>
            <w:tcW w:w="1100" w:type="dxa"/>
            <w:vAlign w:val="bottom"/>
            <w:gridSpan w:val="2"/>
          </w:tcPr>
          <w:p>
            <w:pPr>
              <w:jc w:val="center"/>
              <w:ind w:right="214"/>
              <w:spacing w:after="0" w:line="128" w:lineRule="exact"/>
              <w:rPr>
                <w:sz w:val="20"/>
                <w:szCs w:val="20"/>
                <w:color w:val="auto"/>
              </w:rPr>
            </w:pPr>
            <w:r>
              <w:rPr>
                <w:rFonts w:ascii="Arial" w:cs="Arial" w:eastAsia="Arial" w:hAnsi="Arial"/>
                <w:sz w:val="14"/>
                <w:szCs w:val="14"/>
                <w:b w:val="1"/>
                <w:bCs w:val="1"/>
                <w:color w:val="auto"/>
                <w:w w:val="98"/>
              </w:rPr>
              <w:t>October 31,</w:t>
            </w:r>
          </w:p>
        </w:tc>
        <w:tc>
          <w:tcPr>
            <w:tcW w:w="8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8"/>
              </w:rPr>
              <w:t>January 31,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2019</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79"/>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Cost of revenue</w:t>
            </w:r>
          </w:p>
        </w:tc>
        <w:tc>
          <w:tcPr>
            <w:tcW w:w="640" w:type="dxa"/>
            <w:vAlign w:val="bottom"/>
          </w:tcPr>
          <w:p>
            <w:pPr>
              <w:jc w:val="right"/>
              <w:spacing w:after="0"/>
              <w:rPr>
                <w:sz w:val="20"/>
                <w:szCs w:val="20"/>
                <w:color w:val="auto"/>
              </w:rPr>
            </w:pPr>
            <w:r>
              <w:rPr>
                <w:rFonts w:ascii="Arial" w:cs="Arial" w:eastAsia="Arial" w:hAnsi="Arial"/>
                <w:sz w:val="17"/>
                <w:szCs w:val="17"/>
                <w:color w:val="auto"/>
              </w:rPr>
              <w:t>21</w:t>
            </w: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21</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820" w:type="dxa"/>
            <w:vAlign w:val="bottom"/>
          </w:tcPr>
          <w:p>
            <w:pPr>
              <w:jc w:val="right"/>
              <w:spacing w:after="0"/>
              <w:rPr>
                <w:sz w:val="20"/>
                <w:szCs w:val="20"/>
                <w:color w:val="auto"/>
              </w:rPr>
            </w:pPr>
            <w:r>
              <w:rPr>
                <w:rFonts w:ascii="Arial" w:cs="Arial" w:eastAsia="Arial" w:hAnsi="Arial"/>
                <w:sz w:val="17"/>
                <w:szCs w:val="17"/>
                <w:color w:val="auto"/>
              </w:rPr>
              <w:t>21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Gross profit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13</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48</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50</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58</w:t>
            </w:r>
          </w:p>
        </w:tc>
        <w:tc>
          <w:tcPr>
            <w:tcW w:w="82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38</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tcPr>
          <w:p>
            <w:pPr>
              <w:ind w:left="660"/>
              <w:spacing w:after="0"/>
              <w:rPr>
                <w:sz w:val="20"/>
                <w:szCs w:val="20"/>
                <w:color w:val="auto"/>
              </w:rPr>
            </w:pPr>
            <w:r>
              <w:rPr>
                <w:rFonts w:ascii="Arial" w:cs="Arial" w:eastAsia="Arial" w:hAnsi="Arial"/>
                <w:sz w:val="17"/>
                <w:szCs w:val="17"/>
                <w:color w:val="auto"/>
              </w:rPr>
              <w:t>Total operating expenses</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w:t>
            </w:r>
          </w:p>
        </w:tc>
        <w:tc>
          <w:tcPr>
            <w:tcW w:w="3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99</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82</w:t>
            </w:r>
          </w:p>
        </w:tc>
        <w:tc>
          <w:tcPr>
            <w:tcW w:w="820" w:type="dxa"/>
            <w:vAlign w:val="bottom"/>
          </w:tcPr>
          <w:p>
            <w:pPr>
              <w:jc w:val="right"/>
              <w:spacing w:after="0"/>
              <w:rPr>
                <w:sz w:val="20"/>
                <w:szCs w:val="20"/>
                <w:color w:val="auto"/>
              </w:rPr>
            </w:pPr>
            <w:r>
              <w:rPr>
                <w:rFonts w:ascii="Arial" w:cs="Arial" w:eastAsia="Arial" w:hAnsi="Arial"/>
                <w:sz w:val="17"/>
                <w:szCs w:val="17"/>
                <w:color w:val="auto"/>
              </w:rPr>
              <w:t>80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color w:val="auto"/>
              </w:rPr>
              <w:t>Interest income, net</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50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7"/>
                <w:szCs w:val="17"/>
                <w:color w:val="auto"/>
              </w:rPr>
              <w:t>Net income (loss) before provision for income</w:t>
            </w: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7"/>
                <w:szCs w:val="17"/>
                <w:color w:val="auto"/>
              </w:rPr>
              <w:t>taxes</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9</w:t>
            </w: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(19)</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500" w:type="dxa"/>
            <w:vAlign w:val="bottom"/>
            <w:gridSpan w:val="2"/>
            <w:vMerge w:val="continue"/>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Revenue Trends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Cost of Revenue Trends</w:t>
      </w:r>
    </w:p>
    <w:p>
      <w:pPr>
        <w:spacing w:after="0" w:line="124"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costs.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Gross Profit Trends</w:t>
      </w:r>
    </w:p>
    <w:p>
      <w:pPr>
        <w:spacing w:after="0" w:line="124" w:lineRule="exact"/>
        <w:rPr>
          <w:sz w:val="20"/>
          <w:szCs w:val="20"/>
          <w:color w:val="auto"/>
        </w:rPr>
      </w:pPr>
    </w:p>
    <w:p>
      <w:pPr>
        <w:ind w:left="180" w:right="320" w:firstLine="465"/>
        <w:spacing w:after="0" w:line="275" w:lineRule="auto"/>
        <w:rPr>
          <w:sz w:val="20"/>
          <w:szCs w:val="20"/>
          <w:color w:val="auto"/>
        </w:rPr>
      </w:pPr>
      <w:r>
        <w:rPr>
          <w:rFonts w:ascii="Arial" w:cs="Arial" w:eastAsia="Arial" w:hAnsi="Arial"/>
          <w:sz w:val="19"/>
          <w:szCs w:val="19"/>
          <w:color w:val="auto"/>
        </w:rPr>
        <w:t>Gross profit increased sequentially in each of the quarters presented, primarily driven by an increase in revenue. Our gross profit margins were consistent for all periods presented.</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Quarterly Operating Expenses Trends</w:t>
      </w:r>
    </w:p>
    <w:p>
      <w:pPr>
        <w:spacing w:after="0" w:line="124"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Our total quarterly operating expenses increased sequentially for all periods presented due primarily to increases in headcount and other related expenses to support our growth. We intend to continue to make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65</w:t>
      </w:r>
    </w:p>
    <w:p>
      <w:pPr>
        <w:sectPr>
          <w:pgSz w:w="12240" w:h="15840" w:orient="portrait"/>
          <w:cols w:equalWidth="0" w:num="1">
            <w:col w:w="11820"/>
          </w:cols>
          <w:pgMar w:left="120" w:top="336" w:right="300" w:bottom="1440" w:gutter="0" w:footer="0" w:header="0"/>
        </w:sectPr>
      </w:pPr>
    </w:p>
    <w:bookmarkStart w:id="70" w:name="page71"/>
    <w:bookmarkEnd w:id="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spacing w:after="0" w:line="286" w:lineRule="auto"/>
        <w:rPr>
          <w:sz w:val="20"/>
          <w:szCs w:val="20"/>
          <w:color w:val="auto"/>
        </w:rPr>
      </w:pPr>
      <w:r>
        <w:rPr>
          <w:rFonts w:ascii="Arial" w:cs="Arial" w:eastAsia="Arial" w:hAnsi="Arial"/>
          <w:sz w:val="17"/>
          <w:szCs w:val="17"/>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costs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6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Liquidity and Capital Resources</w:t>
      </w:r>
    </w:p>
    <w:p>
      <w:pPr>
        <w:spacing w:after="0" w:line="13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As of January 31, 2018, our principal sources of liquidity were cash, cash equivalents and marketable securities of $139.2 million, which were held for working capital purposes. Our marketable securities generally consist of high-grade commercial paper, corporate bonds, agency bonds and U.S. government agency securities.</w:t>
      </w:r>
    </w:p>
    <w:p>
      <w:pPr>
        <w:spacing w:after="0" w:line="194" w:lineRule="exact"/>
        <w:rPr>
          <w:sz w:val="20"/>
          <w:szCs w:val="20"/>
          <w:color w:val="auto"/>
        </w:rPr>
      </w:pPr>
    </w:p>
    <w:p>
      <w:pPr>
        <w:ind w:left="180" w:right="100" w:firstLine="465"/>
        <w:spacing w:after="0" w:line="298"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Subsequent to the fiscal year ended January 31, 2018, we also issued promissory notes in an aggregate principal amount of $15.0 million to two strategic partners. Refer to Note 10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0" w:lineRule="exact"/>
        <w:rPr>
          <w:sz w:val="20"/>
          <w:szCs w:val="20"/>
          <w:color w:val="auto"/>
        </w:rPr>
      </w:pPr>
    </w:p>
    <w:p>
      <w:pPr>
        <w:jc w:val="both"/>
        <w:ind w:left="180" w:right="180" w:firstLine="465"/>
        <w:spacing w:after="0" w:line="308" w:lineRule="auto"/>
        <w:rPr>
          <w:sz w:val="20"/>
          <w:szCs w:val="20"/>
          <w:color w:val="auto"/>
        </w:rPr>
      </w:pPr>
      <w:r>
        <w:rPr>
          <w:rFonts w:ascii="Arial" w:cs="Arial" w:eastAsia="Arial" w:hAnsi="Arial"/>
          <w:sz w:val="17"/>
          <w:szCs w:val="17"/>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6 to our consolidated financial statements included elsewhere in this prospectus for more information regarding these transactions.</w:t>
      </w:r>
    </w:p>
    <w:p>
      <w:pPr>
        <w:spacing w:after="0" w:line="160"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cash flows for the periods presented:</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Year Ended January 31,</w:t>
            </w:r>
          </w:p>
        </w:tc>
      </w:tr>
      <w:tr>
        <w:trPr>
          <w:trHeight w:val="151"/>
        </w:trPr>
        <w:tc>
          <w:tcPr>
            <w:tcW w:w="4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line="151" w:lineRule="exact"/>
              <w:rPr>
                <w:sz w:val="20"/>
                <w:szCs w:val="20"/>
                <w:color w:val="auto"/>
              </w:rPr>
            </w:pPr>
            <w:r>
              <w:rPr>
                <w:rFonts w:ascii="Arial" w:cs="Arial" w:eastAsia="Arial" w:hAnsi="Arial"/>
                <w:sz w:val="15"/>
                <w:szCs w:val="15"/>
                <w:b w:val="1"/>
                <w:bCs w:val="1"/>
                <w:color w:val="auto"/>
              </w:rPr>
              <w:t>2017</w:t>
            </w:r>
          </w:p>
        </w:tc>
        <w:tc>
          <w:tcPr>
            <w:tcW w:w="102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47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6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0"/>
              </w:rPr>
              <w:t>(in thousands)</w:t>
            </w:r>
          </w:p>
        </w:tc>
        <w:tc>
          <w:tcPr>
            <w:tcW w:w="120" w:type="dxa"/>
            <w:vAlign w:val="bottom"/>
          </w:tcPr>
          <w:p>
            <w:pPr>
              <w:spacing w:after="0"/>
              <w:rPr>
                <w:sz w:val="13"/>
                <w:szCs w:val="13"/>
                <w:color w:val="auto"/>
              </w:rPr>
            </w:pP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operating activities</w:t>
            </w:r>
          </w:p>
        </w:tc>
        <w:tc>
          <w:tcPr>
            <w:tcW w:w="57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rPr>
              <w:t>$  9,361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  19,426</w:t>
            </w:r>
          </w:p>
        </w:tc>
      </w:tr>
      <w:tr>
        <w:trPr>
          <w:trHeight w:val="228"/>
        </w:trPr>
        <w:tc>
          <w:tcPr>
            <w:tcW w:w="4780" w:type="dxa"/>
            <w:vAlign w:val="bottom"/>
          </w:tcPr>
          <w:p>
            <w:pPr>
              <w:spacing w:after="0"/>
              <w:rPr>
                <w:sz w:val="20"/>
                <w:szCs w:val="20"/>
                <w:color w:val="auto"/>
              </w:rPr>
            </w:pPr>
            <w:r>
              <w:rPr>
                <w:rFonts w:ascii="Arial" w:cs="Arial" w:eastAsia="Arial" w:hAnsi="Arial"/>
                <w:sz w:val="19"/>
                <w:szCs w:val="19"/>
                <w:color w:val="auto"/>
              </w:rPr>
              <w:t>Net cash used in investing activities</w:t>
            </w:r>
          </w:p>
        </w:tc>
        <w:tc>
          <w:tcPr>
            <w:tcW w:w="5720" w:type="dxa"/>
            <w:vAlign w:val="bottom"/>
            <w:gridSpan w:val="2"/>
          </w:tcPr>
          <w:p>
            <w:pPr>
              <w:jc w:val="right"/>
              <w:ind w:right="184"/>
              <w:spacing w:after="0"/>
              <w:rPr>
                <w:sz w:val="20"/>
                <w:szCs w:val="20"/>
                <w:color w:val="auto"/>
              </w:rPr>
            </w:pPr>
            <w:r>
              <w:rPr>
                <w:rFonts w:ascii="Arial" w:cs="Arial" w:eastAsia="Arial" w:hAnsi="Arial"/>
                <w:sz w:val="19"/>
                <w:szCs w:val="19"/>
                <w:color w:val="auto"/>
              </w:rPr>
              <w:t>(2,824)</w:t>
            </w:r>
          </w:p>
        </w:tc>
        <w:tc>
          <w:tcPr>
            <w:tcW w:w="1140" w:type="dxa"/>
            <w:vAlign w:val="bottom"/>
            <w:gridSpan w:val="2"/>
          </w:tcPr>
          <w:p>
            <w:pPr>
              <w:jc w:val="right"/>
              <w:ind w:right="60"/>
              <w:spacing w:after="0"/>
              <w:rPr>
                <w:sz w:val="20"/>
                <w:szCs w:val="20"/>
                <w:color w:val="auto"/>
              </w:rPr>
            </w:pPr>
            <w:r>
              <w:rPr>
                <w:rFonts w:ascii="Arial" w:cs="Arial" w:eastAsia="Arial" w:hAnsi="Arial"/>
                <w:sz w:val="19"/>
                <w:szCs w:val="19"/>
                <w:color w:val="auto"/>
              </w:rPr>
              <w:t>(113,357)</w:t>
            </w: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color w:val="auto"/>
              </w:rPr>
              <w:t>Net cash provided by (used in) financing activities</w:t>
            </w:r>
          </w:p>
        </w:tc>
        <w:tc>
          <w:tcPr>
            <w:tcW w:w="5720" w:type="dxa"/>
            <w:vAlign w:val="bottom"/>
            <w:gridSpan w:val="2"/>
            <w:shd w:val="clear" w:color="auto" w:fill="CCEEFF"/>
          </w:tcPr>
          <w:p>
            <w:pPr>
              <w:jc w:val="right"/>
              <w:ind w:right="244"/>
              <w:spacing w:after="0"/>
              <w:rPr>
                <w:sz w:val="20"/>
                <w:szCs w:val="20"/>
                <w:color w:val="auto"/>
              </w:rPr>
            </w:pPr>
            <w:r>
              <w:rPr>
                <w:rFonts w:ascii="Arial" w:cs="Arial" w:eastAsia="Arial" w:hAnsi="Arial"/>
                <w:sz w:val="19"/>
                <w:szCs w:val="19"/>
                <w:color w:val="auto"/>
              </w:rPr>
              <w:t>100,267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(3,997)</w:t>
            </w:r>
          </w:p>
        </w:tc>
      </w:tr>
      <w:tr>
        <w:trPr>
          <w:trHeight w:val="384"/>
        </w:trPr>
        <w:tc>
          <w:tcPr>
            <w:tcW w:w="4780" w:type="dxa"/>
            <w:vAlign w:val="bottom"/>
          </w:tcPr>
          <w:p>
            <w:pPr>
              <w:spacing w:after="0"/>
              <w:rPr>
                <w:sz w:val="24"/>
                <w:szCs w:val="24"/>
                <w:color w:val="auto"/>
              </w:rPr>
            </w:pPr>
          </w:p>
        </w:tc>
        <w:tc>
          <w:tcPr>
            <w:tcW w:w="4680" w:type="dxa"/>
            <w:vAlign w:val="bottom"/>
          </w:tcPr>
          <w:p>
            <w:pPr>
              <w:jc w:val="right"/>
              <w:ind w:right="3445"/>
              <w:spacing w:after="0"/>
              <w:rPr>
                <w:sz w:val="20"/>
                <w:szCs w:val="20"/>
                <w:color w:val="auto"/>
              </w:rPr>
            </w:pPr>
            <w:r>
              <w:rPr>
                <w:rFonts w:ascii="Arial" w:cs="Arial" w:eastAsia="Arial" w:hAnsi="Arial"/>
                <w:sz w:val="19"/>
                <w:szCs w:val="19"/>
                <w:color w:val="auto"/>
              </w:rPr>
              <w:t>66</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71" w:name="page72"/>
    <w:bookmarkEnd w:id="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124" w:lineRule="exact"/>
        <w:rPr>
          <w:sz w:val="20"/>
          <w:szCs w:val="20"/>
          <w:color w:val="auto"/>
        </w:rPr>
      </w:pPr>
    </w:p>
    <w:p>
      <w:pPr>
        <w:ind w:left="180" w:right="160" w:firstLine="465"/>
        <w:spacing w:after="0" w:line="254" w:lineRule="auto"/>
        <w:rPr>
          <w:sz w:val="20"/>
          <w:szCs w:val="20"/>
          <w:color w:val="auto"/>
        </w:rPr>
      </w:pPr>
      <w:r>
        <w:rPr>
          <w:rFonts w:ascii="Arial" w:cs="Arial" w:eastAsia="Arial" w:hAnsi="Arial"/>
          <w:sz w:val="19"/>
          <w:szCs w:val="19"/>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207" w:lineRule="exact"/>
        <w:rPr>
          <w:sz w:val="20"/>
          <w:szCs w:val="20"/>
          <w:color w:val="auto"/>
        </w:rPr>
      </w:pPr>
    </w:p>
    <w:p>
      <w:pPr>
        <w:ind w:left="180" w:firstLine="465"/>
        <w:spacing w:after="0" w:line="283" w:lineRule="auto"/>
        <w:rPr>
          <w:sz w:val="20"/>
          <w:szCs w:val="20"/>
          <w:color w:val="auto"/>
        </w:rPr>
      </w:pPr>
      <w:r>
        <w:rPr>
          <w:rFonts w:ascii="Arial" w:cs="Arial" w:eastAsia="Arial" w:hAnsi="Arial"/>
          <w:sz w:val="17"/>
          <w:szCs w:val="17"/>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unfavorable to cash flows from operations by $0.3 million primarily due to an addition to deferred contract acquisition costs of $27.5 million, an increase to accounts receivable of $16.6 million due to increases in sales and an increase in prepaid expenses and other assets of</w:t>
      </w:r>
    </w:p>
    <w:p>
      <w:pPr>
        <w:spacing w:after="0" w:line="2" w:lineRule="exact"/>
        <w:rPr>
          <w:sz w:val="20"/>
          <w:szCs w:val="20"/>
          <w:color w:val="auto"/>
        </w:rPr>
      </w:pPr>
    </w:p>
    <w:p>
      <w:pPr>
        <w:ind w:left="180" w:right="600"/>
        <w:spacing w:after="0" w:line="261" w:lineRule="auto"/>
        <w:rPr>
          <w:sz w:val="20"/>
          <w:szCs w:val="20"/>
          <w:color w:val="auto"/>
        </w:rPr>
      </w:pPr>
      <w:r>
        <w:rPr>
          <w:rFonts w:ascii="Arial" w:cs="Arial" w:eastAsia="Arial" w:hAnsi="Arial"/>
          <w:sz w:val="19"/>
          <w:szCs w:val="19"/>
          <w:color w:val="auto"/>
        </w:rPr>
        <w:t>$3.4 million, partially offset by an increase in deferred revenue of $31.5 million due to increases in sales and an increase in accounts payable and accrued expenses and other liabilities of $16.3 million.</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38"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Net cash used in investing activities of $2.8 million for the fiscal year ended January 31, 2017 was related to capital expenditures of $4.8 million, partially offset by principal payment received on a note receivable of $2.0 million. Refer to Note 9 to our consolidated financial statements included elsewhere in this prospectus for more information regarding the note receivable.</w:t>
      </w:r>
    </w:p>
    <w:p>
      <w:pPr>
        <w:spacing w:after="0" w:line="194" w:lineRule="exact"/>
        <w:rPr>
          <w:sz w:val="20"/>
          <w:szCs w:val="20"/>
          <w:color w:val="auto"/>
        </w:rPr>
      </w:pPr>
    </w:p>
    <w:p>
      <w:pPr>
        <w:ind w:left="180" w:right="560" w:firstLine="465"/>
        <w:spacing w:after="0" w:line="275" w:lineRule="auto"/>
        <w:rPr>
          <w:sz w:val="20"/>
          <w:szCs w:val="20"/>
          <w:color w:val="auto"/>
        </w:rPr>
      </w:pPr>
      <w:r>
        <w:rPr>
          <w:rFonts w:ascii="Arial" w:cs="Arial" w:eastAsia="Arial" w:hAnsi="Arial"/>
          <w:sz w:val="19"/>
          <w:szCs w:val="19"/>
          <w:color w:val="auto"/>
        </w:rPr>
        <w:t>Net cash used in investing activities of $113.4 million for the fiscal year ended January 31, 2018 was related to net purchases of marketable securities of $103.6 million and capital expenditures of $9.7 million.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24"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94" w:lineRule="exact"/>
        <w:rPr>
          <w:sz w:val="20"/>
          <w:szCs w:val="20"/>
          <w:color w:val="auto"/>
        </w:rPr>
      </w:pPr>
    </w:p>
    <w:p>
      <w:pPr>
        <w:ind w:left="180" w:right="100" w:firstLine="465"/>
        <w:spacing w:after="0" w:line="304" w:lineRule="auto"/>
        <w:rPr>
          <w:sz w:val="20"/>
          <w:szCs w:val="20"/>
          <w:color w:val="auto"/>
        </w:rPr>
      </w:pPr>
      <w:r>
        <w:rPr>
          <w:rFonts w:ascii="Arial" w:cs="Arial" w:eastAsia="Arial" w:hAnsi="Arial"/>
          <w:sz w:val="18"/>
          <w:szCs w:val="18"/>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Remaining Performance Obligation</w:t>
      </w:r>
    </w:p>
    <w:p>
      <w:pPr>
        <w:spacing w:after="0" w:line="130"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 consideration in the amount of $75.7 million that we expect to recognize as revenue. We expect to recognize 67% of our remaining performance obligations as revenue in fiscal 2019 and the remainder thereafter.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67</w:t>
      </w:r>
    </w:p>
    <w:p>
      <w:pPr>
        <w:sectPr>
          <w:pgSz w:w="12240" w:h="15840" w:orient="portrait"/>
          <w:cols w:equalWidth="0" w:num="1">
            <w:col w:w="11820"/>
          </w:cols>
          <w:pgMar w:left="120" w:top="336" w:right="300" w:bottom="1440" w:gutter="0" w:footer="0" w:header="0"/>
        </w:sectPr>
      </w:pPr>
    </w:p>
    <w:bookmarkStart w:id="72" w:name="page73"/>
    <w:bookmarkEnd w:id="7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Commitments and Contractual Obligations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our non-cancelable contractual obligations as of January 31, 2018:</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4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right"/>
              <w:ind w:right="120"/>
              <w:spacing w:after="0" w:line="128" w:lineRule="exact"/>
              <w:rPr>
                <w:sz w:val="20"/>
                <w:szCs w:val="20"/>
                <w:color w:val="auto"/>
              </w:rPr>
            </w:pPr>
            <w:r>
              <w:rPr>
                <w:rFonts w:ascii="Arial" w:cs="Arial" w:eastAsia="Arial" w:hAnsi="Arial"/>
                <w:sz w:val="14"/>
                <w:szCs w:val="14"/>
                <w:b w:val="1"/>
                <w:bCs w:val="1"/>
                <w:color w:val="auto"/>
                <w:w w:val="95"/>
              </w:rPr>
              <w:t>Less Than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80"/>
              <w:spacing w:after="0" w:line="128" w:lineRule="exact"/>
              <w:rPr>
                <w:sz w:val="20"/>
                <w:szCs w:val="20"/>
                <w:color w:val="auto"/>
              </w:rPr>
            </w:pPr>
            <w:r>
              <w:rPr>
                <w:rFonts w:ascii="Arial" w:cs="Arial" w:eastAsia="Arial" w:hAnsi="Arial"/>
                <w:sz w:val="14"/>
                <w:szCs w:val="14"/>
                <w:b w:val="1"/>
                <w:bCs w:val="1"/>
                <w:color w:val="auto"/>
                <w:w w:val="96"/>
              </w:rPr>
              <w:t>1 – 3</w:t>
            </w:r>
          </w:p>
        </w:tc>
        <w:tc>
          <w:tcPr>
            <w:tcW w:w="120" w:type="dxa"/>
            <w:vAlign w:val="bottom"/>
          </w:tcPr>
          <w:p>
            <w:pPr>
              <w:spacing w:after="0"/>
              <w:rPr>
                <w:sz w:val="11"/>
                <w:szCs w:val="11"/>
                <w:color w:val="auto"/>
              </w:rPr>
            </w:pPr>
          </w:p>
        </w:tc>
        <w:tc>
          <w:tcPr>
            <w:tcW w:w="900" w:type="dxa"/>
            <w:vAlign w:val="bottom"/>
            <w:gridSpan w:val="2"/>
          </w:tcPr>
          <w:p>
            <w:pPr>
              <w:jc w:val="center"/>
              <w:ind w:right="380"/>
              <w:spacing w:after="0" w:line="128" w:lineRule="exact"/>
              <w:rPr>
                <w:sz w:val="20"/>
                <w:szCs w:val="20"/>
                <w:color w:val="auto"/>
              </w:rPr>
            </w:pPr>
            <w:r>
              <w:rPr>
                <w:rFonts w:ascii="Arial" w:cs="Arial" w:eastAsia="Arial" w:hAnsi="Arial"/>
                <w:sz w:val="14"/>
                <w:szCs w:val="14"/>
                <w:b w:val="1"/>
                <w:bCs w:val="1"/>
                <w:color w:val="auto"/>
              </w:rPr>
              <w:t>3 – 5</w:t>
            </w:r>
          </w:p>
        </w:tc>
        <w:tc>
          <w:tcPr>
            <w:tcW w:w="78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r>
      <w:tr>
        <w:trPr>
          <w:trHeight w:val="180"/>
        </w:trPr>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5"/>
                <w:szCs w:val="15"/>
                <w:b w:val="1"/>
                <w:bCs w:val="1"/>
                <w:color w:val="auto"/>
              </w:rPr>
              <w:t>1 Year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Years</w:t>
            </w:r>
          </w:p>
        </w:tc>
        <w:tc>
          <w:tcPr>
            <w:tcW w:w="1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Years</w:t>
            </w: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5"/>
                <w:szCs w:val="15"/>
                <w:b w:val="1"/>
                <w:bCs w:val="1"/>
                <w:color w:val="auto"/>
              </w:rPr>
              <w:t>5 Years</w:t>
            </w:r>
          </w:p>
        </w:tc>
      </w:tr>
      <w:tr>
        <w:trPr>
          <w:trHeight w:val="151"/>
        </w:trPr>
        <w:tc>
          <w:tcPr>
            <w:tcW w:w="4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88"/>
              </w:rPr>
              <w:t>(in thousands)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4840" w:type="dxa"/>
            <w:vAlign w:val="bottom"/>
            <w:shd w:val="clear" w:color="auto" w:fill="CCEEFF"/>
          </w:tcPr>
          <w:p>
            <w:pPr>
              <w:spacing w:after="0"/>
              <w:rPr>
                <w:sz w:val="20"/>
                <w:szCs w:val="20"/>
                <w:color w:val="auto"/>
              </w:rPr>
            </w:pPr>
            <w:r>
              <w:rPr>
                <w:rFonts w:ascii="Arial" w:cs="Arial" w:eastAsia="Arial" w:hAnsi="Arial"/>
                <w:sz w:val="19"/>
                <w:szCs w:val="19"/>
                <w:color w:val="auto"/>
              </w:rPr>
              <w:t>Operating lease obligations</w:t>
            </w:r>
          </w:p>
        </w:tc>
        <w:tc>
          <w:tcPr>
            <w:tcW w:w="28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$10,849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3,749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color w:val="auto"/>
                <w:w w:val="7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5,559</w:t>
            </w: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center"/>
              <w:ind w:right="260"/>
              <w:spacing w:after="0"/>
              <w:rPr>
                <w:sz w:val="20"/>
                <w:szCs w:val="20"/>
                <w:color w:val="auto"/>
              </w:rPr>
            </w:pPr>
            <w:r>
              <w:rPr>
                <w:rFonts w:ascii="Arial" w:cs="Arial" w:eastAsia="Arial" w:hAnsi="Arial"/>
                <w:sz w:val="19"/>
                <w:szCs w:val="19"/>
                <w:color w:val="auto"/>
                <w:w w:val="89"/>
              </w:rPr>
              <w:t>$1,541</w:t>
            </w: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9"/>
                <w:szCs w:val="19"/>
                <w:color w:val="auto"/>
              </w:rPr>
              <w:t>—</w:t>
            </w:r>
          </w:p>
        </w:tc>
      </w:tr>
      <w:tr>
        <w:trPr>
          <w:trHeight w:val="228"/>
        </w:trPr>
        <w:tc>
          <w:tcPr>
            <w:tcW w:w="4840" w:type="dxa"/>
            <w:vAlign w:val="bottom"/>
          </w:tcPr>
          <w:p>
            <w:pPr>
              <w:spacing w:after="0"/>
              <w:rPr>
                <w:sz w:val="20"/>
                <w:szCs w:val="20"/>
                <w:color w:val="auto"/>
              </w:rPr>
            </w:pPr>
            <w:r>
              <w:rPr>
                <w:rFonts w:ascii="Arial" w:cs="Arial" w:eastAsia="Arial" w:hAnsi="Arial"/>
                <w:sz w:val="19"/>
                <w:szCs w:val="19"/>
                <w:color w:val="auto"/>
              </w:rPr>
              <w:t>Non-cancellable purchase obligations</w:t>
            </w:r>
          </w:p>
        </w:tc>
        <w:tc>
          <w:tcPr>
            <w:tcW w:w="19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7,950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9"/>
                <w:szCs w:val="19"/>
                <w:color w:val="auto"/>
              </w:rPr>
              <w:t>3,396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4,554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
        </w:trPr>
        <w:tc>
          <w:tcPr>
            <w:tcW w:w="4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484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contractual obligations</w:t>
            </w:r>
          </w:p>
        </w:tc>
        <w:tc>
          <w:tcPr>
            <w:tcW w:w="28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18,799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7,145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10,113</w:t>
            </w:r>
          </w:p>
        </w:tc>
        <w:tc>
          <w:tcPr>
            <w:tcW w:w="2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center"/>
              <w:ind w:right="260"/>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1,541</w:t>
            </w:r>
          </w:p>
        </w:tc>
        <w:tc>
          <w:tcPr>
            <w:tcW w:w="14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Off-Balance Sheet Arrangements</w:t>
      </w:r>
    </w:p>
    <w:p>
      <w:pPr>
        <w:spacing w:after="0" w:line="130"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Through January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Quantitative and Qualitative Disclosures About Market Risk</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Foreign Currency and Exchange Risk</w:t>
      </w:r>
    </w:p>
    <w:p>
      <w:pPr>
        <w:spacing w:after="0" w:line="124" w:lineRule="exact"/>
        <w:rPr>
          <w:sz w:val="20"/>
          <w:szCs w:val="20"/>
          <w:color w:val="auto"/>
        </w:rPr>
      </w:pPr>
    </w:p>
    <w:p>
      <w:pPr>
        <w:ind w:left="180" w:right="60" w:firstLine="465"/>
        <w:spacing w:after="0" w:line="271" w:lineRule="auto"/>
        <w:rPr>
          <w:sz w:val="20"/>
          <w:szCs w:val="20"/>
          <w:color w:val="auto"/>
        </w:rPr>
      </w:pPr>
      <w:r>
        <w:rPr>
          <w:rFonts w:ascii="Arial" w:cs="Arial" w:eastAsia="Arial" w:hAnsi="Arial"/>
          <w:sz w:val="18"/>
          <w:szCs w:val="18"/>
          <w:color w:val="auto"/>
        </w:rPr>
        <w:t>The vast majority of our cash generated from revenue are denominated in U.S. dollars, with a small number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303"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24"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We had cash and cash equivalents of $36.1 million and marketable securities of $103.1 million as of January 31, 2018.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and 2018.</w:t>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30"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Our financial statements are prepared in accordance with generally accepted accounting principles in the United States of America (U.S. GAAP). The preparation of these financial statements requires us to make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68</w:t>
      </w:r>
    </w:p>
    <w:p>
      <w:pPr>
        <w:sectPr>
          <w:pgSz w:w="12240" w:h="15840" w:orient="portrait"/>
          <w:cols w:equalWidth="0" w:num="1">
            <w:col w:w="11820"/>
          </w:cols>
          <w:pgMar w:left="120" w:top="336" w:right="300" w:bottom="1440" w:gutter="0" w:footer="0" w:header="0"/>
        </w:sectPr>
      </w:pPr>
    </w:p>
    <w:bookmarkStart w:id="73" w:name="page74"/>
    <w:bookmarkEnd w:id="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300"/>
        <w:spacing w:after="0" w:line="284" w:lineRule="auto"/>
        <w:rPr>
          <w:sz w:val="20"/>
          <w:szCs w:val="20"/>
          <w:color w:val="auto"/>
        </w:rPr>
      </w:pPr>
      <w:r>
        <w:rPr>
          <w:rFonts w:ascii="Arial" w:cs="Arial" w:eastAsia="Arial" w:hAnsi="Arial"/>
          <w:sz w:val="18"/>
          <w:szCs w:val="18"/>
          <w:color w:val="auto"/>
        </w:rPr>
        <w:t>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8"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The critical accounting estimates, assumptions and judgments that we believe have the most significant impact on our consolidated financial statements are described below.</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98" w:lineRule="exact"/>
        <w:rPr>
          <w:sz w:val="20"/>
          <w:szCs w:val="20"/>
          <w:color w:val="auto"/>
        </w:rPr>
      </w:pPr>
    </w:p>
    <w:p>
      <w:pPr>
        <w:ind w:left="180" w:right="100" w:firstLine="465"/>
        <w:spacing w:after="0" w:line="263" w:lineRule="auto"/>
        <w:rPr>
          <w:sz w:val="20"/>
          <w:szCs w:val="20"/>
          <w:color w:val="auto"/>
        </w:rPr>
      </w:pPr>
      <w:r>
        <w:rPr>
          <w:rFonts w:ascii="Arial" w:cs="Arial" w:eastAsia="Arial" w:hAnsi="Arial"/>
          <w:sz w:val="19"/>
          <w:szCs w:val="19"/>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1. Identification of the contract, or contracts, with the customer</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2. Identification of the performance obligations in the contract</w:t>
      </w:r>
    </w:p>
    <w:p>
      <w:pPr>
        <w:spacing w:after="0" w:line="124" w:lineRule="exact"/>
        <w:rPr>
          <w:sz w:val="20"/>
          <w:szCs w:val="20"/>
          <w:color w:val="auto"/>
        </w:rPr>
      </w:pPr>
    </w:p>
    <w:p>
      <w:pPr>
        <w:ind w:left="180" w:right="120" w:firstLine="465"/>
        <w:spacing w:after="0" w:line="291"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75" w:lineRule="exact"/>
        <w:rPr>
          <w:sz w:val="20"/>
          <w:szCs w:val="20"/>
          <w:color w:val="auto"/>
        </w:rPr>
      </w:pPr>
    </w:p>
    <w:p>
      <w:pPr>
        <w:ind w:left="180" w:right="560" w:firstLine="465"/>
        <w:spacing w:after="0" w:line="275" w:lineRule="auto"/>
        <w:rPr>
          <w:sz w:val="20"/>
          <w:szCs w:val="20"/>
          <w:color w:val="auto"/>
        </w:rPr>
      </w:pPr>
      <w:r>
        <w:rPr>
          <w:rFonts w:ascii="Arial" w:cs="Arial" w:eastAsia="Arial" w:hAnsi="Arial"/>
          <w:sz w:val="19"/>
          <w:szCs w:val="19"/>
          <w:color w:val="auto"/>
        </w:rPr>
        <w:t>We also provide services, which include professional services, consulting services and online event hosting, which are generally considered distinct from the access to our video-first communications platform.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3. Determination of the transaction price</w:t>
      </w:r>
    </w:p>
    <w:p>
      <w:pPr>
        <w:spacing w:after="0" w:line="124"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69</w:t>
      </w:r>
    </w:p>
    <w:p>
      <w:pPr>
        <w:sectPr>
          <w:pgSz w:w="12240" w:h="15840" w:orient="portrait"/>
          <w:cols w:equalWidth="0" w:num="1">
            <w:col w:w="11820"/>
          </w:cols>
          <w:pgMar w:left="120" w:top="336" w:right="300" w:bottom="1440" w:gutter="0" w:footer="0" w:header="0"/>
        </w:sectPr>
      </w:pPr>
    </w:p>
    <w:bookmarkStart w:id="74" w:name="page75"/>
    <w:bookmarkEnd w:id="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4. Allocation of the transaction price to the performance obligations in the contract</w:t>
      </w:r>
    </w:p>
    <w:p>
      <w:pPr>
        <w:spacing w:after="0" w:line="12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5. Recognition of the revenue when, or as, a performance obligation is satisfied</w:t>
      </w:r>
    </w:p>
    <w:p>
      <w:pPr>
        <w:spacing w:after="0" w:line="238" w:lineRule="exact"/>
        <w:rPr>
          <w:sz w:val="20"/>
          <w:szCs w:val="20"/>
          <w:color w:val="auto"/>
        </w:rPr>
      </w:pPr>
    </w:p>
    <w:p>
      <w:pPr>
        <w:ind w:left="180" w:right="80" w:firstLine="465"/>
        <w:spacing w:after="0" w:line="27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Services are time-based arrangements and revenue is recognized as these services are performed.</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Contract Balances</w:t>
      </w:r>
    </w:p>
    <w:p>
      <w:pPr>
        <w:spacing w:after="0" w:line="124" w:lineRule="exact"/>
        <w:rPr>
          <w:sz w:val="20"/>
          <w:szCs w:val="20"/>
          <w:color w:val="auto"/>
        </w:rPr>
      </w:pPr>
    </w:p>
    <w:p>
      <w:pPr>
        <w:jc w:val="both"/>
        <w:ind w:left="180" w:right="260" w:firstLine="465"/>
        <w:spacing w:after="0" w:line="263" w:lineRule="auto"/>
        <w:rPr>
          <w:sz w:val="20"/>
          <w:szCs w:val="20"/>
          <w:color w:val="auto"/>
        </w:rPr>
      </w:pPr>
      <w:r>
        <w:rPr>
          <w:rFonts w:ascii="Arial" w:cs="Arial" w:eastAsia="Arial" w:hAnsi="Arial"/>
          <w:sz w:val="19"/>
          <w:szCs w:val="19"/>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contract.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current portion of deferred revenue balances are recognized during the following 12-month period.</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Cost to Obtain a Contract</w:t>
      </w:r>
    </w:p>
    <w:p>
      <w:pPr>
        <w:spacing w:after="0" w:line="130" w:lineRule="exact"/>
        <w:rPr>
          <w:sz w:val="20"/>
          <w:szCs w:val="20"/>
          <w:color w:val="auto"/>
        </w:rPr>
      </w:pPr>
    </w:p>
    <w:p>
      <w:pPr>
        <w:ind w:left="180" w:right="240" w:firstLine="465"/>
        <w:spacing w:after="0" w:line="308" w:lineRule="auto"/>
        <w:rPr>
          <w:sz w:val="20"/>
          <w:szCs w:val="20"/>
          <w:color w:val="auto"/>
        </w:rPr>
      </w:pPr>
      <w:r>
        <w:rPr>
          <w:rFonts w:ascii="Arial" w:cs="Arial" w:eastAsia="Arial" w:hAnsi="Arial"/>
          <w:sz w:val="17"/>
          <w:szCs w:val="17"/>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costs should be deferred based on our sales compensation plans and if the commissions are incremental and would not have occurred absent the customer contract.</w:t>
      </w:r>
    </w:p>
    <w:p>
      <w:pPr>
        <w:spacing w:after="0" w:line="16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Sales commissions paid upon the initial acquisition of a contract are amortized over an estimated period of benefit of three years, which is typically greater than the contractual terms of the contracts. We do not pay sales 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70</w:t>
      </w:r>
    </w:p>
    <w:p>
      <w:pPr>
        <w:sectPr>
          <w:pgSz w:w="12240" w:h="15840" w:orient="portrait"/>
          <w:cols w:equalWidth="0" w:num="1">
            <w:col w:w="11800"/>
          </w:cols>
          <w:pgMar w:left="120" w:top="336" w:right="320" w:bottom="1440" w:gutter="0" w:footer="0" w:header="0"/>
        </w:sectPr>
      </w:pPr>
    </w:p>
    <w:bookmarkStart w:id="75" w:name="page76"/>
    <w:bookmarkEnd w:id="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80" w:firstLine="465"/>
        <w:spacing w:after="0" w:line="289" w:lineRule="auto"/>
        <w:rPr>
          <w:sz w:val="20"/>
          <w:szCs w:val="20"/>
          <w:color w:val="auto"/>
        </w:rPr>
      </w:pPr>
      <w:r>
        <w:rPr>
          <w:rFonts w:ascii="Arial" w:cs="Arial" w:eastAsia="Arial" w:hAnsi="Arial"/>
          <w:sz w:val="17"/>
          <w:szCs w:val="17"/>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78" w:lineRule="exact"/>
        <w:rPr>
          <w:sz w:val="20"/>
          <w:szCs w:val="20"/>
          <w:color w:val="auto"/>
        </w:rPr>
      </w:pPr>
    </w:p>
    <w:p>
      <w:pPr>
        <w:ind w:left="180" w:right="980" w:firstLine="465"/>
        <w:spacing w:after="0" w:line="275" w:lineRule="auto"/>
        <w:rPr>
          <w:sz w:val="20"/>
          <w:szCs w:val="20"/>
          <w:color w:val="auto"/>
        </w:rPr>
      </w:pPr>
      <w:r>
        <w:rPr>
          <w:rFonts w:ascii="Arial" w:cs="Arial" w:eastAsia="Arial" w:hAnsi="Arial"/>
          <w:sz w:val="19"/>
          <w:szCs w:val="19"/>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These assumptions and estimates are as follows:</w:t>
      </w:r>
    </w:p>
    <w:p>
      <w:pPr>
        <w:spacing w:after="0" w:line="138" w:lineRule="exact"/>
        <w:rPr>
          <w:sz w:val="20"/>
          <w:szCs w:val="20"/>
          <w:color w:val="auto"/>
        </w:rPr>
      </w:pPr>
    </w:p>
    <w:p>
      <w:pPr>
        <w:ind w:left="1100" w:right="100" w:hanging="464"/>
        <w:spacing w:after="0" w:line="259" w:lineRule="auto"/>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Fair Value of Common Stock. </w:t>
      </w:r>
      <w:r>
        <w:rPr>
          <w:rFonts w:ascii="Arial" w:cs="Arial" w:eastAsia="Arial" w:hAnsi="Arial"/>
          <w:sz w:val="19"/>
          <w:szCs w:val="19"/>
          <w:color w:val="auto"/>
        </w:rPr>
        <w:t>As our common stock is not publicly traded, the fair value was determined by our board of directors, with</w:t>
      </w:r>
      <w:r>
        <w:rPr>
          <w:rFonts w:ascii="Arial" w:cs="Arial" w:eastAsia="Arial" w:hAnsi="Arial"/>
          <w:sz w:val="19"/>
          <w:szCs w:val="19"/>
          <w:i w:val="1"/>
          <w:iCs w:val="1"/>
          <w:color w:val="auto"/>
        </w:rPr>
        <w:t xml:space="preserve"> </w:t>
      </w:r>
      <w:r>
        <w:rPr>
          <w:rFonts w:ascii="Arial" w:cs="Arial" w:eastAsia="Arial" w:hAnsi="Arial"/>
          <w:sz w:val="19"/>
          <w:szCs w:val="19"/>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7" w:lineRule="exact"/>
        <w:rPr>
          <w:rFonts w:ascii="Arial" w:cs="Arial" w:eastAsia="Arial" w:hAnsi="Arial"/>
          <w:sz w:val="19"/>
          <w:szCs w:val="19"/>
          <w:color w:val="auto"/>
        </w:rPr>
      </w:pPr>
    </w:p>
    <w:p>
      <w:pPr>
        <w:ind w:left="1100" w:right="180" w:hanging="464"/>
        <w:spacing w:after="0" w:line="275" w:lineRule="auto"/>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Risk-Free Interest Rate. </w:t>
      </w:r>
      <w:r>
        <w:rPr>
          <w:rFonts w:ascii="Arial" w:cs="Arial" w:eastAsia="Arial" w:hAnsi="Arial"/>
          <w:sz w:val="19"/>
          <w:szCs w:val="19"/>
          <w:color w:val="auto"/>
        </w:rPr>
        <w:t>The risk-free interest rate for the expected term of the options was based on the U.S. Treasury yield curve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at the time of the grant.</w:t>
      </w:r>
    </w:p>
    <w:p>
      <w:pPr>
        <w:spacing w:after="0" w:line="84" w:lineRule="exact"/>
        <w:rPr>
          <w:rFonts w:ascii="Arial" w:cs="Arial" w:eastAsia="Arial" w:hAnsi="Arial"/>
          <w:sz w:val="19"/>
          <w:szCs w:val="19"/>
          <w:color w:val="auto"/>
        </w:rPr>
      </w:pPr>
    </w:p>
    <w:p>
      <w:pPr>
        <w:ind w:left="1100" w:right="100" w:hanging="464"/>
        <w:spacing w:after="0" w:line="256" w:lineRule="auto"/>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Expected Term. </w:t>
      </w:r>
      <w:r>
        <w:rPr>
          <w:rFonts w:ascii="Arial" w:cs="Arial" w:eastAsia="Arial" w:hAnsi="Arial"/>
          <w:sz w:val="19"/>
          <w:szCs w:val="19"/>
          <w:color w:val="auto"/>
        </w:rPr>
        <w:t>The expected term of options represents the period of time that options are expected to be outstanding. Our historical stock</w:t>
      </w:r>
      <w:r>
        <w:rPr>
          <w:rFonts w:ascii="Arial" w:cs="Arial" w:eastAsia="Arial" w:hAnsi="Arial"/>
          <w:sz w:val="19"/>
          <w:szCs w:val="19"/>
          <w:i w:val="1"/>
          <w:iCs w:val="1"/>
          <w:color w:val="auto"/>
        </w:rPr>
        <w:t xml:space="preserve"> </w:t>
      </w:r>
      <w:r>
        <w:rPr>
          <w:rFonts w:ascii="Arial" w:cs="Arial" w:eastAsia="Arial" w:hAnsi="Arial"/>
          <w:sz w:val="19"/>
          <w:szCs w:val="19"/>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103" w:lineRule="exact"/>
        <w:rPr>
          <w:rFonts w:ascii="Arial" w:cs="Arial" w:eastAsia="Arial" w:hAnsi="Arial"/>
          <w:sz w:val="19"/>
          <w:szCs w:val="19"/>
          <w:color w:val="auto"/>
        </w:rPr>
      </w:pPr>
    </w:p>
    <w:p>
      <w:pPr>
        <w:ind w:left="1100" w:right="20" w:hanging="464"/>
        <w:spacing w:after="0" w:line="263" w:lineRule="auto"/>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Expected Volatility. </w:t>
      </w:r>
      <w:r>
        <w:rPr>
          <w:rFonts w:ascii="Arial" w:cs="Arial" w:eastAsia="Arial" w:hAnsi="Arial"/>
          <w:sz w:val="19"/>
          <w:szCs w:val="19"/>
          <w:color w:val="auto"/>
        </w:rPr>
        <w:t>As we do not have a trading history for our common stock, the expected volatility was estimated by taking the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94" w:lineRule="exact"/>
        <w:rPr>
          <w:rFonts w:ascii="Arial" w:cs="Arial" w:eastAsia="Arial" w:hAnsi="Arial"/>
          <w:sz w:val="19"/>
          <w:szCs w:val="19"/>
          <w:color w:val="auto"/>
        </w:rPr>
      </w:pPr>
    </w:p>
    <w:p>
      <w:pPr>
        <w:ind w:left="1100" w:right="740" w:hanging="464"/>
        <w:spacing w:after="0" w:line="275" w:lineRule="auto"/>
        <w:tabs>
          <w:tab w:leader="none" w:pos="110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Expected Dividend Yield. </w:t>
      </w:r>
      <w:r>
        <w:rPr>
          <w:rFonts w:ascii="Arial" w:cs="Arial" w:eastAsia="Arial" w:hAnsi="Arial"/>
          <w:sz w:val="19"/>
          <w:szCs w:val="19"/>
          <w:color w:val="auto"/>
        </w:rPr>
        <w:t>We have never declared or paid any cash dividends and do not presently plan to pay cash dividends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foreseeable future. As a result, an expected dividend yield of zero percent was used.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Black-Scholes assumptions used in evaluating our awards are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3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w w:val="92"/>
              </w:rPr>
              <w:t>Year Ended January 31,</w:t>
            </w:r>
          </w:p>
        </w:tc>
        <w:tc>
          <w:tcPr>
            <w:tcW w:w="840" w:type="dxa"/>
            <w:vAlign w:val="bottom"/>
            <w:tcBorders>
              <w:bottom w:val="single" w:sz="8" w:color="auto"/>
            </w:tcBorders>
          </w:tcPr>
          <w:p>
            <w:pPr>
              <w:spacing w:after="0"/>
              <w:rPr>
                <w:sz w:val="15"/>
                <w:szCs w:val="15"/>
                <w:color w:val="auto"/>
              </w:rPr>
            </w:pPr>
          </w:p>
        </w:tc>
      </w:tr>
      <w:tr>
        <w:trPr>
          <w:trHeight w:val="151"/>
        </w:trPr>
        <w:tc>
          <w:tcPr>
            <w:tcW w:w="83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right"/>
              <w:ind w:right="510"/>
              <w:spacing w:after="0" w:line="151" w:lineRule="exact"/>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25"/>
              <w:spacing w:after="0" w:line="151" w:lineRule="exact"/>
              <w:rPr>
                <w:sz w:val="20"/>
                <w:szCs w:val="20"/>
                <w:color w:val="auto"/>
              </w:rPr>
            </w:pPr>
            <w:r>
              <w:rPr>
                <w:rFonts w:ascii="Arial" w:cs="Arial" w:eastAsia="Arial" w:hAnsi="Arial"/>
                <w:sz w:val="15"/>
                <w:szCs w:val="15"/>
                <w:b w:val="1"/>
                <w:bCs w:val="1"/>
                <w:color w:val="auto"/>
              </w:rPr>
              <w:t>2018</w:t>
            </w:r>
          </w:p>
        </w:tc>
      </w:tr>
      <w:tr>
        <w:trPr>
          <w:trHeight w:val="222"/>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Expected term (years)</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w:t>
            </w:r>
          </w:p>
        </w:tc>
        <w:tc>
          <w:tcPr>
            <w:tcW w:w="820" w:type="dxa"/>
            <w:vAlign w:val="bottom"/>
            <w:shd w:val="clear" w:color="auto" w:fill="CCEEFF"/>
          </w:tcPr>
          <w:p>
            <w:pPr>
              <w:ind w:left="20"/>
              <w:spacing w:after="0"/>
              <w:rPr>
                <w:sz w:val="20"/>
                <w:szCs w:val="20"/>
                <w:color w:val="auto"/>
              </w:rPr>
            </w:pPr>
            <w:r>
              <w:rPr>
                <w:rFonts w:ascii="Arial" w:cs="Arial" w:eastAsia="Arial" w:hAnsi="Arial"/>
                <w:sz w:val="19"/>
                <w:szCs w:val="19"/>
                <w:color w:val="auto"/>
              </w:rPr>
              <w:t>– 6.1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840" w:type="dxa"/>
            <w:vAlign w:val="bottom"/>
            <w:shd w:val="clear" w:color="auto" w:fill="CCEEFF"/>
          </w:tcPr>
          <w:p>
            <w:pPr>
              <w:ind w:left="20"/>
              <w:spacing w:after="0"/>
              <w:rPr>
                <w:sz w:val="20"/>
                <w:szCs w:val="20"/>
                <w:color w:val="auto"/>
              </w:rPr>
            </w:pPr>
            <w:r>
              <w:rPr>
                <w:rFonts w:ascii="Arial" w:cs="Arial" w:eastAsia="Arial" w:hAnsi="Arial"/>
                <w:sz w:val="19"/>
                <w:szCs w:val="19"/>
                <w:color w:val="auto"/>
              </w:rPr>
              <w:t>– 6.7</w:t>
            </w:r>
          </w:p>
        </w:tc>
      </w:tr>
      <w:tr>
        <w:trPr>
          <w:trHeight w:val="228"/>
        </w:trPr>
        <w:tc>
          <w:tcPr>
            <w:tcW w:w="8380" w:type="dxa"/>
            <w:vAlign w:val="bottom"/>
          </w:tcPr>
          <w:p>
            <w:pPr>
              <w:spacing w:after="0"/>
              <w:rPr>
                <w:sz w:val="20"/>
                <w:szCs w:val="20"/>
                <w:color w:val="auto"/>
              </w:rPr>
            </w:pPr>
            <w:r>
              <w:rPr>
                <w:rFonts w:ascii="Arial" w:cs="Arial" w:eastAsia="Arial" w:hAnsi="Arial"/>
                <w:sz w:val="19"/>
                <w:szCs w:val="19"/>
                <w:color w:val="auto"/>
              </w:rPr>
              <w:t>Expected volatility</w:t>
            </w:r>
          </w:p>
        </w:tc>
        <w:tc>
          <w:tcPr>
            <w:tcW w:w="680" w:type="dxa"/>
            <w:vAlign w:val="bottom"/>
          </w:tcPr>
          <w:p>
            <w:pPr>
              <w:jc w:val="right"/>
              <w:spacing w:after="0"/>
              <w:rPr>
                <w:sz w:val="20"/>
                <w:szCs w:val="20"/>
                <w:color w:val="auto"/>
              </w:rPr>
            </w:pPr>
            <w:r>
              <w:rPr>
                <w:rFonts w:ascii="Arial" w:cs="Arial" w:eastAsia="Arial" w:hAnsi="Arial"/>
                <w:sz w:val="19"/>
                <w:szCs w:val="19"/>
                <w:color w:val="auto"/>
              </w:rPr>
              <w:t>48.2%</w:t>
            </w:r>
          </w:p>
        </w:tc>
        <w:tc>
          <w:tcPr>
            <w:tcW w:w="1060" w:type="dxa"/>
            <w:vAlign w:val="bottom"/>
            <w:gridSpan w:val="2"/>
          </w:tcPr>
          <w:p>
            <w:pPr>
              <w:ind w:left="20"/>
              <w:spacing w:after="0"/>
              <w:rPr>
                <w:sz w:val="20"/>
                <w:szCs w:val="20"/>
                <w:color w:val="auto"/>
              </w:rPr>
            </w:pPr>
            <w:r>
              <w:rPr>
                <w:rFonts w:ascii="Arial" w:cs="Arial" w:eastAsia="Arial" w:hAnsi="Arial"/>
                <w:sz w:val="19"/>
                <w:szCs w:val="19"/>
                <w:color w:val="auto"/>
              </w:rPr>
              <w:t>– 56.3%</w:t>
            </w:r>
          </w:p>
        </w:tc>
        <w:tc>
          <w:tcPr>
            <w:tcW w:w="680" w:type="dxa"/>
            <w:vAlign w:val="bottom"/>
          </w:tcPr>
          <w:p>
            <w:pPr>
              <w:jc w:val="right"/>
              <w:spacing w:after="0"/>
              <w:rPr>
                <w:sz w:val="20"/>
                <w:szCs w:val="20"/>
                <w:color w:val="auto"/>
              </w:rPr>
            </w:pPr>
            <w:r>
              <w:rPr>
                <w:rFonts w:ascii="Arial" w:cs="Arial" w:eastAsia="Arial" w:hAnsi="Arial"/>
                <w:sz w:val="19"/>
                <w:szCs w:val="19"/>
                <w:color w:val="auto"/>
              </w:rPr>
              <w:t>47.7%</w:t>
            </w:r>
          </w:p>
        </w:tc>
        <w:tc>
          <w:tcPr>
            <w:tcW w:w="840" w:type="dxa"/>
            <w:vAlign w:val="bottom"/>
          </w:tcPr>
          <w:p>
            <w:pPr>
              <w:ind w:left="20"/>
              <w:spacing w:after="0"/>
              <w:rPr>
                <w:sz w:val="20"/>
                <w:szCs w:val="20"/>
                <w:color w:val="auto"/>
              </w:rPr>
            </w:pPr>
            <w:r>
              <w:rPr>
                <w:rFonts w:ascii="Arial" w:cs="Arial" w:eastAsia="Arial" w:hAnsi="Arial"/>
                <w:sz w:val="19"/>
                <w:szCs w:val="19"/>
                <w:color w:val="auto"/>
              </w:rPr>
              <w:t>– 52.0%</w:t>
            </w:r>
          </w:p>
        </w:tc>
      </w:tr>
      <w:tr>
        <w:trPr>
          <w:trHeight w:val="228"/>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 1.5%</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w:t>
            </w:r>
          </w:p>
        </w:tc>
        <w:tc>
          <w:tcPr>
            <w:tcW w:w="840" w:type="dxa"/>
            <w:vAlign w:val="bottom"/>
            <w:shd w:val="clear" w:color="auto" w:fill="CCEEFF"/>
          </w:tcPr>
          <w:p>
            <w:pPr>
              <w:ind w:left="20"/>
              <w:spacing w:after="0"/>
              <w:rPr>
                <w:sz w:val="20"/>
                <w:szCs w:val="20"/>
                <w:color w:val="auto"/>
              </w:rPr>
            </w:pPr>
            <w:r>
              <w:rPr>
                <w:rFonts w:ascii="Arial" w:cs="Arial" w:eastAsia="Arial" w:hAnsi="Arial"/>
                <w:sz w:val="19"/>
                <w:szCs w:val="19"/>
                <w:color w:val="auto"/>
              </w:rPr>
              <w:t>– 2.3%</w:t>
            </w:r>
          </w:p>
        </w:tc>
      </w:tr>
      <w:tr>
        <w:trPr>
          <w:trHeight w:val="241"/>
        </w:trPr>
        <w:tc>
          <w:tcPr>
            <w:tcW w:w="8380" w:type="dxa"/>
            <w:vAlign w:val="bottom"/>
          </w:tcPr>
          <w:p>
            <w:pPr>
              <w:spacing w:after="0"/>
              <w:rPr>
                <w:sz w:val="20"/>
                <w:szCs w:val="20"/>
                <w:color w:val="auto"/>
              </w:rPr>
            </w:pPr>
            <w:r>
              <w:rPr>
                <w:rFonts w:ascii="Arial" w:cs="Arial" w:eastAsia="Arial" w:hAnsi="Arial"/>
                <w:sz w:val="19"/>
                <w:szCs w:val="19"/>
                <w:color w:val="auto"/>
              </w:rPr>
              <w:t>Expected dividend yield</w:t>
            </w:r>
          </w:p>
        </w:tc>
        <w:tc>
          <w:tcPr>
            <w:tcW w:w="1500" w:type="dxa"/>
            <w:vAlign w:val="bottom"/>
            <w:gridSpan w:val="2"/>
          </w:tcPr>
          <w:p>
            <w:pPr>
              <w:jc w:val="right"/>
              <w:ind w:right="470"/>
              <w:spacing w:after="0"/>
              <w:rPr>
                <w:sz w:val="20"/>
                <w:szCs w:val="20"/>
                <w:color w:val="auto"/>
              </w:rPr>
            </w:pPr>
            <w:r>
              <w:rPr>
                <w:rFonts w:ascii="Arial" w:cs="Arial" w:eastAsia="Arial" w:hAnsi="Arial"/>
                <w:sz w:val="19"/>
                <w:szCs w:val="19"/>
                <w:color w:val="auto"/>
              </w:rPr>
              <w:t>0.0%</w:t>
            </w:r>
          </w:p>
        </w:tc>
        <w:tc>
          <w:tcPr>
            <w:tcW w:w="240" w:type="dxa"/>
            <w:vAlign w:val="bottom"/>
          </w:tcPr>
          <w:p>
            <w:pPr>
              <w:spacing w:after="0"/>
              <w:rPr>
                <w:sz w:val="20"/>
                <w:szCs w:val="20"/>
                <w:color w:val="auto"/>
              </w:rPr>
            </w:pPr>
          </w:p>
        </w:tc>
        <w:tc>
          <w:tcPr>
            <w:tcW w:w="1520" w:type="dxa"/>
            <w:vAlign w:val="bottom"/>
            <w:gridSpan w:val="2"/>
          </w:tcPr>
          <w:p>
            <w:pPr>
              <w:jc w:val="right"/>
              <w:ind w:right="465"/>
              <w:spacing w:after="0"/>
              <w:rPr>
                <w:sz w:val="20"/>
                <w:szCs w:val="20"/>
                <w:color w:val="auto"/>
              </w:rPr>
            </w:pPr>
            <w:r>
              <w:rPr>
                <w:rFonts w:ascii="Arial" w:cs="Arial" w:eastAsia="Arial" w:hAnsi="Arial"/>
                <w:sz w:val="19"/>
                <w:szCs w:val="19"/>
                <w:color w:val="auto"/>
              </w:rPr>
              <w:t>0.0%</w:t>
            </w:r>
          </w:p>
        </w:tc>
      </w:tr>
    </w:tbl>
    <w:p>
      <w:pPr>
        <w:spacing w:after="0" w:line="201"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71</w:t>
      </w:r>
    </w:p>
    <w:p>
      <w:pPr>
        <w:sectPr>
          <w:pgSz w:w="12240" w:h="15840" w:orient="portrait"/>
          <w:cols w:equalWidth="0" w:num="1">
            <w:col w:w="11820"/>
          </w:cols>
          <w:pgMar w:left="120" w:top="336" w:right="300" w:bottom="1440" w:gutter="0" w:footer="0" w:header="0"/>
        </w:sectPr>
      </w:pPr>
    </w:p>
    <w:bookmarkStart w:id="76" w:name="page77"/>
    <w:bookmarkEnd w:id="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In valuing our common stock, the fair value of our business, or enterprise value, was determined using a market approach.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98"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The resulting equity value is then allocated to each class of stock using an Option Pricing Model (OPM). The OPM treats common stock and convertible preferred stock as call options on an enterprise value, with exercise prices based on the liquidation preference of our convertible preferred stock. The common stock is modeled as a call option with a claim on the enterprise at an exercise price equal to the remaining value immediately after our convertible preferred stock is liquidated. The OPM is appropriate to use when the range of possible future outcomes is difficult to predict and thus creates highly speculative forecasts. Allocation via the Probability Weighted Expected Return Method (PWERM) was not done due to the uncertainty of discrete future outcomes as of the measurement date. The PWERM is useful when discrete future outcomes can be predicted at a relatively high confidence level with a probability distribution. After the equity value is determined and allocated to the various classes of shares, a discount for lack of marketability (DLOM) is applied to arrive at the fair value of common stock.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1"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Our assessments of the fair value of common stock for grant dates between the dates of the valuations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This determination included an evaluation of whether the subsequent valuation indicated that any significant change in valuation had occurred between the previous valuation and the grant date.</w:t>
      </w:r>
    </w:p>
    <w:p>
      <w:pPr>
        <w:spacing w:after="0" w:line="204"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JOBS Act Accounting Election</w:t>
      </w:r>
    </w:p>
    <w:p>
      <w:pPr>
        <w:spacing w:after="0" w:line="130" w:lineRule="exact"/>
        <w:rPr>
          <w:sz w:val="20"/>
          <w:szCs w:val="20"/>
          <w:color w:val="auto"/>
        </w:rPr>
      </w:pPr>
    </w:p>
    <w:p>
      <w:pPr>
        <w:ind w:left="180" w:right="120" w:firstLine="465"/>
        <w:spacing w:after="0" w:line="298" w:lineRule="auto"/>
        <w:rPr>
          <w:sz w:val="20"/>
          <w:szCs w:val="20"/>
          <w:color w:val="auto"/>
        </w:rPr>
      </w:pPr>
      <w:r>
        <w:rPr>
          <w:rFonts w:ascii="Arial" w:cs="Arial" w:eastAsia="Arial" w:hAnsi="Arial"/>
          <w:sz w:val="17"/>
          <w:szCs w:val="17"/>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left="180" w:right="740" w:firstLine="465"/>
        <w:spacing w:after="0" w:line="275" w:lineRule="auto"/>
        <w:rPr>
          <w:sz w:val="20"/>
          <w:szCs w:val="20"/>
          <w:color w:val="auto"/>
        </w:rPr>
      </w:pPr>
      <w:r>
        <w:rPr>
          <w:rFonts w:ascii="Arial" w:cs="Arial" w:eastAsia="Arial" w:hAnsi="Arial"/>
          <w:sz w:val="19"/>
          <w:szCs w:val="19"/>
          <w:color w:val="auto"/>
        </w:rPr>
        <w:t>See “Summary of Business and Significant Accounting Policies” in Note 1 of the notes to our consolidated financial statements included elsewhere in this prospectus for more information.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72</w:t>
      </w:r>
    </w:p>
    <w:p>
      <w:pPr>
        <w:sectPr>
          <w:pgSz w:w="12240" w:h="15840" w:orient="portrait"/>
          <w:cols w:equalWidth="0" w:num="1">
            <w:col w:w="11780"/>
          </w:cols>
          <w:pgMar w:left="120" w:top="336" w:right="340" w:bottom="1440" w:gutter="0" w:footer="0" w:header="0"/>
        </w:sectPr>
      </w:pPr>
    </w:p>
    <w:bookmarkStart w:id="77" w:name="page78"/>
    <w:bookmarkEnd w:id="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BUSINESS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Overview</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mission is to make video communications frictionless.</w:t>
      </w:r>
    </w:p>
    <w:p>
      <w:pPr>
        <w:spacing w:after="0" w:line="238" w:lineRule="exact"/>
        <w:rPr>
          <w:sz w:val="20"/>
          <w:szCs w:val="20"/>
          <w:color w:val="auto"/>
        </w:rPr>
      </w:pPr>
    </w:p>
    <w:p>
      <w:pPr>
        <w:ind w:left="180" w:right="60" w:firstLine="465"/>
        <w:spacing w:after="0" w:line="272"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90" w:lineRule="exact"/>
        <w:rPr>
          <w:sz w:val="20"/>
          <w:szCs w:val="20"/>
          <w:color w:val="auto"/>
        </w:rPr>
      </w:pPr>
    </w:p>
    <w:p>
      <w:pPr>
        <w:ind w:left="180" w:right="100" w:firstLine="465"/>
        <w:spacing w:after="0" w:line="271" w:lineRule="auto"/>
        <w:rPr>
          <w:sz w:val="20"/>
          <w:szCs w:val="20"/>
          <w:color w:val="auto"/>
        </w:rPr>
      </w:pPr>
      <w:r>
        <w:rPr>
          <w:rFonts w:ascii="Arial" w:cs="Arial" w:eastAsia="Arial" w:hAnsi="Arial"/>
          <w:sz w:val="18"/>
          <w:szCs w:val="18"/>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89" w:lineRule="exact"/>
        <w:rPr>
          <w:sz w:val="20"/>
          <w:szCs w:val="20"/>
          <w:color w:val="auto"/>
        </w:rPr>
      </w:pPr>
    </w:p>
    <w:p>
      <w:pPr>
        <w:ind w:left="180" w:right="160" w:firstLine="465"/>
        <w:spacing w:after="0" w:line="308" w:lineRule="auto"/>
        <w:rPr>
          <w:sz w:val="20"/>
          <w:szCs w:val="20"/>
          <w:color w:val="auto"/>
        </w:rPr>
      </w:pPr>
      <w:r>
        <w:rPr>
          <w:rFonts w:ascii="Arial" w:cs="Arial" w:eastAsia="Arial" w:hAnsi="Arial"/>
          <w:sz w:val="17"/>
          <w:szCs w:val="17"/>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60"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85" w:lineRule="exact"/>
        <w:rPr>
          <w:sz w:val="20"/>
          <w:szCs w:val="20"/>
          <w:color w:val="auto"/>
        </w:rPr>
      </w:pPr>
    </w:p>
    <w:p>
      <w:pPr>
        <w:ind w:left="180" w:right="20" w:firstLine="465"/>
        <w:spacing w:after="0" w:line="294"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Our robust integrations and partner ecosystem enable organizations to connect Zoom seamlessly with third-party applications that their employees already use, reducing friction and increasing employee happiness and productivity.</w:t>
      </w:r>
    </w:p>
    <w:p>
      <w:pPr>
        <w:spacing w:after="0" w:line="172"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The happiness we bring is recognized by customers. In 2018, our average customer Net Promoter Score (NPS) has been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88"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We have a unique model that combines viral enthusiasm for our platform with a multipronged go-to-market strategy for optimal efficiency. Viral enthusiasm begins with our users as they experience our platform – it just</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73</w:t>
      </w:r>
    </w:p>
    <w:p>
      <w:pPr>
        <w:sectPr>
          <w:pgSz w:w="12240" w:h="15840" w:orient="portrait"/>
          <w:cols w:equalWidth="0" w:num="1">
            <w:col w:w="11800"/>
          </w:cols>
          <w:pgMar w:left="120" w:top="336" w:right="320" w:bottom="1440" w:gutter="0" w:footer="0" w:header="0"/>
        </w:sectPr>
      </w:pPr>
    </w:p>
    <w:bookmarkStart w:id="78" w:name="page79"/>
    <w:bookmarkEnd w:id="7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5" w:lineRule="auto"/>
        <w:rPr>
          <w:sz w:val="20"/>
          <w:szCs w:val="20"/>
          <w:color w:val="auto"/>
        </w:rPr>
      </w:pPr>
      <w:r>
        <w:rPr>
          <w:rFonts w:ascii="Arial" w:cs="Arial" w:eastAsia="Arial" w:hAnsi="Arial"/>
          <w:sz w:val="17"/>
          <w:szCs w:val="17"/>
          <w:color w:val="auto"/>
        </w:rPr>
        <w:t>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As of</w:t>
      </w:r>
    </w:p>
    <w:p>
      <w:pPr>
        <w:spacing w:after="0" w:line="1" w:lineRule="exact"/>
        <w:rPr>
          <w:sz w:val="20"/>
          <w:szCs w:val="20"/>
          <w:color w:val="auto"/>
        </w:rPr>
      </w:pPr>
    </w:p>
    <w:p>
      <w:pPr>
        <w:ind w:left="180" w:right="200"/>
        <w:spacing w:after="0" w:line="269" w:lineRule="auto"/>
        <w:rPr>
          <w:sz w:val="20"/>
          <w:szCs w:val="20"/>
          <w:color w:val="auto"/>
        </w:rPr>
      </w:pPr>
      <w:r>
        <w:rPr>
          <w:rFonts w:ascii="Arial" w:cs="Arial" w:eastAsia="Arial" w:hAnsi="Arial"/>
          <w:sz w:val="18"/>
          <w:szCs w:val="18"/>
          <w:color w:val="auto"/>
        </w:rPr>
        <w:t>January 31, 2019, 66% of our 521 customers with more than $100,000 of annual recurring revenue (ARR) started with at least one free host prior to subscribing, with these 521 customers representing 33% of total ARR for the fiscal year ended January 31, 2019. We define ARR as the annualized revenue run-rate of a contracted customer agreement at a point in time. We calculate ARR by taking the monthly recurring revenue (MRR) and multiplying it by 12. MRR is defined as recurring revenue for the last month of the period from all customers under contract with us for a recurring subscription, including monthly subscribers who have not provided any indication that they intend to cancel. MRR should be viewed independently of revenue as MRR is an operating metric and not intended to be a replacement or forecast of revenue.</w:t>
      </w:r>
    </w:p>
    <w:p>
      <w:pPr>
        <w:spacing w:after="0" w:line="192" w:lineRule="exact"/>
        <w:rPr>
          <w:sz w:val="20"/>
          <w:szCs w:val="20"/>
          <w:color w:val="auto"/>
        </w:rPr>
      </w:pPr>
    </w:p>
    <w:p>
      <w:pPr>
        <w:ind w:left="180" w:right="20" w:firstLine="465"/>
        <w:spacing w:after="0" w:line="284" w:lineRule="auto"/>
        <w:rPr>
          <w:sz w:val="20"/>
          <w:szCs w:val="20"/>
          <w:color w:val="auto"/>
        </w:rPr>
      </w:pPr>
      <w:r>
        <w:rPr>
          <w:rFonts w:ascii="Arial" w:cs="Arial" w:eastAsia="Arial" w:hAnsi="Arial"/>
          <w:sz w:val="17"/>
          <w:szCs w:val="17"/>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 and $151.5 million for the fiscal years ended January 31, 2017 and 2018, respectively, representing annual revenue growth of 149%. Our net loss was</w:t>
      </w:r>
    </w:p>
    <w:p>
      <w:pPr>
        <w:spacing w:after="0" w:line="1" w:lineRule="exact"/>
        <w:rPr>
          <w:sz w:val="20"/>
          <w:szCs w:val="20"/>
          <w:color w:val="auto"/>
        </w:rPr>
      </w:pPr>
    </w:p>
    <w:p>
      <w:pPr>
        <w:ind w:left="180" w:right="440"/>
        <w:spacing w:after="0" w:line="261" w:lineRule="auto"/>
        <w:rPr>
          <w:sz w:val="20"/>
          <w:szCs w:val="20"/>
          <w:color w:val="auto"/>
        </w:rPr>
      </w:pPr>
      <w:r>
        <w:rPr>
          <w:rFonts w:ascii="Arial" w:cs="Arial" w:eastAsia="Arial" w:hAnsi="Arial"/>
          <w:sz w:val="19"/>
          <w:szCs w:val="19"/>
          <w:color w:val="auto"/>
        </w:rPr>
        <w:t>$0.0 million and $3.8 million for the fiscal years ended January 31, 2017 and 2018, respectively. Cash provided by operations was $9.4 million and $19.4 million for the fiscal years ended January 31, 2017 and 2018, respectively.</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Industry Trends in Our Favor</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Communication is at the Center of Organizational Performance</w:t>
      </w:r>
    </w:p>
    <w:p>
      <w:pPr>
        <w:spacing w:after="0" w:line="124"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Communication and Collaboration Must Evolve as the Nature of Work is Changing</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The way people work is changing. Organizations must evolve their approach to communication and collaboration in response to the following trends:</w:t>
      </w:r>
    </w:p>
    <w:p>
      <w:pPr>
        <w:spacing w:after="0" w:line="84" w:lineRule="exact"/>
        <w:rPr>
          <w:sz w:val="20"/>
          <w:szCs w:val="20"/>
          <w:color w:val="auto"/>
        </w:rPr>
      </w:pPr>
    </w:p>
    <w:p>
      <w:pPr>
        <w:jc w:val="both"/>
        <w:ind w:left="1100" w:right="360" w:hanging="464"/>
        <w:spacing w:after="0" w:line="27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85" w:lineRule="exact"/>
        <w:rPr>
          <w:rFonts w:ascii="Arial" w:cs="Arial" w:eastAsia="Arial" w:hAnsi="Arial"/>
          <w:sz w:val="18"/>
          <w:szCs w:val="18"/>
          <w:color w:val="auto"/>
        </w:rPr>
      </w:pPr>
    </w:p>
    <w:p>
      <w:pPr>
        <w:ind w:left="1100" w:right="20" w:hanging="464"/>
        <w:spacing w:after="0" w:line="291" w:lineRule="auto"/>
        <w:tabs>
          <w:tab w:leader="none" w:pos="110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Organizations seek to drive deeper engagement with employees, customers and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People derive more personal satisfaction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5" w:lineRule="exact"/>
        <w:rPr>
          <w:rFonts w:ascii="Arial" w:cs="Arial" w:eastAsia="Arial" w:hAnsi="Arial"/>
          <w:sz w:val="17"/>
          <w:szCs w:val="17"/>
          <w:color w:val="auto"/>
        </w:rPr>
      </w:pPr>
    </w:p>
    <w:p>
      <w:pPr>
        <w:ind w:left="1100" w:hanging="464"/>
        <w:spacing w:after="0" w:line="275" w:lineRule="auto"/>
        <w:tabs>
          <w:tab w:leader="none" w:pos="1100" w:val="left"/>
        </w:tabs>
        <w:numPr>
          <w:ilvl w:val="0"/>
          <w:numId w:val="4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Workforce demographics are changing. </w:t>
      </w:r>
      <w:r>
        <w:rPr>
          <w:rFonts w:ascii="Arial" w:cs="Arial" w:eastAsia="Arial" w:hAnsi="Arial"/>
          <w:sz w:val="19"/>
          <w:szCs w:val="19"/>
          <w:color w:val="auto"/>
        </w:rPr>
        <w:t>Shifting demographics alongside increasingly distributed workforces increase the need for effective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ways to communicate beyond in-person meetings. For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74</w:t>
      </w:r>
    </w:p>
    <w:p>
      <w:pPr>
        <w:sectPr>
          <w:pgSz w:w="12240" w:h="15840" w:orient="portrait"/>
          <w:cols w:equalWidth="0" w:num="1">
            <w:col w:w="11820"/>
          </w:cols>
          <w:pgMar w:left="120" w:top="336" w:right="300" w:bottom="1440" w:gutter="0" w:footer="0" w:header="0"/>
        </w:sectPr>
      </w:pPr>
    </w:p>
    <w:bookmarkStart w:id="79" w:name="page80"/>
    <w:bookmarkEnd w:id="7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20"/>
        <w:spacing w:after="0" w:line="275" w:lineRule="auto"/>
        <w:rPr>
          <w:sz w:val="20"/>
          <w:szCs w:val="20"/>
          <w:color w:val="auto"/>
        </w:rPr>
      </w:pPr>
      <w:r>
        <w:rPr>
          <w:rFonts w:ascii="Arial" w:cs="Arial" w:eastAsia="Arial" w:hAnsi="Arial"/>
          <w:sz w:val="19"/>
          <w:szCs w:val="19"/>
          <w:color w:val="auto"/>
        </w:rPr>
        <w:t>example, millennials currently make up 35% of the U.S. workforce. This population values agility and flexibility in their work environment, and millennials expect technology to meet their needs and work seamlessly.</w:t>
      </w:r>
    </w:p>
    <w:p>
      <w:pPr>
        <w:spacing w:after="0" w:line="84" w:lineRule="exact"/>
        <w:rPr>
          <w:sz w:val="20"/>
          <w:szCs w:val="20"/>
          <w:color w:val="auto"/>
        </w:rPr>
      </w:pPr>
    </w:p>
    <w:p>
      <w:pPr>
        <w:ind w:left="1100" w:right="20" w:hanging="464"/>
        <w:spacing w:after="0" w:line="277"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Organizations Need a Comprehensive Platform that Enables Modern Communication</w:t>
      </w:r>
    </w:p>
    <w:p>
      <w:pPr>
        <w:spacing w:after="0" w:line="124" w:lineRule="exact"/>
        <w:rPr>
          <w:sz w:val="20"/>
          <w:szCs w:val="20"/>
          <w:color w:val="auto"/>
        </w:rPr>
      </w:pPr>
    </w:p>
    <w:p>
      <w:pPr>
        <w:ind w:left="180" w:right="100" w:firstLine="465"/>
        <w:spacing w:after="0" w:line="27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85" w:lineRule="exact"/>
        <w:rPr>
          <w:sz w:val="20"/>
          <w:szCs w:val="20"/>
          <w:color w:val="auto"/>
        </w:rPr>
      </w:pPr>
    </w:p>
    <w:p>
      <w:pPr>
        <w:ind w:left="180" w:right="100" w:firstLine="465"/>
        <w:spacing w:after="0" w:line="277" w:lineRule="auto"/>
        <w:rPr>
          <w:sz w:val="20"/>
          <w:szCs w:val="20"/>
          <w:color w:val="auto"/>
        </w:rPr>
      </w:pPr>
      <w:r>
        <w:rPr>
          <w:rFonts w:ascii="Arial" w:cs="Arial" w:eastAsia="Arial" w:hAnsi="Arial"/>
          <w:sz w:val="18"/>
          <w:szCs w:val="18"/>
          <w:color w:val="auto"/>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To effectively enable modern communication, a comprehensive platform must have the following qualities:</w:t>
      </w:r>
    </w:p>
    <w:p>
      <w:pPr>
        <w:spacing w:after="0" w:line="138" w:lineRule="exact"/>
        <w:rPr>
          <w:sz w:val="20"/>
          <w:szCs w:val="20"/>
          <w:color w:val="auto"/>
        </w:rPr>
      </w:pPr>
    </w:p>
    <w:p>
      <w:pPr>
        <w:jc w:val="both"/>
        <w:ind w:left="1100" w:right="220" w:hanging="464"/>
        <w:spacing w:after="0" w:line="308" w:lineRule="auto"/>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Reliable, high-quality communications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have a significant need for a platform that reliably delivers high-quality video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60" w:lineRule="exact"/>
        <w:rPr>
          <w:rFonts w:ascii="Arial" w:cs="Arial" w:eastAsia="Arial" w:hAnsi="Arial"/>
          <w:sz w:val="17"/>
          <w:szCs w:val="17"/>
          <w:color w:val="auto"/>
        </w:rPr>
      </w:pPr>
    </w:p>
    <w:p>
      <w:pPr>
        <w:ind w:left="1100" w:hanging="464"/>
        <w:spacing w:after="0" w:line="259"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b w:val="1"/>
          <w:bCs w:val="1"/>
          <w:i w:val="1"/>
          <w:iCs w:val="1"/>
          <w:color w:val="auto"/>
        </w:rPr>
        <w:t>Easy to use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drive broad adoption, a platform’s user interface must be intuitive and easily navigable. In addition, users want solutions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7" w:lineRule="exact"/>
        <w:rPr>
          <w:rFonts w:ascii="Arial" w:cs="Arial" w:eastAsia="Arial" w:hAnsi="Arial"/>
          <w:sz w:val="19"/>
          <w:szCs w:val="19"/>
          <w:color w:val="auto"/>
        </w:rPr>
      </w:pPr>
    </w:p>
    <w:p>
      <w:pPr>
        <w:ind w:left="1100" w:hanging="464"/>
        <w:spacing w:after="0" w:line="256"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b w:val="1"/>
          <w:bCs w:val="1"/>
          <w:i w:val="1"/>
          <w:iCs w:val="1"/>
          <w:color w:val="auto"/>
        </w:rPr>
        <w:t>Easy to deploy and manage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want a single platform that is easy to deploy, leverages existing network infrastructure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a requirement for extensive user support make these tools difficult to manage.</w:t>
      </w:r>
    </w:p>
    <w:p>
      <w:pPr>
        <w:spacing w:after="0" w:line="103" w:lineRule="exact"/>
        <w:rPr>
          <w:rFonts w:ascii="Arial" w:cs="Arial" w:eastAsia="Arial" w:hAnsi="Arial"/>
          <w:sz w:val="19"/>
          <w:szCs w:val="19"/>
          <w:color w:val="auto"/>
        </w:rPr>
      </w:pPr>
    </w:p>
    <w:p>
      <w:pPr>
        <w:ind w:left="1100" w:right="60" w:hanging="464"/>
        <w:spacing w:after="0" w:line="277"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systems often require significant proprietary infrastructure and conference room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85" w:lineRule="exact"/>
        <w:rPr>
          <w:rFonts w:ascii="Arial" w:cs="Arial" w:eastAsia="Arial" w:hAnsi="Arial"/>
          <w:sz w:val="18"/>
          <w:szCs w:val="18"/>
          <w:color w:val="auto"/>
        </w:rPr>
      </w:pPr>
    </w:p>
    <w:p>
      <w:pPr>
        <w:ind w:left="1100" w:right="200" w:hanging="464"/>
        <w:spacing w:after="0" w:line="263" w:lineRule="auto"/>
        <w:tabs>
          <w:tab w:leader="none" w:pos="1100" w:val="left"/>
        </w:tabs>
        <w:numPr>
          <w:ilvl w:val="0"/>
          <w:numId w:val="45"/>
        </w:numPr>
        <w:rPr>
          <w:rFonts w:ascii="Arial" w:cs="Arial" w:eastAsia="Arial" w:hAnsi="Arial"/>
          <w:sz w:val="19"/>
          <w:szCs w:val="19"/>
          <w:color w:val="auto"/>
        </w:rPr>
      </w:pPr>
      <w:r>
        <w:rPr>
          <w:rFonts w:ascii="Arial" w:cs="Arial" w:eastAsia="Arial" w:hAnsi="Arial"/>
          <w:sz w:val="19"/>
          <w:szCs w:val="19"/>
          <w:b w:val="1"/>
          <w:bCs w:val="1"/>
          <w:i w:val="1"/>
          <w:iCs w:val="1"/>
          <w:color w:val="auto"/>
        </w:rPr>
        <w:t>Scalability</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need a communications platform that can be optimized for their footprint and scales as they grow.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approaches often require cumbersome infrastructure and stitching together of disparate systems to support a growing user base. Moreover, many legacy systems simply cannot meet the demands of large enterprises.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75</w:t>
      </w:r>
    </w:p>
    <w:p>
      <w:pPr>
        <w:sectPr>
          <w:pgSz w:w="12240" w:h="15840" w:orient="portrait"/>
          <w:cols w:equalWidth="0" w:num="1">
            <w:col w:w="11800"/>
          </w:cols>
          <w:pgMar w:left="120" w:top="336" w:right="320" w:bottom="1440" w:gutter="0" w:footer="0" w:header="0"/>
        </w:sectPr>
      </w:pPr>
    </w:p>
    <w:bookmarkStart w:id="80" w:name="page81"/>
    <w:bookmarkEnd w:id="8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80" w:hanging="464"/>
        <w:spacing w:after="0" w:line="263" w:lineRule="auto"/>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Integrated. </w:t>
      </w:r>
      <w:r>
        <w:rPr>
          <w:rFonts w:ascii="Arial" w:cs="Arial" w:eastAsia="Arial" w:hAnsi="Arial"/>
          <w:sz w:val="19"/>
          <w:szCs w:val="19"/>
          <w:color w:val="auto"/>
        </w:rPr>
        <w:t>Organizations need a platform that integrates with their physical workspaces and existing business applications. Most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approaches were not designed to integrate easily with modern software applications or third-party devices, which can result in a frustrating experience.</w:t>
      </w:r>
    </w:p>
    <w:p>
      <w:pPr>
        <w:spacing w:after="0" w:line="94" w:lineRule="exact"/>
        <w:rPr>
          <w:rFonts w:ascii="Arial" w:cs="Arial" w:eastAsia="Arial" w:hAnsi="Arial"/>
          <w:sz w:val="19"/>
          <w:szCs w:val="19"/>
          <w:color w:val="auto"/>
        </w:rPr>
      </w:pPr>
    </w:p>
    <w:p>
      <w:pPr>
        <w:ind w:left="1100" w:right="220" w:hanging="464"/>
        <w:spacing w:after="0" w:line="275" w:lineRule="auto"/>
        <w:tabs>
          <w:tab w:leader="none" w:pos="1100" w:val="left"/>
        </w:tabs>
        <w:numPr>
          <w:ilvl w:val="0"/>
          <w:numId w:val="46"/>
        </w:numPr>
        <w:rPr>
          <w:rFonts w:ascii="Arial" w:cs="Arial" w:eastAsia="Arial" w:hAnsi="Arial"/>
          <w:sz w:val="19"/>
          <w:szCs w:val="19"/>
          <w:color w:val="auto"/>
        </w:rPr>
      </w:pPr>
      <w:r>
        <w:rPr>
          <w:rFonts w:ascii="Arial" w:cs="Arial" w:eastAsia="Arial" w:hAnsi="Arial"/>
          <w:sz w:val="19"/>
          <w:szCs w:val="19"/>
          <w:b w:val="1"/>
          <w:bCs w:val="1"/>
          <w:i w:val="1"/>
          <w:iCs w:val="1"/>
          <w:color w:val="auto"/>
        </w:rPr>
        <w:t>Flexible terms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Organizations also want to purchase technology under flexible terms that are right-sized for their business needs. Legacy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offerings generally have rigid purchase contracts and support terms.</w:t>
      </w:r>
    </w:p>
    <w:p>
      <w:pPr>
        <w:spacing w:after="0" w:line="184" w:lineRule="exact"/>
        <w:rPr>
          <w:sz w:val="20"/>
          <w:szCs w:val="20"/>
          <w:color w:val="auto"/>
        </w:rPr>
      </w:pPr>
    </w:p>
    <w:p>
      <w:pPr>
        <w:ind w:left="180" w:right="440" w:firstLine="465"/>
        <w:spacing w:after="0" w:line="275" w:lineRule="auto"/>
        <w:rPr>
          <w:sz w:val="20"/>
          <w:szCs w:val="20"/>
          <w:color w:val="auto"/>
        </w:rPr>
      </w:pPr>
      <w:r>
        <w:rPr>
          <w:rFonts w:ascii="Arial" w:cs="Arial" w:eastAsia="Arial" w:hAnsi="Arial"/>
          <w:sz w:val="19"/>
          <w:szCs w:val="19"/>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Platform</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204" w:lineRule="exact"/>
        <w:rPr>
          <w:sz w:val="20"/>
          <w:szCs w:val="20"/>
          <w:color w:val="auto"/>
        </w:rPr>
      </w:pPr>
    </w:p>
    <w:p>
      <w:pPr>
        <w:ind w:left="180" w:right="20" w:firstLine="465"/>
        <w:spacing w:after="0" w:line="304" w:lineRule="auto"/>
        <w:rPr>
          <w:sz w:val="20"/>
          <w:szCs w:val="20"/>
          <w:color w:val="auto"/>
        </w:rPr>
      </w:pPr>
      <w:r>
        <w:rPr>
          <w:rFonts w:ascii="Arial" w:cs="Arial" w:eastAsia="Arial" w:hAnsi="Arial"/>
          <w:sz w:val="18"/>
          <w:szCs w:val="18"/>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128905</wp:posOffset>
            </wp:positionV>
            <wp:extent cx="5424170" cy="4192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24170" cy="4192905"/>
                    </a:xfrm>
                    <a:prstGeom prst="rect">
                      <a:avLst/>
                    </a:prstGeom>
                    <a:noFill/>
                  </pic:spPr>
                </pic:pic>
              </a:graphicData>
            </a:graphic>
          </wp:anchor>
        </w:drawing>
      </w:r>
    </w:p>
    <w:p>
      <w:pPr>
        <w:sectPr>
          <w:pgSz w:w="12240" w:h="15840" w:orient="portrait"/>
          <w:cols w:equalWidth="0" w:num="1">
            <w:col w:w="11720"/>
          </w:cols>
          <w:pgMar w:left="120" w:top="336" w:right="4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76</w:t>
      </w:r>
    </w:p>
    <w:p>
      <w:pPr>
        <w:sectPr>
          <w:pgSz w:w="12240" w:h="15840" w:orient="portrait"/>
          <w:cols w:equalWidth="0" w:num="1">
            <w:col w:w="11720"/>
          </w:cols>
          <w:pgMar w:left="120" w:top="336" w:right="400" w:bottom="1440" w:gutter="0" w:footer="0" w:header="0"/>
          <w:type w:val="continuous"/>
        </w:sectPr>
      </w:pPr>
    </w:p>
    <w:bookmarkStart w:id="81" w:name="page82"/>
    <w:bookmarkEnd w:id="8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Key Benefits of the Zoom Platform</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Key benefits of our platform include:</w:t>
      </w:r>
    </w:p>
    <w:p>
      <w:pPr>
        <w:spacing w:after="0" w:line="138" w:lineRule="exact"/>
        <w:rPr>
          <w:sz w:val="20"/>
          <w:szCs w:val="20"/>
          <w:color w:val="auto"/>
        </w:rPr>
      </w:pPr>
    </w:p>
    <w:p>
      <w:pPr>
        <w:ind w:left="1100" w:right="240" w:hanging="464"/>
        <w:spacing w:after="0" w:line="29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 reliable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70" w:lineRule="exact"/>
        <w:rPr>
          <w:rFonts w:ascii="Arial" w:cs="Arial" w:eastAsia="Arial" w:hAnsi="Arial"/>
          <w:sz w:val="17"/>
          <w:szCs w:val="17"/>
          <w:color w:val="auto"/>
        </w:rPr>
      </w:pPr>
    </w:p>
    <w:p>
      <w:pPr>
        <w:ind w:left="1100" w:right="60" w:hanging="464"/>
        <w:spacing w:after="0" w:line="259" w:lineRule="auto"/>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use. </w:t>
      </w:r>
      <w:r>
        <w:rPr>
          <w:rFonts w:ascii="Arial" w:cs="Arial" w:eastAsia="Arial" w:hAnsi="Arial"/>
          <w:sz w:val="19"/>
          <w:szCs w:val="19"/>
          <w:color w:val="auto"/>
        </w:rPr>
        <w:t>We provide a consolidated, intuitive interface for video, voice, chat and content sharing that can be easily navigated even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7" w:lineRule="exact"/>
        <w:rPr>
          <w:rFonts w:ascii="Arial" w:cs="Arial" w:eastAsia="Arial" w:hAnsi="Arial"/>
          <w:sz w:val="19"/>
          <w:szCs w:val="19"/>
          <w:color w:val="auto"/>
        </w:rPr>
      </w:pPr>
    </w:p>
    <w:p>
      <w:pPr>
        <w:ind w:left="1100" w:hanging="464"/>
        <w:spacing w:after="0" w:line="259" w:lineRule="auto"/>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Easy to deploy and manage. </w:t>
      </w:r>
      <w:r>
        <w:rPr>
          <w:rFonts w:ascii="Arial" w:cs="Arial" w:eastAsia="Arial" w:hAnsi="Arial"/>
          <w:sz w:val="19"/>
          <w:szCs w:val="19"/>
          <w:color w:val="auto"/>
        </w:rPr>
        <w:t>Our cloud-native platform is easy to deploy and manage by both IT administrators and business users, even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integrating with existing infrastructure. Our platform removes the need for the integration of disparate communications tools, product-specific knowledge and high-touch user support and troubleshooting. We provide a simple and robust management layer with reporting capability.</w:t>
      </w:r>
    </w:p>
    <w:p>
      <w:pPr>
        <w:spacing w:after="0" w:line="91" w:lineRule="exact"/>
        <w:rPr>
          <w:rFonts w:ascii="Arial" w:cs="Arial" w:eastAsia="Arial" w:hAnsi="Arial"/>
          <w:sz w:val="19"/>
          <w:szCs w:val="19"/>
          <w:color w:val="auto"/>
        </w:rPr>
      </w:pPr>
    </w:p>
    <w:p>
      <w:pPr>
        <w:ind w:left="1100" w:right="380" w:hanging="464"/>
        <w:spacing w:after="0" w:line="276"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drives higher employee engagement and improved collaboration, resulting 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85" w:lineRule="exact"/>
        <w:rPr>
          <w:rFonts w:ascii="Arial" w:cs="Arial" w:eastAsia="Arial" w:hAnsi="Arial"/>
          <w:sz w:val="18"/>
          <w:szCs w:val="18"/>
          <w:color w:val="auto"/>
        </w:rPr>
      </w:pPr>
    </w:p>
    <w:p>
      <w:pPr>
        <w:ind w:left="1100" w:hanging="464"/>
        <w:spacing w:after="0" w:line="308" w:lineRule="auto"/>
        <w:tabs>
          <w:tab w:leader="none" w:pos="110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Our cloud-native platform was purpose-built to scale with organizations as they grow in size and complexity. Our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60" w:lineRule="exact"/>
        <w:rPr>
          <w:rFonts w:ascii="Arial" w:cs="Arial" w:eastAsia="Arial" w:hAnsi="Arial"/>
          <w:sz w:val="17"/>
          <w:szCs w:val="17"/>
          <w:color w:val="auto"/>
        </w:rPr>
      </w:pPr>
    </w:p>
    <w:p>
      <w:pPr>
        <w:ind w:left="1100" w:right="160" w:hanging="464"/>
        <w:spacing w:after="0" w:line="274" w:lineRule="auto"/>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robust integrations and partner ecosystem enable organizations to connect our platform seamlessly with both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87" w:lineRule="exact"/>
        <w:rPr>
          <w:rFonts w:ascii="Arial" w:cs="Arial" w:eastAsia="Arial" w:hAnsi="Arial"/>
          <w:sz w:val="18"/>
          <w:szCs w:val="18"/>
          <w:color w:val="auto"/>
        </w:rPr>
      </w:pPr>
    </w:p>
    <w:p>
      <w:pPr>
        <w:ind w:left="1100" w:right="120" w:hanging="464"/>
        <w:spacing w:after="0" w:line="255" w:lineRule="auto"/>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Flexible terms. </w:t>
      </w:r>
      <w:r>
        <w:rPr>
          <w:rFonts w:ascii="Arial" w:cs="Arial" w:eastAsia="Arial" w:hAnsi="Arial"/>
          <w:sz w:val="19"/>
          <w:szCs w:val="19"/>
          <w:color w:val="auto"/>
        </w:rPr>
        <w:t>We allow organizations to purchase subscriptions to our communications platform that are right-sized for their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Competitive Strengths</w:t>
      </w:r>
    </w:p>
    <w:p>
      <w:pPr>
        <w:spacing w:after="0" w:line="130"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We believe that we have a number of competitive advantages that will enable us to maintain and extend our leadership in communications. Our competitive strengths include:</w:t>
      </w:r>
    </w:p>
    <w:p>
      <w:pPr>
        <w:spacing w:after="0" w:line="84" w:lineRule="exact"/>
        <w:rPr>
          <w:sz w:val="20"/>
          <w:szCs w:val="20"/>
          <w:color w:val="auto"/>
        </w:rPr>
      </w:pPr>
    </w:p>
    <w:p>
      <w:pPr>
        <w:ind w:left="1100" w:right="300" w:hanging="464"/>
        <w:spacing w:after="0" w:line="275" w:lineRule="auto"/>
        <w:tabs>
          <w:tab w:leader="none" w:pos="1100" w:val="left"/>
        </w:tabs>
        <w:numPr>
          <w:ilvl w:val="0"/>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Video-first cloud architecture. </w:t>
      </w:r>
      <w:r>
        <w:rPr>
          <w:rFonts w:ascii="Arial" w:cs="Arial" w:eastAsia="Arial" w:hAnsi="Arial"/>
          <w:sz w:val="19"/>
          <w:szCs w:val="19"/>
          <w:color w:val="auto"/>
        </w:rPr>
        <w:t>We built our platform from the ground up to be cloud-native and video-first, unlike other approaches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attempted to add video to an aging, pre-existing conference call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77</w:t>
      </w:r>
    </w:p>
    <w:p>
      <w:pPr>
        <w:sectPr>
          <w:pgSz w:w="12240" w:h="15840" w:orient="portrait"/>
          <w:cols w:equalWidth="0" w:num="1">
            <w:col w:w="11780"/>
          </w:cols>
          <w:pgMar w:left="120" w:top="336" w:right="340" w:bottom="1440" w:gutter="0" w:footer="0" w:header="0"/>
        </w:sectPr>
      </w:pPr>
    </w:p>
    <w:bookmarkStart w:id="82" w:name="page83"/>
    <w:bookmarkEnd w:id="8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spacing w:after="0" w:line="263" w:lineRule="auto"/>
        <w:rPr>
          <w:sz w:val="20"/>
          <w:szCs w:val="20"/>
          <w:color w:val="auto"/>
        </w:rPr>
      </w:pPr>
      <w:r>
        <w:rPr>
          <w:rFonts w:ascii="Arial" w:cs="Arial" w:eastAsia="Arial" w:hAnsi="Arial"/>
          <w:sz w:val="19"/>
          <w:szCs w:val="19"/>
          <w:color w:val="auto"/>
        </w:rPr>
        <w:t>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95" w:lineRule="exact"/>
        <w:rPr>
          <w:sz w:val="20"/>
          <w:szCs w:val="20"/>
          <w:color w:val="auto"/>
        </w:rPr>
      </w:pPr>
    </w:p>
    <w:p>
      <w:pPr>
        <w:ind w:left="1100" w:hanging="464"/>
        <w:spacing w:after="0" w:line="274"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 For the third consecutive year, Gartner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87" w:lineRule="exact"/>
        <w:rPr>
          <w:rFonts w:ascii="Arial" w:cs="Arial" w:eastAsia="Arial" w:hAnsi="Arial"/>
          <w:sz w:val="18"/>
          <w:szCs w:val="18"/>
          <w:color w:val="auto"/>
        </w:rPr>
      </w:pPr>
    </w:p>
    <w:p>
      <w:pPr>
        <w:jc w:val="both"/>
        <w:ind w:left="1100" w:right="20" w:hanging="464"/>
        <w:spacing w:after="0" w:line="285" w:lineRule="auto"/>
        <w:tabs>
          <w:tab w:leader="none" w:pos="110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 typically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 using our platform when a colleague or associate invites them to a Zoom meeting. We allow anyone to join or host a meeting for free. When attendees experience our platform and realize the benefits, they often become paying customers to unlock additional functionality.</w:t>
      </w:r>
    </w:p>
    <w:p>
      <w:pPr>
        <w:spacing w:after="0" w:line="1" w:lineRule="exact"/>
        <w:rPr>
          <w:rFonts w:ascii="Arial" w:cs="Arial" w:eastAsia="Arial" w:hAnsi="Arial"/>
          <w:sz w:val="17"/>
          <w:szCs w:val="17"/>
          <w:color w:val="auto"/>
        </w:rPr>
      </w:pPr>
    </w:p>
    <w:p>
      <w:pPr>
        <w:ind w:left="1100" w:right="300"/>
        <w:spacing w:after="0" w:line="289" w:lineRule="auto"/>
        <w:rPr>
          <w:rFonts w:ascii="Arial" w:cs="Arial" w:eastAsia="Arial" w:hAnsi="Arial"/>
          <w:sz w:val="17"/>
          <w:szCs w:val="17"/>
          <w:color w:val="auto"/>
        </w:rPr>
      </w:pPr>
      <w:r>
        <w:rPr>
          <w:rFonts w:ascii="Arial" w:cs="Arial" w:eastAsia="Arial" w:hAnsi="Arial"/>
          <w:sz w:val="18"/>
          <w:szCs w:val="18"/>
          <w:color w:val="auto"/>
        </w:rPr>
        <w:t>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73" w:lineRule="exact"/>
        <w:rPr>
          <w:rFonts w:ascii="Arial" w:cs="Arial" w:eastAsia="Arial" w:hAnsi="Arial"/>
          <w:sz w:val="17"/>
          <w:szCs w:val="17"/>
          <w:color w:val="auto"/>
        </w:rPr>
      </w:pPr>
    </w:p>
    <w:p>
      <w:pPr>
        <w:ind w:left="1100" w:hanging="464"/>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use NPS data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numerical expression of customer happiness. We believe that our customer NPS, which on average has been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85" w:lineRule="exact"/>
        <w:rPr>
          <w:rFonts w:ascii="Arial" w:cs="Arial" w:eastAsia="Arial" w:hAnsi="Arial"/>
          <w:sz w:val="18"/>
          <w:szCs w:val="18"/>
          <w:color w:val="auto"/>
        </w:rPr>
      </w:pPr>
    </w:p>
    <w:p>
      <w:pPr>
        <w:ind w:left="1100" w:right="80" w:hanging="464"/>
        <w:spacing w:after="0" w:line="254" w:lineRule="auto"/>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Multipronged go-to-market strategy. </w:t>
      </w:r>
      <w:r>
        <w:rPr>
          <w:rFonts w:ascii="Arial" w:cs="Arial" w:eastAsia="Arial" w:hAnsi="Arial"/>
          <w:sz w:val="19"/>
          <w:szCs w:val="19"/>
          <w:color w:val="auto"/>
        </w:rPr>
        <w:t>We have a multipronged, go-to-market strategy that integrates the viral enthusiasm for our platform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As of January 31, 2019, 66% of our 521 customers with more than $100,000 of annual recurring revenue (ARR) started with at least one free host prior to subscribing, with these 521 customers representing 33% of total ARR for the fiscal year ended January 31, 2019, underscoring the power of our model.</w:t>
      </w:r>
    </w:p>
    <w:p>
      <w:pPr>
        <w:spacing w:after="0" w:line="106" w:lineRule="exact"/>
        <w:rPr>
          <w:rFonts w:ascii="Arial" w:cs="Arial" w:eastAsia="Arial" w:hAnsi="Arial"/>
          <w:sz w:val="19"/>
          <w:szCs w:val="19"/>
          <w:color w:val="auto"/>
        </w:rPr>
      </w:pPr>
    </w:p>
    <w:p>
      <w:pPr>
        <w:ind w:left="1100" w:right="140" w:hanging="464"/>
        <w:spacing w:after="0" w:line="255" w:lineRule="auto"/>
        <w:tabs>
          <w:tab w:leader="none" w:pos="1100" w:val="left"/>
        </w:tabs>
        <w:numPr>
          <w:ilvl w:val="0"/>
          <w:numId w:val="4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Robust customer support and success function. </w:t>
      </w:r>
      <w:r>
        <w:rPr>
          <w:rFonts w:ascii="Arial" w:cs="Arial" w:eastAsia="Arial" w:hAnsi="Arial"/>
          <w:sz w:val="19"/>
          <w:szCs w:val="19"/>
          <w:color w:val="auto"/>
        </w:rPr>
        <w:t>We offer 24/7/365 support through live chat, phone and video for paying customers. Free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Culture of Happiness</w:t>
      </w:r>
    </w:p>
    <w:p>
      <w:pPr>
        <w:spacing w:after="0" w:line="130"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We are focused on delivering happiness to our employees and customers. We strive to change the way business is done through our communications technology and our company culture. We take happiness so seriously that we have a designated chief happiness officer. To promote our unique culture, we organize activities including an employee mentorship program, “bring your parents to work day,” charity fundraisers and volunteer days.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culture of delivering happiness drives our mission, vision and values and is fundamental to everything we do at Zoom:</w:t>
      </w:r>
    </w:p>
    <w:p>
      <w:pPr>
        <w:spacing w:after="0" w:line="138" w:lineRule="exact"/>
        <w:rPr>
          <w:sz w:val="20"/>
          <w:szCs w:val="20"/>
          <w:color w:val="auto"/>
        </w:rPr>
      </w:pPr>
    </w:p>
    <w:p>
      <w:pPr>
        <w:ind w:left="5900" w:right="5520" w:hanging="5264"/>
        <w:spacing w:after="0" w:line="529" w:lineRule="auto"/>
        <w:tabs>
          <w:tab w:leader="none" w:pos="1089"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Mission</w:t>
      </w:r>
      <w:r>
        <w:rPr>
          <w:rFonts w:ascii="Arial" w:cs="Arial" w:eastAsia="Arial" w:hAnsi="Arial"/>
          <w:sz w:val="17"/>
          <w:szCs w:val="17"/>
          <w:color w:val="auto"/>
        </w:rPr>
        <w:t>. Our mission is to make video communications frictionless.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78</w:t>
      </w:r>
    </w:p>
    <w:p>
      <w:pPr>
        <w:sectPr>
          <w:pgSz w:w="12240" w:h="15840" w:orient="portrait"/>
          <w:cols w:equalWidth="0" w:num="1">
            <w:col w:w="11800"/>
          </w:cols>
          <w:pgMar w:left="120" w:top="336" w:right="320" w:bottom="1440" w:gutter="0" w:footer="0" w:header="0"/>
        </w:sectPr>
      </w:pPr>
    </w:p>
    <w:bookmarkStart w:id="83" w:name="page84"/>
    <w:bookmarkEnd w:id="8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Vision. </w:t>
      </w:r>
      <w:r>
        <w:rPr>
          <w:rFonts w:ascii="Arial" w:cs="Arial" w:eastAsia="Arial" w:hAnsi="Arial"/>
          <w:sz w:val="19"/>
          <w:szCs w:val="19"/>
          <w:color w:val="auto"/>
        </w:rPr>
        <w:t>Our vision is to empower people to accomplish more through video communications.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Values</w:t>
      </w:r>
      <w:r>
        <w:rPr>
          <w:rFonts w:ascii="Arial" w:cs="Arial" w:eastAsia="Arial" w:hAnsi="Arial"/>
          <w:sz w:val="19"/>
          <w:szCs w:val="19"/>
          <w:color w:val="auto"/>
        </w:rPr>
        <w:t>. We care for our community, our customers, our company, our teammates and ourselves.</w:t>
      </w:r>
    </w:p>
    <w:p>
      <w:pPr>
        <w:spacing w:after="0" w:line="238" w:lineRule="exact"/>
        <w:rPr>
          <w:sz w:val="20"/>
          <w:szCs w:val="20"/>
          <w:color w:val="auto"/>
        </w:rPr>
      </w:pPr>
    </w:p>
    <w:p>
      <w:pPr>
        <w:ind w:left="180" w:right="80" w:firstLine="465"/>
        <w:spacing w:after="0" w:line="336" w:lineRule="auto"/>
        <w:rPr>
          <w:sz w:val="20"/>
          <w:szCs w:val="20"/>
          <w:color w:val="auto"/>
        </w:rPr>
      </w:pPr>
      <w:r>
        <w:rPr>
          <w:rFonts w:ascii="Arial" w:cs="Arial" w:eastAsia="Arial" w:hAnsi="Arial"/>
          <w:sz w:val="17"/>
          <w:szCs w:val="17"/>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Market Opportunity</w:t>
      </w:r>
    </w:p>
    <w:p>
      <w:pPr>
        <w:spacing w:after="0" w:line="130" w:lineRule="exact"/>
        <w:rPr>
          <w:sz w:val="20"/>
          <w:szCs w:val="20"/>
          <w:color w:val="auto"/>
        </w:rPr>
      </w:pPr>
    </w:p>
    <w:p>
      <w:pPr>
        <w:ind w:left="180" w:right="140" w:firstLine="465"/>
        <w:spacing w:after="0" w:line="256" w:lineRule="auto"/>
        <w:rPr>
          <w:sz w:val="20"/>
          <w:szCs w:val="20"/>
          <w:color w:val="auto"/>
        </w:rPr>
      </w:pPr>
      <w:r>
        <w:rPr>
          <w:rFonts w:ascii="Arial" w:cs="Arial" w:eastAsia="Arial" w:hAnsi="Arial"/>
          <w:sz w:val="19"/>
          <w:szCs w:val="19"/>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20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Growth Strategy</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focus on the following elements of our strategy to drive our growth:</w:t>
      </w:r>
    </w:p>
    <w:p>
      <w:pPr>
        <w:spacing w:after="0" w:line="138" w:lineRule="exact"/>
        <w:rPr>
          <w:sz w:val="20"/>
          <w:szCs w:val="20"/>
          <w:color w:val="auto"/>
        </w:rPr>
      </w:pPr>
    </w:p>
    <w:p>
      <w:pPr>
        <w:ind w:left="1100" w:hanging="464"/>
        <w:spacing w:after="0" w:line="284"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Keep our existing customers happy. </w:t>
      </w:r>
      <w:r>
        <w:rPr>
          <w:rFonts w:ascii="Arial" w:cs="Arial" w:eastAsia="Arial" w:hAnsi="Arial"/>
          <w:sz w:val="18"/>
          <w:szCs w:val="18"/>
          <w:color w:val="auto"/>
        </w:rPr>
        <w:t>We provide happiness to our customers by giving them an experience that delights them. We respond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8" w:lineRule="exact"/>
        <w:rPr>
          <w:rFonts w:ascii="Arial" w:cs="Arial" w:eastAsia="Arial" w:hAnsi="Arial"/>
          <w:sz w:val="18"/>
          <w:szCs w:val="18"/>
          <w:color w:val="auto"/>
        </w:rPr>
      </w:pPr>
    </w:p>
    <w:p>
      <w:pPr>
        <w:ind w:left="1100" w:right="80" w:hanging="464"/>
        <w:spacing w:after="0" w:line="274"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acquisition. </w:t>
      </w:r>
      <w:r>
        <w:rPr>
          <w:rFonts w:ascii="Arial" w:cs="Arial" w:eastAsia="Arial" w:hAnsi="Arial"/>
          <w:sz w:val="18"/>
          <w:szCs w:val="18"/>
          <w:color w:val="auto"/>
        </w:rPr>
        <w:t>Our platform is designed to make it easy to host meetings. By attracting free hosts to use our platform,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87" w:lineRule="exact"/>
        <w:rPr>
          <w:rFonts w:ascii="Arial" w:cs="Arial" w:eastAsia="Arial" w:hAnsi="Arial"/>
          <w:sz w:val="18"/>
          <w:szCs w:val="18"/>
          <w:color w:val="auto"/>
        </w:rPr>
      </w:pPr>
    </w:p>
    <w:p>
      <w:pPr>
        <w:ind w:left="1100" w:right="160" w:hanging="464"/>
        <w:spacing w:after="0" w:line="263" w:lineRule="auto"/>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Expand within existing customers. </w:t>
      </w:r>
      <w:r>
        <w:rPr>
          <w:rFonts w:ascii="Arial" w:cs="Arial" w:eastAsia="Arial" w:hAnsi="Arial"/>
          <w:sz w:val="19"/>
          <w:szCs w:val="19"/>
          <w:color w:val="auto"/>
        </w:rPr>
        <w:t>As organizations experience our video platform and become familiar with its benefits, more teams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departments within these organizations adopt Zoom. Our platform may begin in a line of business and then organically expand across departments. This “land and expand” model has led to some of our largest deployments.</w:t>
      </w:r>
    </w:p>
    <w:p>
      <w:pPr>
        <w:spacing w:after="0" w:line="94" w:lineRule="exact"/>
        <w:rPr>
          <w:rFonts w:ascii="Arial" w:cs="Arial" w:eastAsia="Arial" w:hAnsi="Arial"/>
          <w:sz w:val="19"/>
          <w:szCs w:val="19"/>
          <w:color w:val="auto"/>
        </w:rPr>
      </w:pPr>
    </w:p>
    <w:p>
      <w:pPr>
        <w:ind w:left="1100" w:right="80" w:hanging="464"/>
        <w:spacing w:after="0" w:line="259" w:lineRule="auto"/>
        <w:tabs>
          <w:tab w:leader="none" w:pos="1100"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Innovate our platform continuously</w:t>
      </w:r>
      <w:r>
        <w:rPr>
          <w:rFonts w:ascii="Arial" w:cs="Arial" w:eastAsia="Arial" w:hAnsi="Arial"/>
          <w:sz w:val="19"/>
          <w:szCs w:val="19"/>
          <w:color w:val="auto"/>
        </w:rPr>
        <w:t>. Our engineers aim to stay on the cutting edge of video communication and collaboration technologies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7" w:lineRule="exact"/>
        <w:rPr>
          <w:rFonts w:ascii="Arial" w:cs="Arial" w:eastAsia="Arial" w:hAnsi="Arial"/>
          <w:sz w:val="19"/>
          <w:szCs w:val="19"/>
          <w:color w:val="auto"/>
        </w:rPr>
      </w:pPr>
    </w:p>
    <w:p>
      <w:pPr>
        <w:ind w:left="1100" w:right="100" w:hanging="464"/>
        <w:spacing w:after="0" w:line="308" w:lineRule="auto"/>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Accelerate international expansion. </w:t>
      </w:r>
      <w:r>
        <w:rPr>
          <w:rFonts w:ascii="Arial" w:cs="Arial" w:eastAsia="Arial" w:hAnsi="Arial"/>
          <w:sz w:val="17"/>
          <w:szCs w:val="17"/>
          <w:color w:val="auto"/>
        </w:rPr>
        <w:t>With users, offices and data centers strategically located around the world, we are poised to reach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79</w:t>
      </w:r>
    </w:p>
    <w:p>
      <w:pPr>
        <w:sectPr>
          <w:pgSz w:w="12240" w:h="15840" w:orient="portrait"/>
          <w:cols w:equalWidth="0" w:num="1">
            <w:col w:w="11800"/>
          </w:cols>
          <w:pgMar w:left="120" w:top="336" w:right="320" w:bottom="1440" w:gutter="0" w:footer="0" w:header="0"/>
        </w:sectPr>
      </w:pPr>
    </w:p>
    <w:bookmarkStart w:id="84" w:name="page85"/>
    <w:bookmarkEnd w:id="8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line="255"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Grow our partnership ecosystem and continue to expand our platform. </w:t>
      </w:r>
      <w:r>
        <w:rPr>
          <w:rFonts w:ascii="Arial" w:cs="Arial" w:eastAsia="Arial" w:hAnsi="Arial"/>
          <w:sz w:val="19"/>
          <w:szCs w:val="19"/>
          <w:color w:val="auto"/>
        </w:rPr>
        <w:t>Our platform integrates easily with other systems and tools. We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Products</w:t>
      </w:r>
    </w:p>
    <w:p>
      <w:pPr>
        <w:spacing w:after="0" w:line="130" w:lineRule="exact"/>
        <w:rPr>
          <w:sz w:val="20"/>
          <w:szCs w:val="20"/>
          <w:color w:val="auto"/>
        </w:rPr>
      </w:pPr>
    </w:p>
    <w:p>
      <w:pPr>
        <w:ind w:left="180" w:right="240" w:firstLine="465"/>
        <w:spacing w:after="0" w:line="259" w:lineRule="auto"/>
        <w:rPr>
          <w:sz w:val="20"/>
          <w:szCs w:val="20"/>
          <w:color w:val="auto"/>
        </w:rPr>
      </w:pPr>
      <w:r>
        <w:rPr>
          <w:rFonts w:ascii="Arial" w:cs="Arial" w:eastAsia="Arial" w:hAnsi="Arial"/>
          <w:sz w:val="19"/>
          <w:szCs w:val="19"/>
          <w:color w:val="auto"/>
        </w:rPr>
        <w:t>We provide a video-first communications platform that delivers happiness and fundamentally changes how people interact, connecting them through frictionless video, voice, chat and content sharing. Our products include 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270510</wp:posOffset>
            </wp:positionV>
            <wp:extent cx="2762250" cy="27622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62250"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Meetings</w:t>
      </w:r>
    </w:p>
    <w:p>
      <w:pPr>
        <w:spacing w:after="0" w:line="124"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89" w:lineRule="exact"/>
        <w:rPr>
          <w:sz w:val="20"/>
          <w:szCs w:val="20"/>
          <w:color w:val="auto"/>
        </w:rPr>
      </w:pPr>
    </w:p>
    <w:p>
      <w:pPr>
        <w:ind w:left="180" w:right="140" w:firstLine="465"/>
        <w:spacing w:after="0" w:line="277" w:lineRule="auto"/>
        <w:rPr>
          <w:sz w:val="20"/>
          <w:szCs w:val="20"/>
          <w:color w:val="auto"/>
        </w:rPr>
      </w:pPr>
      <w:r>
        <w:rPr>
          <w:rFonts w:ascii="Arial" w:cs="Arial" w:eastAsia="Arial" w:hAnsi="Arial"/>
          <w:sz w:val="18"/>
          <w:szCs w:val="18"/>
          <w:i w:val="1"/>
          <w:iCs w:val="1"/>
          <w:color w:val="auto"/>
        </w:rPr>
        <w:t>Zoom Chat</w:t>
      </w:r>
      <w:r>
        <w:rPr>
          <w:rFonts w:ascii="Arial" w:cs="Arial" w:eastAsia="Arial" w:hAnsi="Arial"/>
          <w:sz w:val="18"/>
          <w:szCs w:val="18"/>
          <w:color w:val="auto"/>
        </w:rPr>
        <w:t>, a feature of our Zoom Meetings platform, allows users to send texts, images, audio files and content instantly across desktop, laptop,</w:t>
      </w:r>
      <w:r>
        <w:rPr>
          <w:rFonts w:ascii="Arial" w:cs="Arial" w:eastAsia="Arial" w:hAnsi="Arial"/>
          <w:sz w:val="18"/>
          <w:szCs w:val="18"/>
          <w:i w:val="1"/>
          <w:iCs w:val="1"/>
          <w:color w:val="auto"/>
        </w:rPr>
        <w:t xml:space="preserve"> </w:t>
      </w:r>
      <w:r>
        <w:rPr>
          <w:rFonts w:ascii="Arial" w:cs="Arial" w:eastAsia="Arial" w:hAnsi="Arial"/>
          <w:sz w:val="18"/>
          <w:szCs w:val="18"/>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80</w:t>
      </w:r>
    </w:p>
    <w:p>
      <w:pPr>
        <w:sectPr>
          <w:pgSz w:w="12240" w:h="15840" w:orient="portrait"/>
          <w:cols w:equalWidth="0" w:num="1">
            <w:col w:w="11820"/>
          </w:cols>
          <w:pgMar w:left="120" w:top="336" w:right="300" w:bottom="1440" w:gutter="0" w:footer="0" w:header="0"/>
        </w:sectPr>
      </w:pPr>
    </w:p>
    <w:bookmarkStart w:id="85" w:name="page86"/>
    <w:bookmarkEnd w:id="8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Rooms</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Zoom Rooms are our software-based conference room system, which enable users to have frictionless Zoom Meetings in their physical meeting spaces. Running on third-party off-the-shelf hardware, Zoom Rooms are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204"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i w:val="1"/>
          <w:iCs w:val="1"/>
          <w:color w:val="auto"/>
        </w:rPr>
        <w:t>Zoom Rooms Scheduling Display</w:t>
      </w:r>
      <w:r>
        <w:rPr>
          <w:rFonts w:ascii="Arial" w:cs="Arial" w:eastAsia="Arial" w:hAnsi="Arial"/>
          <w:sz w:val="19"/>
          <w:szCs w:val="19"/>
          <w:color w:val="auto"/>
        </w:rPr>
        <w:t>, running on an iOS or Android tablet outside the conferencing space, allows users to see upcoming meetings,</w:t>
      </w:r>
      <w:r>
        <w:rPr>
          <w:rFonts w:ascii="Arial" w:cs="Arial" w:eastAsia="Arial" w:hAnsi="Arial"/>
          <w:sz w:val="19"/>
          <w:szCs w:val="19"/>
          <w:i w:val="1"/>
          <w:iCs w:val="1"/>
          <w:color w:val="auto"/>
        </w:rPr>
        <w:t xml:space="preserve"> </w:t>
      </w:r>
      <w:r>
        <w:rPr>
          <w:rFonts w:ascii="Arial" w:cs="Arial" w:eastAsia="Arial" w:hAnsi="Arial"/>
          <w:sz w:val="19"/>
          <w:szCs w:val="19"/>
          <w:color w:val="auto"/>
        </w:rPr>
        <w:t>check in and schedule spontaneous meetings.</w:t>
      </w:r>
    </w:p>
    <w:p>
      <w:pPr>
        <w:spacing w:after="0" w:line="184"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i w:val="1"/>
          <w:iCs w:val="1"/>
          <w:color w:val="auto"/>
        </w:rPr>
        <w:t>Zoom Rooms Digital Signage</w:t>
      </w:r>
      <w:r>
        <w:rPr>
          <w:rFonts w:ascii="Arial" w:cs="Arial" w:eastAsia="Arial" w:hAnsi="Arial"/>
          <w:sz w:val="19"/>
          <w:szCs w:val="19"/>
          <w:color w:val="auto"/>
        </w:rPr>
        <w:t>, running on commodity monitors, enables organizations to display content in common spaces and meeting spaces</w:t>
      </w:r>
      <w:r>
        <w:rPr>
          <w:rFonts w:ascii="Arial" w:cs="Arial" w:eastAsia="Arial" w:hAnsi="Arial"/>
          <w:sz w:val="19"/>
          <w:szCs w:val="19"/>
          <w:i w:val="1"/>
          <w:iCs w:val="1"/>
          <w:color w:val="auto"/>
        </w:rPr>
        <w:t xml:space="preserve"> </w:t>
      </w:r>
      <w:r>
        <w:rPr>
          <w:rFonts w:ascii="Arial" w:cs="Arial" w:eastAsia="Arial" w:hAnsi="Arial"/>
          <w:sz w:val="19"/>
          <w:szCs w:val="19"/>
          <w:color w:val="auto"/>
        </w:rPr>
        <w:t>for corporate communications, internal marketing and branding.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Conference Room Connector</w:t>
      </w:r>
    </w:p>
    <w:p>
      <w:pPr>
        <w:spacing w:after="0" w:line="124" w:lineRule="exact"/>
        <w:rPr>
          <w:sz w:val="20"/>
          <w:szCs w:val="20"/>
          <w:color w:val="auto"/>
        </w:rPr>
      </w:pPr>
    </w:p>
    <w:p>
      <w:pPr>
        <w:ind w:left="180" w:right="140" w:firstLine="465"/>
        <w:spacing w:after="0" w:line="298" w:lineRule="auto"/>
        <w:rPr>
          <w:sz w:val="20"/>
          <w:szCs w:val="20"/>
          <w:color w:val="auto"/>
        </w:rPr>
      </w:pPr>
      <w:r>
        <w:rPr>
          <w:rFonts w:ascii="Arial" w:cs="Arial" w:eastAsia="Arial" w:hAnsi="Arial"/>
          <w:sz w:val="17"/>
          <w:szCs w:val="17"/>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Phone</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 We announced Zoom Phone in October 2018 and expect to make it generally available in 2019.</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Video Webinars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Video Webinars includes features such as Q&amp;A, reporting, invitations and CRM and marketing automation software integrations. It also easily integrates with Facebook Live and YouTube, providing access to large bases of viewers.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Zoom for Developers and Zoom App Marketplace</w:t>
      </w:r>
    </w:p>
    <w:p>
      <w:pPr>
        <w:spacing w:after="0" w:line="124" w:lineRule="exact"/>
        <w:rPr>
          <w:sz w:val="20"/>
          <w:szCs w:val="20"/>
          <w:color w:val="auto"/>
        </w:rPr>
      </w:pPr>
    </w:p>
    <w:p>
      <w:pPr>
        <w:ind w:left="180" w:right="180" w:firstLine="465"/>
        <w:spacing w:after="0" w:line="277" w:lineRule="auto"/>
        <w:rPr>
          <w:sz w:val="20"/>
          <w:szCs w:val="20"/>
          <w:color w:val="auto"/>
        </w:rPr>
      </w:pPr>
      <w:r>
        <w:rPr>
          <w:rFonts w:ascii="Arial" w:cs="Arial" w:eastAsia="Arial" w:hAnsi="Arial"/>
          <w:sz w:val="18"/>
          <w:szCs w:val="18"/>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85" w:lineRule="exact"/>
        <w:rPr>
          <w:sz w:val="20"/>
          <w:szCs w:val="20"/>
          <w:color w:val="auto"/>
        </w:rPr>
      </w:pPr>
    </w:p>
    <w:p>
      <w:pPr>
        <w:ind w:left="180" w:right="160" w:firstLine="465"/>
        <w:spacing w:after="0" w:line="284" w:lineRule="auto"/>
        <w:rPr>
          <w:sz w:val="20"/>
          <w:szCs w:val="20"/>
          <w:color w:val="auto"/>
        </w:rPr>
      </w:pPr>
      <w:r>
        <w:rPr>
          <w:rFonts w:ascii="Arial" w:cs="Arial" w:eastAsia="Arial" w:hAnsi="Arial"/>
          <w:sz w:val="18"/>
          <w:szCs w:val="18"/>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YouTube and Microsoft Teams.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81</w:t>
      </w:r>
    </w:p>
    <w:p>
      <w:pPr>
        <w:sectPr>
          <w:pgSz w:w="12240" w:h="15840" w:orient="portrait"/>
          <w:cols w:equalWidth="0" w:num="1">
            <w:col w:w="11780"/>
          </w:cols>
          <w:pgMar w:left="120" w:top="336" w:right="340" w:bottom="1440" w:gutter="0" w:footer="0" w:header="0"/>
        </w:sectPr>
      </w:pPr>
    </w:p>
    <w:bookmarkStart w:id="86" w:name="page87"/>
    <w:bookmarkEnd w:id="8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Technology and Infrastructure</w:t>
      </w:r>
    </w:p>
    <w:p>
      <w:pPr>
        <w:spacing w:after="0" w:line="130" w:lineRule="exact"/>
        <w:rPr>
          <w:sz w:val="20"/>
          <w:szCs w:val="20"/>
          <w:color w:val="auto"/>
        </w:rPr>
      </w:pPr>
    </w:p>
    <w:p>
      <w:pPr>
        <w:ind w:left="180" w:right="120" w:firstLine="465"/>
        <w:spacing w:after="0" w:line="274" w:lineRule="auto"/>
        <w:rPr>
          <w:sz w:val="20"/>
          <w:szCs w:val="20"/>
          <w:color w:val="auto"/>
        </w:rPr>
      </w:pPr>
      <w:r>
        <w:rPr>
          <w:rFonts w:ascii="Arial" w:cs="Arial" w:eastAsia="Arial" w:hAnsi="Arial"/>
          <w:sz w:val="18"/>
          <w:szCs w:val="18"/>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88"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content processing from the transporting and mixing of streams. We allocate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technology and infrastructure have the following key strengths:</w:t>
      </w:r>
    </w:p>
    <w:p>
      <w:pPr>
        <w:spacing w:after="0" w:line="132" w:lineRule="exact"/>
        <w:rPr>
          <w:sz w:val="20"/>
          <w:szCs w:val="20"/>
          <w:color w:val="auto"/>
        </w:rPr>
      </w:pPr>
    </w:p>
    <w:p>
      <w:pPr>
        <w:ind w:left="1100" w:hanging="464"/>
        <w:spacing w:after="0" w:line="312"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Architectural separation of content processing from stream routing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Client-side processing for encoding and decoding, our MMR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50" w:lineRule="exact"/>
        <w:rPr>
          <w:rFonts w:ascii="Arial" w:cs="Arial" w:eastAsia="Arial" w:hAnsi="Arial"/>
          <w:sz w:val="17"/>
          <w:szCs w:val="17"/>
          <w:color w:val="auto"/>
        </w:rPr>
      </w:pPr>
    </w:p>
    <w:p>
      <w:pPr>
        <w:ind w:left="1100" w:right="180" w:hanging="464"/>
        <w:spacing w:after="0" w:line="296"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Distributed cloud-native infrastructure from the start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day one, we have invested in a distributed architecture and load balancing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63" w:lineRule="exact"/>
        <w:rPr>
          <w:rFonts w:ascii="Arial" w:cs="Arial" w:eastAsia="Arial" w:hAnsi="Arial"/>
          <w:sz w:val="17"/>
          <w:szCs w:val="17"/>
          <w:color w:val="auto"/>
        </w:rPr>
      </w:pPr>
    </w:p>
    <w:p>
      <w:pPr>
        <w:ind w:left="1100" w:right="220" w:hanging="464"/>
        <w:spacing w:after="0" w:line="312"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Proactive quality of service application layer at client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optimization technology is based on proprietary algorithms that detect packet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50" w:lineRule="exact"/>
        <w:rPr>
          <w:rFonts w:ascii="Arial" w:cs="Arial" w:eastAsia="Arial" w:hAnsi="Arial"/>
          <w:sz w:val="17"/>
          <w:szCs w:val="17"/>
          <w:color w:val="auto"/>
        </w:rPr>
      </w:pPr>
    </w:p>
    <w:p>
      <w:pPr>
        <w:ind w:left="1100" w:hanging="464"/>
        <w:spacing w:after="0" w:line="261" w:lineRule="auto"/>
        <w:tabs>
          <w:tab w:leader="none" w:pos="1100" w:val="left"/>
        </w:tabs>
        <w:numPr>
          <w:ilvl w:val="0"/>
          <w:numId w:val="54"/>
        </w:numPr>
        <w:rPr>
          <w:rFonts w:ascii="Arial" w:cs="Arial" w:eastAsia="Arial" w:hAnsi="Arial"/>
          <w:sz w:val="19"/>
          <w:szCs w:val="19"/>
          <w:color w:val="auto"/>
        </w:rPr>
      </w:pPr>
      <w:r>
        <w:rPr>
          <w:rFonts w:ascii="Arial" w:cs="Arial" w:eastAsia="Arial" w:hAnsi="Arial"/>
          <w:sz w:val="19"/>
          <w:szCs w:val="19"/>
          <w:b w:val="1"/>
          <w:bCs w:val="1"/>
          <w:i w:val="1"/>
          <w:iCs w:val="1"/>
          <w:color w:val="auto"/>
        </w:rPr>
        <w:t>Security and disaster recovery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 offer robust security capabilities, including end-to-end encryption, secure login, administrative controls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cloud-native infrastructure offers the following key strengths:</w:t>
      </w:r>
    </w:p>
    <w:p>
      <w:pPr>
        <w:spacing w:after="0" w:line="138" w:lineRule="exact"/>
        <w:rPr>
          <w:sz w:val="20"/>
          <w:szCs w:val="20"/>
          <w:color w:val="auto"/>
        </w:rPr>
      </w:pPr>
    </w:p>
    <w:p>
      <w:pPr>
        <w:ind w:left="1100" w:right="100" w:hanging="464"/>
        <w:spacing w:after="0" w:line="263" w:lineRule="auto"/>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Private cloud for real-time activities. </w:t>
      </w:r>
      <w:r>
        <w:rPr>
          <w:rFonts w:ascii="Arial" w:cs="Arial" w:eastAsia="Arial" w:hAnsi="Arial"/>
          <w:sz w:val="19"/>
          <w:szCs w:val="19"/>
          <w:color w:val="auto"/>
        </w:rPr>
        <w:t>We host real-time video and voice using 13 co-located data centers on our own servers around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world. We have built a network of private links so that each data center connects to multiple others. This structure creates redundancies and ensures reliability and performance.</w:t>
      </w:r>
    </w:p>
    <w:p>
      <w:pPr>
        <w:spacing w:after="0" w:line="94" w:lineRule="exact"/>
        <w:rPr>
          <w:rFonts w:ascii="Arial" w:cs="Arial" w:eastAsia="Arial" w:hAnsi="Arial"/>
          <w:sz w:val="19"/>
          <w:szCs w:val="19"/>
          <w:color w:val="auto"/>
        </w:rPr>
      </w:pPr>
    </w:p>
    <w:p>
      <w:pPr>
        <w:ind w:left="1100" w:right="60" w:hanging="464"/>
        <w:spacing w:after="0" w:line="275" w:lineRule="auto"/>
        <w:tabs>
          <w:tab w:leader="none" w:pos="1100" w:val="left"/>
        </w:tabs>
        <w:numPr>
          <w:ilvl w:val="0"/>
          <w:numId w:val="5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Optimized public cloud usage. </w:t>
      </w:r>
      <w:r>
        <w:rPr>
          <w:rFonts w:ascii="Arial" w:cs="Arial" w:eastAsia="Arial" w:hAnsi="Arial"/>
          <w:sz w:val="19"/>
          <w:szCs w:val="19"/>
          <w:color w:val="auto"/>
        </w:rPr>
        <w:t>For maximum efficiency, we deploy public cloud providers (Amazon Web Services and Microsoft Azure)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host our web applications and messaging service that do not require real time usage.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82</w:t>
      </w:r>
    </w:p>
    <w:p>
      <w:pPr>
        <w:sectPr>
          <w:pgSz w:w="12240" w:h="15840" w:orient="portrait"/>
          <w:cols w:equalWidth="0" w:num="1">
            <w:col w:w="11800"/>
          </w:cols>
          <w:pgMar w:left="120" w:top="336" w:right="320" w:bottom="1440" w:gutter="0" w:footer="0" w:header="0"/>
        </w:sectPr>
      </w:pPr>
    </w:p>
    <w:bookmarkStart w:id="87" w:name="page88"/>
    <w:bookmarkEnd w:id="8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Customers</w:t>
      </w:r>
    </w:p>
    <w:p>
      <w:pPr>
        <w:spacing w:after="0" w:line="130" w:lineRule="exact"/>
        <w:rPr>
          <w:sz w:val="20"/>
          <w:szCs w:val="20"/>
          <w:color w:val="auto"/>
        </w:rPr>
      </w:pPr>
    </w:p>
    <w:p>
      <w:pPr>
        <w:ind w:left="180" w:right="200" w:firstLine="465"/>
        <w:spacing w:after="0" w:line="259" w:lineRule="auto"/>
        <w:rPr>
          <w:sz w:val="20"/>
          <w:szCs w:val="20"/>
          <w:color w:val="auto"/>
        </w:rPr>
      </w:pPr>
      <w:r>
        <w:rPr>
          <w:rFonts w:ascii="Arial" w:cs="Arial" w:eastAsia="Arial" w:hAnsi="Arial"/>
          <w:sz w:val="19"/>
          <w:szCs w:val="19"/>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980" w:type="dxa"/>
            <w:vAlign w:val="bottom"/>
          </w:tcPr>
          <w:p>
            <w:pPr>
              <w:spacing w:after="0"/>
              <w:rPr>
                <w:sz w:val="20"/>
                <w:szCs w:val="20"/>
                <w:color w:val="auto"/>
              </w:rPr>
            </w:pPr>
            <w:r>
              <w:rPr>
                <w:rFonts w:ascii="Arial" w:cs="Arial" w:eastAsia="Arial" w:hAnsi="Arial"/>
                <w:sz w:val="19"/>
                <w:szCs w:val="19"/>
                <w:b w:val="1"/>
                <w:bCs w:val="1"/>
                <w:color w:val="auto"/>
              </w:rPr>
              <w:t>Education:</w:t>
            </w:r>
          </w:p>
        </w:tc>
        <w:tc>
          <w:tcPr>
            <w:tcW w:w="3540" w:type="dxa"/>
            <w:vAlign w:val="bottom"/>
          </w:tcPr>
          <w:p>
            <w:pPr>
              <w:ind w:left="340"/>
              <w:spacing w:after="0"/>
              <w:rPr>
                <w:sz w:val="20"/>
                <w:szCs w:val="20"/>
                <w:color w:val="auto"/>
              </w:rPr>
            </w:pPr>
            <w:r>
              <w:rPr>
                <w:rFonts w:ascii="Arial" w:cs="Arial" w:eastAsia="Arial" w:hAnsi="Arial"/>
                <w:sz w:val="19"/>
                <w:szCs w:val="19"/>
                <w:b w:val="1"/>
                <w:bCs w:val="1"/>
                <w:color w:val="auto"/>
              </w:rPr>
              <w:t>Entertainment/Media:</w:t>
            </w:r>
          </w:p>
        </w:tc>
        <w:tc>
          <w:tcPr>
            <w:tcW w:w="2780" w:type="dxa"/>
            <w:vAlign w:val="bottom"/>
          </w:tcPr>
          <w:p>
            <w:pPr>
              <w:ind w:left="640"/>
              <w:spacing w:after="0"/>
              <w:rPr>
                <w:sz w:val="20"/>
                <w:szCs w:val="20"/>
                <w:color w:val="auto"/>
              </w:rPr>
            </w:pPr>
            <w:r>
              <w:rPr>
                <w:rFonts w:ascii="Arial" w:cs="Arial" w:eastAsia="Arial" w:hAnsi="Arial"/>
                <w:sz w:val="19"/>
                <w:szCs w:val="19"/>
                <w:b w:val="1"/>
                <w:bCs w:val="1"/>
                <w:color w:val="auto"/>
                <w:w w:val="92"/>
              </w:rPr>
              <w:t>Enterprise Infrastructure:</w:t>
            </w:r>
          </w:p>
        </w:tc>
      </w:tr>
      <w:tr>
        <w:trPr>
          <w:trHeight w:val="357"/>
        </w:trPr>
        <w:tc>
          <w:tcPr>
            <w:tcW w:w="3980" w:type="dxa"/>
            <w:vAlign w:val="bottom"/>
          </w:tcPr>
          <w:p>
            <w:pPr>
              <w:spacing w:after="0"/>
              <w:rPr>
                <w:sz w:val="20"/>
                <w:szCs w:val="20"/>
                <w:color w:val="auto"/>
              </w:rPr>
            </w:pPr>
            <w:r>
              <w:rPr>
                <w:rFonts w:ascii="Arial" w:cs="Arial" w:eastAsia="Arial" w:hAnsi="Arial"/>
                <w:sz w:val="19"/>
                <w:szCs w:val="19"/>
                <w:color w:val="auto"/>
              </w:rPr>
              <w:t>Indiana University</w:t>
            </w:r>
          </w:p>
        </w:tc>
        <w:tc>
          <w:tcPr>
            <w:tcW w:w="3540" w:type="dxa"/>
            <w:vAlign w:val="bottom"/>
          </w:tcPr>
          <w:p>
            <w:pPr>
              <w:ind w:left="340"/>
              <w:spacing w:after="0"/>
              <w:rPr>
                <w:sz w:val="20"/>
                <w:szCs w:val="20"/>
                <w:color w:val="auto"/>
              </w:rPr>
            </w:pPr>
            <w:r>
              <w:rPr>
                <w:rFonts w:ascii="Arial" w:cs="Arial" w:eastAsia="Arial" w:hAnsi="Arial"/>
                <w:sz w:val="19"/>
                <w:szCs w:val="19"/>
                <w:color w:val="auto"/>
              </w:rPr>
              <w:t>Caesars Enterprise Services, LLC</w:t>
            </w:r>
          </w:p>
        </w:tc>
        <w:tc>
          <w:tcPr>
            <w:tcW w:w="2780" w:type="dxa"/>
            <w:vAlign w:val="bottom"/>
          </w:tcPr>
          <w:p>
            <w:pPr>
              <w:ind w:left="640"/>
              <w:spacing w:after="0"/>
              <w:rPr>
                <w:sz w:val="20"/>
                <w:szCs w:val="20"/>
                <w:color w:val="auto"/>
              </w:rPr>
            </w:pPr>
            <w:r>
              <w:rPr>
                <w:rFonts w:ascii="Arial" w:cs="Arial" w:eastAsia="Arial" w:hAnsi="Arial"/>
                <w:sz w:val="19"/>
                <w:szCs w:val="19"/>
                <w:color w:val="auto"/>
              </w:rPr>
              <w:t>Dell USA L.P.</w:t>
            </w:r>
          </w:p>
        </w:tc>
      </w:tr>
      <w:tr>
        <w:trPr>
          <w:trHeight w:val="357"/>
        </w:trPr>
        <w:tc>
          <w:tcPr>
            <w:tcW w:w="3980" w:type="dxa"/>
            <w:vAlign w:val="bottom"/>
          </w:tcPr>
          <w:p>
            <w:pPr>
              <w:spacing w:after="0"/>
              <w:rPr>
                <w:sz w:val="20"/>
                <w:szCs w:val="20"/>
                <w:color w:val="auto"/>
              </w:rPr>
            </w:pPr>
            <w:r>
              <w:rPr>
                <w:rFonts w:ascii="Arial" w:cs="Arial" w:eastAsia="Arial" w:hAnsi="Arial"/>
                <w:sz w:val="19"/>
                <w:szCs w:val="19"/>
                <w:color w:val="auto"/>
              </w:rPr>
              <w:t>Oklahoma State Regents for Higher Education</w:t>
            </w:r>
          </w:p>
        </w:tc>
        <w:tc>
          <w:tcPr>
            <w:tcW w:w="3540" w:type="dxa"/>
            <w:vAlign w:val="bottom"/>
          </w:tcPr>
          <w:p>
            <w:pPr>
              <w:ind w:left="340"/>
              <w:spacing w:after="0"/>
              <w:rPr>
                <w:sz w:val="20"/>
                <w:szCs w:val="20"/>
                <w:color w:val="auto"/>
              </w:rPr>
            </w:pPr>
            <w:r>
              <w:rPr>
                <w:rFonts w:ascii="Arial" w:cs="Arial" w:eastAsia="Arial" w:hAnsi="Arial"/>
                <w:sz w:val="19"/>
                <w:szCs w:val="19"/>
                <w:color w:val="auto"/>
              </w:rPr>
              <w:t>Condé Nast</w:t>
            </w:r>
          </w:p>
        </w:tc>
        <w:tc>
          <w:tcPr>
            <w:tcW w:w="2780" w:type="dxa"/>
            <w:vAlign w:val="bottom"/>
          </w:tcPr>
          <w:p>
            <w:pPr>
              <w:ind w:left="640"/>
              <w:spacing w:after="0"/>
              <w:rPr>
                <w:sz w:val="20"/>
                <w:szCs w:val="20"/>
                <w:color w:val="auto"/>
              </w:rPr>
            </w:pPr>
            <w:r>
              <w:rPr>
                <w:rFonts w:ascii="Arial" w:cs="Arial" w:eastAsia="Arial" w:hAnsi="Arial"/>
                <w:sz w:val="19"/>
                <w:szCs w:val="19"/>
                <w:color w:val="auto"/>
              </w:rPr>
              <w:t>F5 Networks, Inc.</w:t>
            </w:r>
          </w:p>
        </w:tc>
      </w:tr>
      <w:tr>
        <w:trPr>
          <w:trHeight w:val="357"/>
        </w:trPr>
        <w:tc>
          <w:tcPr>
            <w:tcW w:w="3980" w:type="dxa"/>
            <w:vAlign w:val="bottom"/>
          </w:tcPr>
          <w:p>
            <w:pPr>
              <w:spacing w:after="0"/>
              <w:rPr>
                <w:sz w:val="20"/>
                <w:szCs w:val="20"/>
                <w:color w:val="auto"/>
              </w:rPr>
            </w:pPr>
            <w:r>
              <w:rPr>
                <w:rFonts w:ascii="Arial" w:cs="Arial" w:eastAsia="Arial" w:hAnsi="Arial"/>
                <w:sz w:val="19"/>
                <w:szCs w:val="19"/>
                <w:color w:val="auto"/>
              </w:rPr>
              <w:t>The Pennsylvania State University</w:t>
            </w:r>
          </w:p>
        </w:tc>
        <w:tc>
          <w:tcPr>
            <w:tcW w:w="3540" w:type="dxa"/>
            <w:vAlign w:val="bottom"/>
          </w:tcPr>
          <w:p>
            <w:pPr>
              <w:ind w:left="340"/>
              <w:spacing w:after="0"/>
              <w:rPr>
                <w:sz w:val="20"/>
                <w:szCs w:val="20"/>
                <w:color w:val="auto"/>
              </w:rPr>
            </w:pPr>
            <w:r>
              <w:rPr>
                <w:rFonts w:ascii="Arial" w:cs="Arial" w:eastAsia="Arial" w:hAnsi="Arial"/>
                <w:sz w:val="19"/>
                <w:szCs w:val="19"/>
                <w:color w:val="auto"/>
              </w:rPr>
              <w:t>Discovery Communications, LLC</w:t>
            </w:r>
          </w:p>
        </w:tc>
        <w:tc>
          <w:tcPr>
            <w:tcW w:w="2780" w:type="dxa"/>
            <w:vAlign w:val="bottom"/>
          </w:tcPr>
          <w:p>
            <w:pPr>
              <w:ind w:left="640"/>
              <w:spacing w:after="0"/>
              <w:rPr>
                <w:sz w:val="20"/>
                <w:szCs w:val="20"/>
                <w:color w:val="auto"/>
              </w:rPr>
            </w:pPr>
            <w:r>
              <w:rPr>
                <w:rFonts w:ascii="Arial" w:cs="Arial" w:eastAsia="Arial" w:hAnsi="Arial"/>
                <w:sz w:val="19"/>
                <w:szCs w:val="19"/>
                <w:color w:val="auto"/>
              </w:rPr>
              <w:t>Oracle America, Inc.</w:t>
            </w:r>
          </w:p>
        </w:tc>
      </w:tr>
      <w:tr>
        <w:trPr>
          <w:trHeight w:val="357"/>
        </w:trPr>
        <w:tc>
          <w:tcPr>
            <w:tcW w:w="3980" w:type="dxa"/>
            <w:vAlign w:val="bottom"/>
          </w:tcPr>
          <w:p>
            <w:pPr>
              <w:spacing w:after="0"/>
              <w:rPr>
                <w:sz w:val="20"/>
                <w:szCs w:val="20"/>
                <w:color w:val="auto"/>
              </w:rPr>
            </w:pPr>
            <w:r>
              <w:rPr>
                <w:rFonts w:ascii="Arial" w:cs="Arial" w:eastAsia="Arial" w:hAnsi="Arial"/>
                <w:sz w:val="19"/>
                <w:szCs w:val="19"/>
                <w:color w:val="auto"/>
              </w:rPr>
              <w:t>The University of North Carolina at Chapel Hill</w:t>
            </w:r>
          </w:p>
        </w:tc>
        <w:tc>
          <w:tcPr>
            <w:tcW w:w="3540" w:type="dxa"/>
            <w:vAlign w:val="bottom"/>
          </w:tcPr>
          <w:p>
            <w:pPr>
              <w:ind w:left="340"/>
              <w:spacing w:after="0"/>
              <w:rPr>
                <w:sz w:val="20"/>
                <w:szCs w:val="20"/>
                <w:color w:val="auto"/>
              </w:rPr>
            </w:pPr>
            <w:r>
              <w:rPr>
                <w:rFonts w:ascii="Arial" w:cs="Arial" w:eastAsia="Arial" w:hAnsi="Arial"/>
                <w:sz w:val="19"/>
                <w:szCs w:val="19"/>
                <w:color w:val="auto"/>
              </w:rPr>
              <w:t>Pandora Media, Inc.</w:t>
            </w:r>
          </w:p>
        </w:tc>
        <w:tc>
          <w:tcPr>
            <w:tcW w:w="2780" w:type="dxa"/>
            <w:vAlign w:val="bottom"/>
          </w:tcPr>
          <w:p>
            <w:pPr>
              <w:ind w:left="640"/>
              <w:spacing w:after="0"/>
              <w:rPr>
                <w:sz w:val="20"/>
                <w:szCs w:val="20"/>
                <w:color w:val="auto"/>
              </w:rPr>
            </w:pPr>
            <w:r>
              <w:rPr>
                <w:rFonts w:ascii="Arial" w:cs="Arial" w:eastAsia="Arial" w:hAnsi="Arial"/>
                <w:sz w:val="19"/>
                <w:szCs w:val="19"/>
                <w:color w:val="auto"/>
              </w:rPr>
              <w:t>VMware, Inc.</w:t>
            </w:r>
          </w:p>
        </w:tc>
      </w:tr>
      <w:tr>
        <w:trPr>
          <w:trHeight w:val="357"/>
        </w:trPr>
        <w:tc>
          <w:tcPr>
            <w:tcW w:w="3980" w:type="dxa"/>
            <w:vAlign w:val="bottom"/>
          </w:tcPr>
          <w:p>
            <w:pPr>
              <w:spacing w:after="0"/>
              <w:rPr>
                <w:sz w:val="20"/>
                <w:szCs w:val="20"/>
                <w:color w:val="auto"/>
              </w:rPr>
            </w:pPr>
            <w:r>
              <w:rPr>
                <w:rFonts w:ascii="Arial" w:cs="Arial" w:eastAsia="Arial" w:hAnsi="Arial"/>
                <w:sz w:val="19"/>
                <w:szCs w:val="19"/>
                <w:color w:val="auto"/>
              </w:rPr>
              <w:t>Yale University</w:t>
            </w:r>
          </w:p>
        </w:tc>
        <w:tc>
          <w:tcPr>
            <w:tcW w:w="3540" w:type="dxa"/>
            <w:vAlign w:val="bottom"/>
          </w:tcPr>
          <w:p>
            <w:pPr>
              <w:ind w:left="340"/>
              <w:spacing w:after="0"/>
              <w:rPr>
                <w:sz w:val="20"/>
                <w:szCs w:val="20"/>
                <w:color w:val="auto"/>
              </w:rPr>
            </w:pPr>
            <w:r>
              <w:rPr>
                <w:rFonts w:ascii="Arial" w:cs="Arial" w:eastAsia="Arial" w:hAnsi="Arial"/>
                <w:sz w:val="19"/>
                <w:szCs w:val="19"/>
                <w:color w:val="auto"/>
              </w:rPr>
              <w:t>United Talent Agency</w:t>
            </w:r>
          </w:p>
        </w:tc>
        <w:tc>
          <w:tcPr>
            <w:tcW w:w="2780" w:type="dxa"/>
            <w:vAlign w:val="bottom"/>
          </w:tcPr>
          <w:p>
            <w:pPr>
              <w:ind w:left="640"/>
              <w:spacing w:after="0"/>
              <w:rPr>
                <w:sz w:val="20"/>
                <w:szCs w:val="20"/>
                <w:color w:val="auto"/>
              </w:rPr>
            </w:pPr>
            <w:r>
              <w:rPr>
                <w:rFonts w:ascii="Arial" w:cs="Arial" w:eastAsia="Arial" w:hAnsi="Arial"/>
                <w:sz w:val="19"/>
                <w:szCs w:val="19"/>
                <w:color w:val="auto"/>
              </w:rPr>
              <w:t>Workday, Inc.</w:t>
            </w:r>
          </w:p>
        </w:tc>
      </w:tr>
    </w:tbl>
    <w:p>
      <w:pPr>
        <w:spacing w:after="0" w:line="252" w:lineRule="exact"/>
        <w:rPr>
          <w:sz w:val="20"/>
          <w:szCs w:val="20"/>
          <w:color w:val="auto"/>
        </w:rPr>
      </w:pPr>
    </w:p>
    <w:tbl>
      <w:tblPr>
        <w:tblLayout w:type="fixed"/>
        <w:tblInd w:w="180" w:type="dxa"/>
        <w:tblCellMar>
          <w:top w:w="0" w:type="dxa"/>
          <w:left w:w="0" w:type="dxa"/>
          <w:bottom w:w="0" w:type="dxa"/>
          <w:right w:w="0" w:type="dxa"/>
        </w:tblCellMar>
      </w:tblPr>
      <w:tr>
        <w:trPr>
          <w:trHeight w:val="247"/>
        </w:trPr>
        <w:tc>
          <w:tcPr>
            <w:tcW w:w="3640" w:type="dxa"/>
            <w:vAlign w:val="bottom"/>
          </w:tcPr>
          <w:p>
            <w:pPr>
              <w:spacing w:after="0"/>
              <w:rPr>
                <w:sz w:val="20"/>
                <w:szCs w:val="20"/>
                <w:color w:val="auto"/>
              </w:rPr>
            </w:pPr>
            <w:r>
              <w:rPr>
                <w:rFonts w:ascii="Arial" w:cs="Arial" w:eastAsia="Arial" w:hAnsi="Arial"/>
                <w:sz w:val="19"/>
                <w:szCs w:val="19"/>
                <w:b w:val="1"/>
                <w:bCs w:val="1"/>
                <w:color w:val="auto"/>
              </w:rPr>
              <w:t>Finance:</w:t>
            </w:r>
          </w:p>
        </w:tc>
        <w:tc>
          <w:tcPr>
            <w:tcW w:w="4040" w:type="dxa"/>
            <w:vAlign w:val="bottom"/>
          </w:tcPr>
          <w:p>
            <w:pPr>
              <w:ind w:left="680"/>
              <w:spacing w:after="0"/>
              <w:rPr>
                <w:sz w:val="20"/>
                <w:szCs w:val="20"/>
                <w:color w:val="auto"/>
              </w:rPr>
            </w:pPr>
            <w:r>
              <w:rPr>
                <w:rFonts w:ascii="Arial" w:cs="Arial" w:eastAsia="Arial" w:hAnsi="Arial"/>
                <w:sz w:val="19"/>
                <w:szCs w:val="19"/>
                <w:b w:val="1"/>
                <w:bCs w:val="1"/>
                <w:color w:val="auto"/>
              </w:rPr>
              <w:t>Healthcare:</w:t>
            </w:r>
          </w:p>
        </w:tc>
        <w:tc>
          <w:tcPr>
            <w:tcW w:w="3660" w:type="dxa"/>
            <w:vAlign w:val="bottom"/>
          </w:tcPr>
          <w:p>
            <w:pPr>
              <w:ind w:left="480"/>
              <w:spacing w:after="0"/>
              <w:rPr>
                <w:sz w:val="20"/>
                <w:szCs w:val="20"/>
                <w:color w:val="auto"/>
              </w:rPr>
            </w:pPr>
            <w:r>
              <w:rPr>
                <w:rFonts w:ascii="Arial" w:cs="Arial" w:eastAsia="Arial" w:hAnsi="Arial"/>
                <w:sz w:val="19"/>
                <w:szCs w:val="19"/>
                <w:b w:val="1"/>
                <w:bCs w:val="1"/>
                <w:color w:val="auto"/>
              </w:rPr>
              <w:t>Manufacturing:</w:t>
            </w:r>
          </w:p>
        </w:tc>
      </w:tr>
      <w:tr>
        <w:trPr>
          <w:trHeight w:val="357"/>
        </w:trPr>
        <w:tc>
          <w:tcPr>
            <w:tcW w:w="3640" w:type="dxa"/>
            <w:vAlign w:val="bottom"/>
          </w:tcPr>
          <w:p>
            <w:pPr>
              <w:spacing w:after="0"/>
              <w:rPr>
                <w:sz w:val="20"/>
                <w:szCs w:val="20"/>
                <w:color w:val="auto"/>
              </w:rPr>
            </w:pPr>
            <w:r>
              <w:rPr>
                <w:rFonts w:ascii="Arial" w:cs="Arial" w:eastAsia="Arial" w:hAnsi="Arial"/>
                <w:sz w:val="19"/>
                <w:szCs w:val="19"/>
                <w:color w:val="auto"/>
              </w:rPr>
              <w:t>Capital One Services, LLC</w:t>
            </w:r>
          </w:p>
        </w:tc>
        <w:tc>
          <w:tcPr>
            <w:tcW w:w="4040" w:type="dxa"/>
            <w:vAlign w:val="bottom"/>
          </w:tcPr>
          <w:p>
            <w:pPr>
              <w:ind w:left="680"/>
              <w:spacing w:after="0"/>
              <w:rPr>
                <w:sz w:val="20"/>
                <w:szCs w:val="20"/>
                <w:color w:val="auto"/>
              </w:rPr>
            </w:pPr>
            <w:r>
              <w:rPr>
                <w:rFonts w:ascii="Arial" w:cs="Arial" w:eastAsia="Arial" w:hAnsi="Arial"/>
                <w:sz w:val="19"/>
                <w:szCs w:val="19"/>
                <w:color w:val="auto"/>
              </w:rPr>
              <w:t>Boston Children’s Hospital</w:t>
            </w:r>
          </w:p>
        </w:tc>
        <w:tc>
          <w:tcPr>
            <w:tcW w:w="3660" w:type="dxa"/>
            <w:vAlign w:val="bottom"/>
          </w:tcPr>
          <w:p>
            <w:pPr>
              <w:ind w:left="480"/>
              <w:spacing w:after="0"/>
              <w:rPr>
                <w:sz w:val="20"/>
                <w:szCs w:val="20"/>
                <w:color w:val="auto"/>
              </w:rPr>
            </w:pPr>
            <w:r>
              <w:rPr>
                <w:rFonts w:ascii="Arial" w:cs="Arial" w:eastAsia="Arial" w:hAnsi="Arial"/>
                <w:sz w:val="19"/>
                <w:szCs w:val="19"/>
                <w:color w:val="auto"/>
                <w:w w:val="92"/>
              </w:rPr>
              <w:t>Aristocrat Technologies Australia Pty Ltd</w:t>
            </w:r>
          </w:p>
        </w:tc>
      </w:tr>
      <w:tr>
        <w:trPr>
          <w:trHeight w:val="357"/>
        </w:trPr>
        <w:tc>
          <w:tcPr>
            <w:tcW w:w="3640" w:type="dxa"/>
            <w:vAlign w:val="bottom"/>
          </w:tcPr>
          <w:p>
            <w:pPr>
              <w:spacing w:after="0"/>
              <w:rPr>
                <w:sz w:val="20"/>
                <w:szCs w:val="20"/>
                <w:color w:val="auto"/>
              </w:rPr>
            </w:pPr>
            <w:r>
              <w:rPr>
                <w:rFonts w:ascii="Arial" w:cs="Arial" w:eastAsia="Arial" w:hAnsi="Arial"/>
                <w:sz w:val="19"/>
                <w:szCs w:val="19"/>
                <w:color w:val="auto"/>
              </w:rPr>
              <w:t>LPL Financial</w:t>
            </w:r>
          </w:p>
        </w:tc>
        <w:tc>
          <w:tcPr>
            <w:tcW w:w="4040" w:type="dxa"/>
            <w:vAlign w:val="bottom"/>
          </w:tcPr>
          <w:p>
            <w:pPr>
              <w:ind w:left="680"/>
              <w:spacing w:after="0"/>
              <w:rPr>
                <w:sz w:val="20"/>
                <w:szCs w:val="20"/>
                <w:color w:val="auto"/>
              </w:rPr>
            </w:pPr>
            <w:r>
              <w:rPr>
                <w:rFonts w:ascii="Arial" w:cs="Arial" w:eastAsia="Arial" w:hAnsi="Arial"/>
                <w:sz w:val="19"/>
                <w:szCs w:val="19"/>
                <w:color w:val="auto"/>
              </w:rPr>
              <w:t>Medical Information Technology, Inc.</w:t>
            </w:r>
          </w:p>
        </w:tc>
        <w:tc>
          <w:tcPr>
            <w:tcW w:w="3660" w:type="dxa"/>
            <w:vAlign w:val="bottom"/>
          </w:tcPr>
          <w:p>
            <w:pPr>
              <w:ind w:left="480"/>
              <w:spacing w:after="0"/>
              <w:rPr>
                <w:sz w:val="20"/>
                <w:szCs w:val="20"/>
                <w:color w:val="auto"/>
              </w:rPr>
            </w:pPr>
            <w:r>
              <w:rPr>
                <w:rFonts w:ascii="Arial" w:cs="Arial" w:eastAsia="Arial" w:hAnsi="Arial"/>
                <w:sz w:val="19"/>
                <w:szCs w:val="19"/>
                <w:color w:val="auto"/>
              </w:rPr>
              <w:t>Cooper-Standard Automotive Inc.</w:t>
            </w:r>
          </w:p>
        </w:tc>
      </w:tr>
      <w:tr>
        <w:trPr>
          <w:trHeight w:val="357"/>
        </w:trPr>
        <w:tc>
          <w:tcPr>
            <w:tcW w:w="3640" w:type="dxa"/>
            <w:vAlign w:val="bottom"/>
          </w:tcPr>
          <w:p>
            <w:pPr>
              <w:spacing w:after="0"/>
              <w:rPr>
                <w:sz w:val="20"/>
                <w:szCs w:val="20"/>
                <w:color w:val="auto"/>
              </w:rPr>
            </w:pPr>
            <w:r>
              <w:rPr>
                <w:rFonts w:ascii="Arial" w:cs="Arial" w:eastAsia="Arial" w:hAnsi="Arial"/>
                <w:sz w:val="19"/>
                <w:szCs w:val="19"/>
                <w:color w:val="auto"/>
              </w:rPr>
              <w:t>National Australia Bank Limited</w:t>
            </w:r>
          </w:p>
        </w:tc>
        <w:tc>
          <w:tcPr>
            <w:tcW w:w="4040" w:type="dxa"/>
            <w:vAlign w:val="bottom"/>
          </w:tcPr>
          <w:p>
            <w:pPr>
              <w:ind w:left="680"/>
              <w:spacing w:after="0"/>
              <w:rPr>
                <w:sz w:val="20"/>
                <w:szCs w:val="20"/>
                <w:color w:val="auto"/>
              </w:rPr>
            </w:pPr>
            <w:r>
              <w:rPr>
                <w:rFonts w:ascii="Arial" w:cs="Arial" w:eastAsia="Arial" w:hAnsi="Arial"/>
                <w:sz w:val="19"/>
                <w:szCs w:val="19"/>
                <w:color w:val="auto"/>
              </w:rPr>
              <w:t>nib health fund limited</w:t>
            </w:r>
          </w:p>
        </w:tc>
        <w:tc>
          <w:tcPr>
            <w:tcW w:w="3660" w:type="dxa"/>
            <w:vAlign w:val="bottom"/>
          </w:tcPr>
          <w:p>
            <w:pPr>
              <w:ind w:left="480"/>
              <w:spacing w:after="0"/>
              <w:rPr>
                <w:sz w:val="20"/>
                <w:szCs w:val="20"/>
                <w:color w:val="auto"/>
              </w:rPr>
            </w:pPr>
            <w:r>
              <w:rPr>
                <w:rFonts w:ascii="Arial" w:cs="Arial" w:eastAsia="Arial" w:hAnsi="Arial"/>
                <w:sz w:val="19"/>
                <w:szCs w:val="19"/>
                <w:color w:val="auto"/>
              </w:rPr>
              <w:t>Flextronics International</w:t>
            </w:r>
          </w:p>
        </w:tc>
      </w:tr>
      <w:tr>
        <w:trPr>
          <w:trHeight w:val="357"/>
        </w:trPr>
        <w:tc>
          <w:tcPr>
            <w:tcW w:w="3640" w:type="dxa"/>
            <w:vAlign w:val="bottom"/>
          </w:tcPr>
          <w:p>
            <w:pPr>
              <w:spacing w:after="0"/>
              <w:rPr>
                <w:sz w:val="20"/>
                <w:szCs w:val="20"/>
                <w:color w:val="auto"/>
              </w:rPr>
            </w:pPr>
            <w:r>
              <w:rPr>
                <w:rFonts w:ascii="Arial" w:cs="Arial" w:eastAsia="Arial" w:hAnsi="Arial"/>
                <w:sz w:val="19"/>
                <w:szCs w:val="19"/>
                <w:color w:val="auto"/>
              </w:rPr>
              <w:t>Wells Fargo Bank, N.A.</w:t>
            </w:r>
          </w:p>
        </w:tc>
        <w:tc>
          <w:tcPr>
            <w:tcW w:w="4040" w:type="dxa"/>
            <w:vAlign w:val="bottom"/>
          </w:tcPr>
          <w:p>
            <w:pPr>
              <w:ind w:left="680"/>
              <w:spacing w:after="0"/>
              <w:rPr>
                <w:sz w:val="20"/>
                <w:szCs w:val="20"/>
                <w:color w:val="auto"/>
              </w:rPr>
            </w:pPr>
            <w:r>
              <w:rPr>
                <w:rFonts w:ascii="Arial" w:cs="Arial" w:eastAsia="Arial" w:hAnsi="Arial"/>
                <w:sz w:val="19"/>
                <w:szCs w:val="19"/>
                <w:color w:val="auto"/>
              </w:rPr>
              <w:t>Novant Health, Inc.</w:t>
            </w:r>
          </w:p>
        </w:tc>
        <w:tc>
          <w:tcPr>
            <w:tcW w:w="3660" w:type="dxa"/>
            <w:vAlign w:val="bottom"/>
          </w:tcPr>
          <w:p>
            <w:pPr>
              <w:ind w:left="480"/>
              <w:spacing w:after="0"/>
              <w:rPr>
                <w:sz w:val="20"/>
                <w:szCs w:val="20"/>
                <w:color w:val="auto"/>
              </w:rPr>
            </w:pPr>
            <w:r>
              <w:rPr>
                <w:rFonts w:ascii="Arial" w:cs="Arial" w:eastAsia="Arial" w:hAnsi="Arial"/>
                <w:sz w:val="19"/>
                <w:szCs w:val="19"/>
                <w:color w:val="auto"/>
              </w:rPr>
              <w:t>Management Services Ltd</w:t>
            </w:r>
          </w:p>
        </w:tc>
      </w:tr>
      <w:tr>
        <w:trPr>
          <w:trHeight w:val="357"/>
        </w:trPr>
        <w:tc>
          <w:tcPr>
            <w:tcW w:w="3640" w:type="dxa"/>
            <w:vAlign w:val="bottom"/>
          </w:tcPr>
          <w:p>
            <w:pPr>
              <w:spacing w:after="0"/>
              <w:rPr>
                <w:sz w:val="20"/>
                <w:szCs w:val="20"/>
                <w:color w:val="auto"/>
              </w:rPr>
            </w:pPr>
            <w:r>
              <w:rPr>
                <w:rFonts w:ascii="Arial" w:cs="Arial" w:eastAsia="Arial" w:hAnsi="Arial"/>
                <w:sz w:val="19"/>
                <w:szCs w:val="19"/>
                <w:color w:val="auto"/>
              </w:rPr>
              <w:t>Western Union Financial Services, Inc.</w:t>
            </w:r>
          </w:p>
        </w:tc>
        <w:tc>
          <w:tcPr>
            <w:tcW w:w="40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Arial" w:cs="Arial" w:eastAsia="Arial" w:hAnsi="Arial"/>
                <w:sz w:val="19"/>
                <w:szCs w:val="19"/>
                <w:color w:val="auto"/>
              </w:rPr>
              <w:t>LIXIL Group Corporation</w:t>
            </w:r>
          </w:p>
        </w:tc>
      </w:tr>
    </w:tbl>
    <w:p>
      <w:pPr>
        <w:spacing w:after="0" w:line="200" w:lineRule="exact"/>
        <w:rPr>
          <w:sz w:val="20"/>
          <w:szCs w:val="20"/>
          <w:color w:val="auto"/>
        </w:rPr>
      </w:pPr>
    </w:p>
    <w:p>
      <w:pPr>
        <w:sectPr>
          <w:pgSz w:w="12240" w:h="15840" w:orient="portrait"/>
          <w:cols w:equalWidth="0" w:num="1">
            <w:col w:w="11760"/>
          </w:cols>
          <w:pgMar w:left="120" w:top="336" w:right="360" w:bottom="1440" w:gutter="0" w:footer="0" w:header="0"/>
        </w:sectPr>
      </w:pPr>
    </w:p>
    <w:p>
      <w:pPr>
        <w:spacing w:after="0" w:line="52" w:lineRule="exact"/>
        <w:rPr>
          <w:sz w:val="20"/>
          <w:szCs w:val="20"/>
          <w:color w:val="auto"/>
        </w:rPr>
      </w:pPr>
    </w:p>
    <w:p>
      <w:pPr>
        <w:ind w:left="180" w:right="260"/>
        <w:spacing w:after="0" w:line="282" w:lineRule="auto"/>
        <w:rPr>
          <w:sz w:val="20"/>
          <w:szCs w:val="20"/>
          <w:color w:val="auto"/>
        </w:rPr>
      </w:pPr>
      <w:r>
        <w:rPr>
          <w:rFonts w:ascii="Arial" w:cs="Arial" w:eastAsia="Arial" w:hAnsi="Arial"/>
          <w:sz w:val="19"/>
          <w:szCs w:val="19"/>
          <w:b w:val="1"/>
          <w:bCs w:val="1"/>
          <w:color w:val="auto"/>
        </w:rPr>
        <w:t>Non-Profit, Not for Profit, and Social Impact Organizations: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Chan Zuckerberg Initiative, LLC</w:t>
      </w:r>
    </w:p>
    <w:p>
      <w:pPr>
        <w:spacing w:after="0" w:line="138" w:lineRule="exact"/>
        <w:rPr>
          <w:sz w:val="20"/>
          <w:szCs w:val="20"/>
          <w:color w:val="auto"/>
        </w:rPr>
      </w:pPr>
    </w:p>
    <w:p>
      <w:pPr>
        <w:ind w:left="180"/>
        <w:spacing w:after="0" w:line="275" w:lineRule="auto"/>
        <w:rPr>
          <w:sz w:val="20"/>
          <w:szCs w:val="20"/>
          <w:color w:val="auto"/>
        </w:rPr>
      </w:pPr>
      <w:r>
        <w:rPr>
          <w:rFonts w:ascii="Arial" w:cs="Arial" w:eastAsia="Arial" w:hAnsi="Arial"/>
          <w:sz w:val="19"/>
          <w:szCs w:val="19"/>
          <w:color w:val="auto"/>
        </w:rPr>
        <w:t>Cooperative for Assistance and Relief Everywhere, Inc. (CARE USA)</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Teach for America, Inc.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b w:val="1"/>
          <w:bCs w:val="1"/>
          <w:color w:val="auto"/>
        </w:rPr>
        <w:t>Retail/Consumer Products:</w:t>
      </w:r>
      <w:r>
        <w:rPr>
          <w:sz w:val="20"/>
          <w:szCs w:val="20"/>
          <w:color w:val="auto"/>
        </w:rPr>
        <w:tab/>
      </w:r>
      <w:r>
        <w:rPr>
          <w:rFonts w:ascii="Arial" w:cs="Arial" w:eastAsia="Arial" w:hAnsi="Arial"/>
          <w:sz w:val="17"/>
          <w:szCs w:val="17"/>
          <w:b w:val="1"/>
          <w:bCs w:val="1"/>
          <w:color w:val="auto"/>
        </w:rPr>
        <w:t>Software and Internet:</w:t>
      </w:r>
    </w:p>
    <w:p>
      <w:pPr>
        <w:spacing w:after="0" w:line="144"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Diageo Great Britain Limited</w:t>
      </w:r>
      <w:r>
        <w:rPr>
          <w:sz w:val="20"/>
          <w:szCs w:val="20"/>
          <w:color w:val="auto"/>
        </w:rPr>
        <w:tab/>
      </w:r>
      <w:r>
        <w:rPr>
          <w:rFonts w:ascii="Arial" w:cs="Arial" w:eastAsia="Arial" w:hAnsi="Arial"/>
          <w:sz w:val="17"/>
          <w:szCs w:val="17"/>
          <w:color w:val="auto"/>
        </w:rPr>
        <w:t>ServiceNow,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Gap Inc.</w:t>
      </w:r>
      <w:r>
        <w:rPr>
          <w:sz w:val="20"/>
          <w:szCs w:val="20"/>
          <w:color w:val="auto"/>
        </w:rPr>
        <w:tab/>
      </w:r>
      <w:r>
        <w:rPr>
          <w:rFonts w:ascii="Arial" w:cs="Arial" w:eastAsia="Arial" w:hAnsi="Arial"/>
          <w:sz w:val="17"/>
          <w:szCs w:val="17"/>
          <w:color w:val="auto"/>
        </w:rPr>
        <w:t>Splunk Inc.</w:t>
      </w:r>
    </w:p>
    <w:p>
      <w:pPr>
        <w:spacing w:after="0" w:line="138" w:lineRule="exact"/>
        <w:rPr>
          <w:sz w:val="20"/>
          <w:szCs w:val="20"/>
          <w:color w:val="auto"/>
        </w:rPr>
      </w:pPr>
    </w:p>
    <w:p>
      <w:pPr>
        <w:spacing w:after="0"/>
        <w:tabs>
          <w:tab w:leader="none" w:pos="3820" w:val="left"/>
        </w:tabs>
        <w:rPr>
          <w:sz w:val="20"/>
          <w:szCs w:val="20"/>
          <w:color w:val="auto"/>
        </w:rPr>
      </w:pPr>
      <w:r>
        <w:rPr>
          <w:rFonts w:ascii="Arial" w:cs="Arial" w:eastAsia="Arial" w:hAnsi="Arial"/>
          <w:sz w:val="19"/>
          <w:szCs w:val="19"/>
          <w:color w:val="auto"/>
        </w:rPr>
        <w:t>H-E-B Grocery Company, LP</w:t>
      </w:r>
      <w:r>
        <w:rPr>
          <w:sz w:val="20"/>
          <w:szCs w:val="20"/>
          <w:color w:val="auto"/>
        </w:rPr>
        <w:tab/>
      </w:r>
      <w:r>
        <w:rPr>
          <w:rFonts w:ascii="Arial" w:cs="Arial" w:eastAsia="Arial" w:hAnsi="Arial"/>
          <w:sz w:val="17"/>
          <w:szCs w:val="17"/>
          <w:color w:val="auto"/>
        </w:rPr>
        <w:t>Uber Technologies Inc.</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Southern Glazer’s Wine and Spirits, LLC</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Williams-Sonoma Inc.</w:t>
      </w:r>
    </w:p>
    <w:p>
      <w:pPr>
        <w:spacing w:after="0" w:line="200" w:lineRule="exact"/>
        <w:rPr>
          <w:sz w:val="20"/>
          <w:szCs w:val="20"/>
          <w:color w:val="auto"/>
        </w:rPr>
      </w:pPr>
    </w:p>
    <w:p>
      <w:pPr>
        <w:sectPr>
          <w:pgSz w:w="12240" w:h="15840" w:orient="portrait"/>
          <w:cols w:equalWidth="0" w:num="2">
            <w:col w:w="4080" w:space="420"/>
            <w:col w:w="7260"/>
          </w:cols>
          <w:pgMar w:left="120" w:top="336" w:right="360" w:bottom="1440" w:gutter="0" w:footer="0" w:header="0"/>
          <w:type w:val="continuous"/>
        </w:sectPr>
      </w:pPr>
    </w:p>
    <w:p>
      <w:pPr>
        <w:spacing w:after="0" w:line="16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Customer Case Studies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are representative examples of how some of our customers have benefitted from adopting Zoom:</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Chan Zuckerberg Initiative</w:t>
      </w:r>
    </w:p>
    <w:p>
      <w:pPr>
        <w:spacing w:after="0" w:line="130"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The Chan Zuckerberg Initiative (CZI) is a philanthropic organization focused on using technology to help solve intractable challenges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83</w:t>
      </w:r>
    </w:p>
    <w:p>
      <w:pPr>
        <w:sectPr>
          <w:pgSz w:w="12240" w:h="15840" w:orient="portrait"/>
          <w:cols w:equalWidth="0" w:num="1">
            <w:col w:w="11760"/>
          </w:cols>
          <w:pgMar w:left="120" w:top="336" w:right="360" w:bottom="1440" w:gutter="0" w:footer="0" w:header="0"/>
          <w:type w:val="continuous"/>
        </w:sectPr>
      </w:pPr>
    </w:p>
    <w:bookmarkStart w:id="88" w:name="page89"/>
    <w:bookmarkEnd w:id="8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CZI deployed Zoom across the organization, initially for mostly internal meetings, but rapidly expanded to global internal and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Discovery Communications, LLC</w:t>
      </w:r>
    </w:p>
    <w:p>
      <w:pPr>
        <w:spacing w:after="0" w:line="130"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i w:val="1"/>
          <w:iCs w:val="1"/>
          <w:color w:val="auto"/>
        </w:rPr>
        <w:t>Situation</w:t>
      </w:r>
      <w:r>
        <w:rPr>
          <w:rFonts w:ascii="Arial" w:cs="Arial" w:eastAsia="Arial" w:hAnsi="Arial"/>
          <w:sz w:val="19"/>
          <w:szCs w:val="19"/>
          <w:color w:val="auto"/>
        </w:rPr>
        <w:t>: Discovery Communications, LLC (Discovery) is a global leader in real life entertainment, with more than 150 worldwide cable TV</w:t>
      </w:r>
      <w:r>
        <w:rPr>
          <w:rFonts w:ascii="Arial" w:cs="Arial" w:eastAsia="Arial" w:hAnsi="Arial"/>
          <w:sz w:val="19"/>
          <w:szCs w:val="19"/>
          <w:i w:val="1"/>
          <w:iCs w:val="1"/>
          <w:color w:val="auto"/>
        </w:rPr>
        <w:t xml:space="preserve"> </w:t>
      </w:r>
      <w:r>
        <w:rPr>
          <w:rFonts w:ascii="Arial" w:cs="Arial" w:eastAsia="Arial" w:hAnsi="Arial"/>
          <w:sz w:val="19"/>
          <w:szCs w:val="19"/>
          <w:color w:val="auto"/>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20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i w:val="1"/>
          <w:iCs w:val="1"/>
          <w:color w:val="auto"/>
        </w:rPr>
        <w:t>Solution</w:t>
      </w:r>
      <w:r>
        <w:rPr>
          <w:rFonts w:ascii="Arial" w:cs="Arial" w:eastAsia="Arial" w:hAnsi="Arial"/>
          <w:sz w:val="19"/>
          <w:szCs w:val="19"/>
          <w:color w:val="auto"/>
        </w:rPr>
        <w:t>: In 2018, Discovery chose Zoom as its communication platform to unify video communications across desktop, mobile and conference</w:t>
      </w:r>
      <w:r>
        <w:rPr>
          <w:rFonts w:ascii="Arial" w:cs="Arial" w:eastAsia="Arial" w:hAnsi="Arial"/>
          <w:sz w:val="19"/>
          <w:szCs w:val="19"/>
          <w:i w:val="1"/>
          <w:iCs w:val="1"/>
          <w:color w:val="auto"/>
        </w:rPr>
        <w:t xml:space="preserve"> </w:t>
      </w:r>
      <w:r>
        <w:rPr>
          <w:rFonts w:ascii="Arial" w:cs="Arial" w:eastAsia="Arial" w:hAnsi="Arial"/>
          <w:sz w:val="19"/>
          <w:szCs w:val="19"/>
          <w:color w:val="auto"/>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Discovery to share and collaborate on streaming content, such as television episodes and commercials, over Zoom. Discovery also makes frequent use of Zoom’s Microsoft Outlook and Workplace by Facebook integrations, through which Discovery’s workforce can directly broadcast from the Zoom client to Workplace.</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F5 Networks, Inc.</w:t>
      </w:r>
    </w:p>
    <w:p>
      <w:pPr>
        <w:spacing w:after="0" w:line="130"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i w:val="1"/>
          <w:iCs w:val="1"/>
          <w:color w:val="auto"/>
        </w:rPr>
        <w:t>Situation</w:t>
      </w:r>
      <w:r>
        <w:rPr>
          <w:rFonts w:ascii="Arial" w:cs="Arial" w:eastAsia="Arial" w:hAnsi="Arial"/>
          <w:sz w:val="19"/>
          <w:szCs w:val="19"/>
          <w:color w:val="auto"/>
        </w:rPr>
        <w:t>: F5 Networks, Inc. (F5) delivers cloud and application security services to the world’s largest businesses, service providers,</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20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In May 2018, F5 chose Zoom to replace all four providers it had been using for communication and collaboration. F5 rolled out Zoom in</w:t>
      </w:r>
      <w:r>
        <w:rPr>
          <w:rFonts w:ascii="Arial" w:cs="Arial" w:eastAsia="Arial" w:hAnsi="Arial"/>
          <w:sz w:val="18"/>
          <w:szCs w:val="18"/>
          <w:i w:val="1"/>
          <w:iCs w:val="1"/>
          <w:color w:val="auto"/>
        </w:rPr>
        <w:t xml:space="preserve"> </w:t>
      </w:r>
      <w:r>
        <w:rPr>
          <w:rFonts w:ascii="Arial" w:cs="Arial" w:eastAsia="Arial" w:hAnsi="Arial"/>
          <w:sz w:val="18"/>
          <w:szCs w:val="18"/>
          <w:color w:val="auto"/>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84</w:t>
      </w:r>
    </w:p>
    <w:p>
      <w:pPr>
        <w:sectPr>
          <w:pgSz w:w="12240" w:h="15840" w:orient="portrait"/>
          <w:cols w:equalWidth="0" w:num="1">
            <w:col w:w="11800"/>
          </w:cols>
          <w:pgMar w:left="120" w:top="336" w:right="320" w:bottom="1440" w:gutter="0" w:footer="0" w:header="0"/>
        </w:sectPr>
      </w:pPr>
    </w:p>
    <w:bookmarkStart w:id="89" w:name="page90"/>
    <w:bookmarkEnd w:id="8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National Australia Bank</w:t>
      </w:r>
    </w:p>
    <w:p>
      <w:pPr>
        <w:spacing w:after="0" w:line="130" w:lineRule="exact"/>
        <w:rPr>
          <w:sz w:val="20"/>
          <w:szCs w:val="20"/>
          <w:color w:val="auto"/>
        </w:rPr>
      </w:pPr>
    </w:p>
    <w:p>
      <w:pPr>
        <w:ind w:left="180" w:right="220" w:firstLine="465"/>
        <w:spacing w:after="0" w:line="284"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National Australia Bank (NAB) is Australia’s largest business bank, with 33,000 employees serving 9 million customers at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78"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NAB extensively tested a variety of services, simulating, in particular, low bandwidth environments given its broad local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Uber Technologies Inc.</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i w:val="1"/>
          <w:iCs w:val="1"/>
          <w:color w:val="auto"/>
        </w:rPr>
        <w:t>Situation</w:t>
      </w:r>
      <w:r>
        <w:rPr>
          <w:rFonts w:ascii="Arial" w:cs="Arial" w:eastAsia="Arial" w:hAnsi="Arial"/>
          <w:sz w:val="19"/>
          <w:szCs w:val="19"/>
          <w:color w:val="auto"/>
        </w:rPr>
        <w:t>: Uber Technologies Inc. (Uber) is a global company whose mission is to ignite opportunity by setting the world in motion. Uber has</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204" w:lineRule="exact"/>
        <w:rPr>
          <w:sz w:val="20"/>
          <w:szCs w:val="20"/>
          <w:color w:val="auto"/>
        </w:rPr>
      </w:pPr>
    </w:p>
    <w:p>
      <w:pPr>
        <w:ind w:left="180" w:right="80" w:firstLine="465"/>
        <w:spacing w:after="0" w:line="298"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Uber deployed Zoom in 2014 across its organization. Zoom was able to match Uber’s swift growth as it expanded around the world and</w:t>
      </w:r>
      <w:r>
        <w:rPr>
          <w:rFonts w:ascii="Arial" w:cs="Arial" w:eastAsia="Arial" w:hAnsi="Arial"/>
          <w:sz w:val="17"/>
          <w:szCs w:val="17"/>
          <w:i w:val="1"/>
          <w:iCs w:val="1"/>
          <w:color w:val="auto"/>
        </w:rPr>
        <w:t xml:space="preserve"> </w:t>
      </w:r>
      <w:r>
        <w:rPr>
          <w:rFonts w:ascii="Arial" w:cs="Arial" w:eastAsia="Arial" w:hAnsi="Arial"/>
          <w:sz w:val="17"/>
          <w:szCs w:val="17"/>
          <w:color w:val="auto"/>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VMware, Inc.</w:t>
      </w:r>
    </w:p>
    <w:p>
      <w:pPr>
        <w:spacing w:after="0" w:line="130"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i w:val="1"/>
          <w:iCs w:val="1"/>
          <w:color w:val="auto"/>
        </w:rPr>
        <w:t>Situation</w:t>
      </w:r>
      <w:r>
        <w:rPr>
          <w:rFonts w:ascii="Arial" w:cs="Arial" w:eastAsia="Arial" w:hAnsi="Arial"/>
          <w:sz w:val="19"/>
          <w:szCs w:val="19"/>
          <w:color w:val="auto"/>
        </w:rPr>
        <w:t>: VMware, Inc. (VMware) is a provider of cloud computing and platform virtualization software and services with over 21,000</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204" w:lineRule="exact"/>
        <w:rPr>
          <w:sz w:val="20"/>
          <w:szCs w:val="20"/>
          <w:color w:val="auto"/>
        </w:rPr>
      </w:pPr>
    </w:p>
    <w:p>
      <w:pPr>
        <w:ind w:left="180" w:right="100" w:firstLine="465"/>
        <w:spacing w:after="0" w:line="271"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VMware rolled out Zoom across the company starting in December 2017. In January 2019, VMware had over 19,000 Zoom users who</w:t>
      </w:r>
      <w:r>
        <w:rPr>
          <w:rFonts w:ascii="Arial" w:cs="Arial" w:eastAsia="Arial" w:hAnsi="Arial"/>
          <w:sz w:val="18"/>
          <w:szCs w:val="18"/>
          <w:i w:val="1"/>
          <w:iCs w:val="1"/>
          <w:color w:val="auto"/>
        </w:rPr>
        <w:t xml:space="preserve"> </w:t>
      </w:r>
      <w:r>
        <w:rPr>
          <w:rFonts w:ascii="Arial" w:cs="Arial" w:eastAsia="Arial" w:hAnsi="Arial"/>
          <w:sz w:val="18"/>
          <w:szCs w:val="18"/>
          <w:color w:val="auto"/>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Marketo, Slack, Microsoft Teams and Salesforce Pardot. VMware has achieved significant cost savings by using Zoom VoIP in place of PSTN. Employees are overwhelmingly happy with Zoom. Zoom’s average monthly CSAT for VMware employees using Zoom from December 2017 through November 2018 was 96%, as measured by customer surveys. Zoom has become more than just a vendor for VMware, as improving employee experience is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85</w:t>
      </w:r>
    </w:p>
    <w:p>
      <w:pPr>
        <w:sectPr>
          <w:pgSz w:w="12240" w:h="15840" w:orient="portrait"/>
          <w:cols w:equalWidth="0" w:num="1">
            <w:col w:w="11800"/>
          </w:cols>
          <w:pgMar w:left="120" w:top="336" w:right="320" w:bottom="1440" w:gutter="0" w:footer="0" w:header="0"/>
        </w:sectPr>
      </w:pPr>
    </w:p>
    <w:bookmarkStart w:id="90" w:name="page91"/>
    <w:bookmarkEnd w:id="9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80"/>
        <w:spacing w:after="0" w:line="275" w:lineRule="auto"/>
        <w:rPr>
          <w:sz w:val="20"/>
          <w:szCs w:val="20"/>
          <w:color w:val="auto"/>
        </w:rPr>
      </w:pPr>
      <w:r>
        <w:rPr>
          <w:rFonts w:ascii="Arial" w:cs="Arial" w:eastAsia="Arial" w:hAnsi="Arial"/>
          <w:sz w:val="19"/>
          <w:szCs w:val="19"/>
          <w:color w:val="auto"/>
        </w:rPr>
        <w:t>a key transformation program for IT. With Zoom solutions integrated with VMware Workspace ONE, deployment has been flawless and the one-touch sign-on features have been well-received by users.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Sales</w:t>
      </w:r>
    </w:p>
    <w:p>
      <w:pPr>
        <w:spacing w:after="0" w:line="130" w:lineRule="exact"/>
        <w:rPr>
          <w:sz w:val="20"/>
          <w:szCs w:val="20"/>
          <w:color w:val="auto"/>
        </w:rPr>
      </w:pPr>
    </w:p>
    <w:p>
      <w:pPr>
        <w:ind w:left="180" w:right="220" w:firstLine="465"/>
        <w:spacing w:after="0" w:line="291" w:lineRule="auto"/>
        <w:rPr>
          <w:sz w:val="20"/>
          <w:szCs w:val="20"/>
          <w:color w:val="auto"/>
        </w:rPr>
      </w:pPr>
      <w:r>
        <w:rPr>
          <w:rFonts w:ascii="Arial" w:cs="Arial" w:eastAsia="Arial" w:hAnsi="Arial"/>
          <w:sz w:val="17"/>
          <w:szCs w:val="17"/>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Marketing</w:t>
      </w:r>
    </w:p>
    <w:p>
      <w:pPr>
        <w:spacing w:after="0" w:line="130" w:lineRule="exact"/>
        <w:rPr>
          <w:sz w:val="20"/>
          <w:szCs w:val="20"/>
          <w:color w:val="auto"/>
        </w:rPr>
      </w:pPr>
    </w:p>
    <w:p>
      <w:pPr>
        <w:ind w:left="180" w:right="60" w:firstLine="465"/>
        <w:spacing w:after="0" w:line="255" w:lineRule="auto"/>
        <w:rPr>
          <w:sz w:val="20"/>
          <w:szCs w:val="20"/>
          <w:color w:val="auto"/>
        </w:rPr>
      </w:pPr>
      <w:r>
        <w:rPr>
          <w:rFonts w:ascii="Arial" w:cs="Arial" w:eastAsia="Arial" w:hAnsi="Arial"/>
          <w:sz w:val="19"/>
          <w:szCs w:val="19"/>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Research and Development</w:t>
      </w:r>
    </w:p>
    <w:p>
      <w:pPr>
        <w:spacing w:after="0" w:line="130"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Competition</w:t>
      </w:r>
    </w:p>
    <w:p>
      <w:pPr>
        <w:spacing w:after="0" w:line="130" w:lineRule="exact"/>
        <w:rPr>
          <w:sz w:val="20"/>
          <w:szCs w:val="20"/>
          <w:color w:val="auto"/>
        </w:rPr>
      </w:pPr>
    </w:p>
    <w:p>
      <w:pPr>
        <w:ind w:left="180" w:right="100" w:firstLine="465"/>
        <w:spacing w:after="0" w:line="255" w:lineRule="auto"/>
        <w:rPr>
          <w:sz w:val="20"/>
          <w:szCs w:val="20"/>
          <w:color w:val="auto"/>
        </w:rPr>
      </w:pPr>
      <w:r>
        <w:rPr>
          <w:rFonts w:ascii="Arial" w:cs="Arial" w:eastAsia="Arial" w:hAnsi="Arial"/>
          <w:sz w:val="19"/>
          <w:szCs w:val="19"/>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bundled productivity solutions providers with basic video functionality, including Google, and point solutions providers, including LogMeIn. Our introduction of Zoom Phone may lead to competition with legacy PBX providers.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We believe we compete favorably based on the following competitive factors:</w:t>
      </w:r>
    </w:p>
    <w:p>
      <w:pPr>
        <w:spacing w:after="0" w:line="138" w:lineRule="exact"/>
        <w:rPr>
          <w:sz w:val="20"/>
          <w:szCs w:val="20"/>
          <w:color w:val="auto"/>
        </w:rPr>
      </w:pPr>
    </w:p>
    <w:p>
      <w:pPr>
        <w:ind w:left="1100" w:hanging="464"/>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video-first platform;</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cloud-native architecture;</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functionality and scalability;</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ease of use and reliability;</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86</w:t>
      </w:r>
    </w:p>
    <w:p>
      <w:pPr>
        <w:sectPr>
          <w:pgSz w:w="12240" w:h="15840" w:orient="portrait"/>
          <w:cols w:equalWidth="0" w:num="1">
            <w:col w:w="11820"/>
          </w:cols>
          <w:pgMar w:left="120" w:top="336" w:right="300" w:bottom="1440" w:gutter="0" w:footer="0" w:header="0"/>
        </w:sectPr>
      </w:pPr>
    </w:p>
    <w:bookmarkStart w:id="91" w:name="page92"/>
    <w:bookmarkEnd w:id="9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ability to utilize existing infrastructure such as legacy conference room hardware;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low total cost of ownership.</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Intellectual Property</w:t>
      </w:r>
    </w:p>
    <w:p>
      <w:pPr>
        <w:spacing w:after="0" w:line="130"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81"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Legal Proceedings</w:t>
      </w:r>
    </w:p>
    <w:p>
      <w:pPr>
        <w:spacing w:after="0" w:line="130"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Facilities</w:t>
      </w:r>
    </w:p>
    <w:p>
      <w:pPr>
        <w:spacing w:after="0" w:line="130"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Our corporate headquarters is located in San Jose, California, where we lease approximately 52,700 square feet of commercial space pursuant to operating leases that expire in 2027. In addition, we maintain additional offices in the United States and internationally in Australia, China and the United Kingdom. We believe that our facilities are suitable to meet our current needs.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Our Employees</w:t>
      </w:r>
    </w:p>
    <w:p>
      <w:pPr>
        <w:spacing w:after="0" w:line="130" w:lineRule="exact"/>
        <w:rPr>
          <w:sz w:val="20"/>
          <w:szCs w:val="20"/>
          <w:color w:val="auto"/>
        </w:rPr>
      </w:pPr>
    </w:p>
    <w:p>
      <w:pPr>
        <w:jc w:val="both"/>
        <w:ind w:left="180" w:right="260" w:firstLine="465"/>
        <w:spacing w:after="0" w:line="263" w:lineRule="auto"/>
        <w:rPr>
          <w:sz w:val="20"/>
          <w:szCs w:val="20"/>
          <w:color w:val="auto"/>
        </w:rPr>
      </w:pPr>
      <w:r>
        <w:rPr>
          <w:rFonts w:ascii="Arial" w:cs="Arial" w:eastAsia="Arial" w:hAnsi="Arial"/>
          <w:sz w:val="19"/>
          <w:szCs w:val="19"/>
          <w:color w:val="auto"/>
        </w:rPr>
        <w:t>As of January 31, 2019, we had 1,701 full-time employees. Of these employees, 1,011 are in the United States and 690 are in our international locations. None of our employees are represented by a labor union or covered by collective bargaining agreements, and we have not experienced any work stoppages.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87</w:t>
      </w:r>
    </w:p>
    <w:p>
      <w:pPr>
        <w:sectPr>
          <w:pgSz w:w="12240" w:h="15840" w:orient="portrait"/>
          <w:cols w:equalWidth="0" w:num="1">
            <w:col w:w="11760"/>
          </w:cols>
          <w:pgMar w:left="120" w:top="336" w:right="360" w:bottom="1440" w:gutter="0" w:footer="0" w:header="0"/>
        </w:sectPr>
      </w:pPr>
    </w:p>
    <w:bookmarkStart w:id="92" w:name="page93"/>
    <w:bookmarkEnd w:id="9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MANAGEMENT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 and Directors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sets forth information for our executive officers and directors as of February 1, 2019:</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180" w:type="dxa"/>
            <w:vAlign w:val="bottom"/>
            <w:gridSpan w:val="3"/>
          </w:tcPr>
          <w:p>
            <w:pPr>
              <w:spacing w:after="0"/>
              <w:rPr>
                <w:sz w:val="20"/>
                <w:szCs w:val="20"/>
                <w:color w:val="auto"/>
              </w:rPr>
            </w:pPr>
            <w:r>
              <w:rPr>
                <w:rFonts w:ascii="Arial" w:cs="Arial" w:eastAsia="Arial" w:hAnsi="Arial"/>
                <w:sz w:val="15"/>
                <w:szCs w:val="15"/>
                <w:b w:val="1"/>
                <w:bCs w:val="1"/>
                <w:color w:val="auto"/>
              </w:rPr>
              <w:t>Name</w:t>
            </w:r>
          </w:p>
        </w:tc>
        <w:tc>
          <w:tcPr>
            <w:tcW w:w="1360" w:type="dxa"/>
            <w:vAlign w:val="bottom"/>
            <w:gridSpan w:val="2"/>
          </w:tcPr>
          <w:p>
            <w:pPr>
              <w:ind w:left="1120"/>
              <w:spacing w:after="0"/>
              <w:rPr>
                <w:sz w:val="20"/>
                <w:szCs w:val="20"/>
                <w:color w:val="auto"/>
              </w:rPr>
            </w:pPr>
            <w:r>
              <w:rPr>
                <w:rFonts w:ascii="Arial" w:cs="Arial" w:eastAsia="Arial" w:hAnsi="Arial"/>
                <w:sz w:val="15"/>
                <w:szCs w:val="15"/>
                <w:b w:val="1"/>
                <w:bCs w:val="1"/>
                <w:color w:val="auto"/>
                <w:w w:val="77"/>
              </w:rPr>
              <w:t>Age</w:t>
            </w:r>
          </w:p>
        </w:tc>
        <w:tc>
          <w:tcPr>
            <w:tcW w:w="240" w:type="dxa"/>
            <w:vAlign w:val="bottom"/>
          </w:tcPr>
          <w:p>
            <w:pPr>
              <w:spacing w:after="0"/>
              <w:rPr>
                <w:sz w:val="15"/>
                <w:szCs w:val="15"/>
                <w:color w:val="auto"/>
              </w:rPr>
            </w:pPr>
          </w:p>
        </w:tc>
        <w:tc>
          <w:tcPr>
            <w:tcW w:w="6860" w:type="dxa"/>
            <w:vAlign w:val="bottom"/>
            <w:gridSpan w:val="2"/>
          </w:tcPr>
          <w:p>
            <w:pPr>
              <w:spacing w:after="0"/>
              <w:rPr>
                <w:sz w:val="20"/>
                <w:szCs w:val="20"/>
                <w:color w:val="auto"/>
              </w:rPr>
            </w:pPr>
            <w:r>
              <w:rPr>
                <w:rFonts w:ascii="Arial" w:cs="Arial" w:eastAsia="Arial" w:hAnsi="Arial"/>
                <w:sz w:val="15"/>
                <w:szCs w:val="15"/>
                <w:b w:val="1"/>
                <w:bCs w:val="1"/>
                <w:color w:val="auto"/>
              </w:rPr>
              <w:t>Position</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b w:val="1"/>
                <w:bCs w:val="1"/>
                <w:i w:val="1"/>
                <w:iCs w:val="1"/>
                <w:color w:val="auto"/>
              </w:rPr>
              <w:t>Executive Officers</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Eric S. Yuan</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48</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President, Chief Executive Officer and Chairman of the Board</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Aparna Bawa</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41</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General Counsel and Secretary</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Janine Pelosi</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36</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Head of Marketing and Online Business</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Kelly Steckelberg</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51</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Chief Financial Officer</w:t>
            </w:r>
          </w:p>
        </w:tc>
        <w:tc>
          <w:tcPr>
            <w:tcW w:w="0" w:type="dxa"/>
            <w:vAlign w:val="bottom"/>
          </w:tcPr>
          <w:p>
            <w:pPr>
              <w:spacing w:after="0"/>
              <w:rPr>
                <w:sz w:val="1"/>
                <w:szCs w:val="1"/>
                <w:color w:val="auto"/>
              </w:rPr>
            </w:pPr>
          </w:p>
        </w:tc>
      </w:tr>
      <w:tr>
        <w:trPr>
          <w:trHeight w:val="455"/>
        </w:trPr>
        <w:tc>
          <w:tcPr>
            <w:tcW w:w="318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Non-Employee Directors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(1)</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52</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Carl M. Eschenbach</w:t>
            </w:r>
            <w:r>
              <w:rPr>
                <w:rFonts w:ascii="Arial" w:cs="Arial" w:eastAsia="Arial" w:hAnsi="Arial"/>
                <w:sz w:val="16"/>
                <w:szCs w:val="16"/>
                <w:color w:val="auto"/>
              </w:rPr>
              <w:t>(1)</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52</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Peter Gassner</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53</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Kimberly L. Hammonds</w:t>
            </w:r>
            <w:r>
              <w:rPr>
                <w:rFonts w:ascii="Arial" w:cs="Arial" w:eastAsia="Arial" w:hAnsi="Arial"/>
                <w:sz w:val="16"/>
                <w:szCs w:val="16"/>
                <w:color w:val="auto"/>
              </w:rPr>
              <w:t>(3)</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51</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Dan Scheinman</w:t>
            </w:r>
            <w:r>
              <w:rPr>
                <w:rFonts w:ascii="Arial" w:cs="Arial" w:eastAsia="Arial" w:hAnsi="Arial"/>
                <w:sz w:val="16"/>
                <w:szCs w:val="16"/>
                <w:color w:val="auto"/>
              </w:rPr>
              <w:t>(1)(2)</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55</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Lead Independent Director</w:t>
            </w:r>
          </w:p>
        </w:tc>
        <w:tc>
          <w:tcPr>
            <w:tcW w:w="0" w:type="dxa"/>
            <w:vAlign w:val="bottom"/>
          </w:tcPr>
          <w:p>
            <w:pPr>
              <w:spacing w:after="0"/>
              <w:rPr>
                <w:sz w:val="1"/>
                <w:szCs w:val="1"/>
                <w:color w:val="auto"/>
              </w:rPr>
            </w:pPr>
          </w:p>
        </w:tc>
      </w:tr>
      <w:tr>
        <w:trPr>
          <w:trHeight w:val="298"/>
        </w:trPr>
        <w:tc>
          <w:tcPr>
            <w:tcW w:w="3180" w:type="dxa"/>
            <w:vAlign w:val="bottom"/>
            <w:gridSpan w:val="3"/>
          </w:tcPr>
          <w:p>
            <w:pPr>
              <w:spacing w:after="0"/>
              <w:rPr>
                <w:sz w:val="20"/>
                <w:szCs w:val="20"/>
                <w:color w:val="auto"/>
              </w:rPr>
            </w:pPr>
            <w:r>
              <w:rPr>
                <w:rFonts w:ascii="Arial" w:cs="Arial" w:eastAsia="Arial" w:hAnsi="Arial"/>
                <w:sz w:val="19"/>
                <w:szCs w:val="19"/>
                <w:color w:val="auto"/>
              </w:rPr>
              <w:t>Santiago Subotovsky</w:t>
            </w:r>
            <w:r>
              <w:rPr>
                <w:rFonts w:ascii="Arial" w:cs="Arial" w:eastAsia="Arial" w:hAnsi="Arial"/>
                <w:sz w:val="16"/>
                <w:szCs w:val="16"/>
                <w:color w:val="auto"/>
              </w:rPr>
              <w:t>(2)(3)</w:t>
            </w:r>
          </w:p>
        </w:tc>
        <w:tc>
          <w:tcPr>
            <w:tcW w:w="1360" w:type="dxa"/>
            <w:vAlign w:val="bottom"/>
            <w:gridSpan w:val="2"/>
          </w:tcPr>
          <w:p>
            <w:pPr>
              <w:ind w:left="1120"/>
              <w:spacing w:after="0"/>
              <w:rPr>
                <w:sz w:val="20"/>
                <w:szCs w:val="20"/>
                <w:color w:val="auto"/>
              </w:rPr>
            </w:pPr>
            <w:r>
              <w:rPr>
                <w:rFonts w:ascii="Arial" w:cs="Arial" w:eastAsia="Arial" w:hAnsi="Arial"/>
                <w:sz w:val="19"/>
                <w:szCs w:val="19"/>
                <w:color w:val="auto"/>
              </w:rPr>
              <w:t>41</w:t>
            </w:r>
          </w:p>
        </w:tc>
        <w:tc>
          <w:tcPr>
            <w:tcW w:w="2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Bart Swanson</w:t>
            </w:r>
            <w:r>
              <w:rPr>
                <w:rFonts w:ascii="Arial" w:cs="Arial" w:eastAsia="Arial" w:hAnsi="Arial"/>
                <w:sz w:val="16"/>
                <w:szCs w:val="16"/>
                <w:color w:val="auto"/>
              </w:rPr>
              <w:t>(2)(3)</w:t>
            </w: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9"/>
                <w:szCs w:val="19"/>
                <w:color w:val="auto"/>
              </w:rPr>
              <w:t>55</w:t>
            </w:r>
          </w:p>
        </w:tc>
        <w:tc>
          <w:tcPr>
            <w:tcW w:w="24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90805</wp:posOffset>
            </wp:positionV>
            <wp:extent cx="7423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5" w:lineRule="exact"/>
        <w:rPr>
          <w:sz w:val="20"/>
          <w:szCs w:val="20"/>
          <w:color w:val="auto"/>
        </w:rPr>
      </w:pPr>
    </w:p>
    <w:p>
      <w:pPr>
        <w:ind w:left="640" w:hanging="461"/>
        <w:spacing w:after="0"/>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Member of the audit committee.</w:t>
      </w:r>
    </w:p>
    <w:p>
      <w:pPr>
        <w:spacing w:after="0" w:line="22" w:lineRule="exact"/>
        <w:rPr>
          <w:rFonts w:ascii="Arial" w:cs="Arial" w:eastAsia="Arial" w:hAnsi="Arial"/>
          <w:sz w:val="19"/>
          <w:szCs w:val="19"/>
          <w:color w:val="auto"/>
        </w:rPr>
      </w:pPr>
    </w:p>
    <w:p>
      <w:pPr>
        <w:ind w:left="640" w:hanging="461"/>
        <w:spacing w:after="0"/>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Member of the compensation committee.</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Member of the nominating and corporate governance committee.</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Executive Officers</w:t>
      </w:r>
    </w:p>
    <w:p>
      <w:pPr>
        <w:spacing w:after="0" w:line="130" w:lineRule="exact"/>
        <w:rPr>
          <w:sz w:val="20"/>
          <w:szCs w:val="20"/>
          <w:color w:val="auto"/>
        </w:rPr>
      </w:pPr>
    </w:p>
    <w:p>
      <w:pPr>
        <w:ind w:left="180" w:right="160" w:firstLine="465"/>
        <w:spacing w:after="0" w:line="294" w:lineRule="auto"/>
        <w:rPr>
          <w:sz w:val="20"/>
          <w:szCs w:val="20"/>
          <w:color w:val="auto"/>
        </w:rPr>
      </w:pPr>
      <w:r>
        <w:rPr>
          <w:rFonts w:ascii="Arial" w:cs="Arial" w:eastAsia="Arial" w:hAnsi="Arial"/>
          <w:sz w:val="17"/>
          <w:szCs w:val="17"/>
          <w:i w:val="1"/>
          <w:iCs w:val="1"/>
          <w:color w:val="auto"/>
        </w:rPr>
        <w:t>Eric S. Yuan</w:t>
      </w:r>
      <w:r>
        <w:rPr>
          <w:rFonts w:ascii="Arial" w:cs="Arial" w:eastAsia="Arial" w:hAnsi="Arial"/>
          <w:sz w:val="17"/>
          <w:szCs w:val="17"/>
          <w:color w:val="auto"/>
        </w:rPr>
        <w:t>. Mr. Yuan is the founder of our company and has served as the Chairman of our board directors,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72"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Mr. Yuan was selected to serve on our board of directors because of the perspective and experience he brings as our founder, as well as his extensive experience with technology companies.</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i w:val="1"/>
          <w:iCs w:val="1"/>
          <w:color w:val="auto"/>
        </w:rPr>
        <w:t>Aparna Bawa</w:t>
      </w:r>
      <w:r>
        <w:rPr>
          <w:rFonts w:ascii="Arial" w:cs="Arial" w:eastAsia="Arial" w:hAnsi="Arial"/>
          <w:sz w:val="19"/>
          <w:szCs w:val="19"/>
          <w:color w:val="auto"/>
        </w:rPr>
        <w:t>. Ms. Bawa has served as our General Counsel since September 2018 and as our Secretary since December 2018. Prior to joining us,</w:t>
      </w:r>
      <w:r>
        <w:rPr>
          <w:rFonts w:ascii="Arial" w:cs="Arial" w:eastAsia="Arial" w:hAnsi="Arial"/>
          <w:sz w:val="19"/>
          <w:szCs w:val="19"/>
          <w:i w:val="1"/>
          <w:iCs w:val="1"/>
          <w:color w:val="auto"/>
        </w:rPr>
        <w:t xml:space="preserve"> </w:t>
      </w:r>
      <w:r>
        <w:rPr>
          <w:rFonts w:ascii="Arial" w:cs="Arial" w:eastAsia="Arial" w:hAnsi="Arial"/>
          <w:sz w:val="19"/>
          <w:szCs w:val="19"/>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88</w:t>
      </w:r>
    </w:p>
    <w:p>
      <w:pPr>
        <w:sectPr>
          <w:pgSz w:w="12240" w:h="15840" w:orient="portrait"/>
          <w:cols w:equalWidth="0" w:num="1">
            <w:col w:w="11820"/>
          </w:cols>
          <w:pgMar w:left="120" w:top="336" w:right="300" w:bottom="1440" w:gutter="0" w:footer="0" w:header="0"/>
        </w:sectPr>
      </w:pPr>
    </w:p>
    <w:bookmarkStart w:id="93" w:name="page94"/>
    <w:bookmarkEnd w:id="9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i w:val="1"/>
          <w:iCs w:val="1"/>
          <w:color w:val="auto"/>
        </w:rPr>
        <w:t>Janine Pelosi</w:t>
      </w:r>
      <w:r>
        <w:rPr>
          <w:rFonts w:ascii="Arial" w:cs="Arial" w:eastAsia="Arial" w:hAnsi="Arial"/>
          <w:sz w:val="19"/>
          <w:szCs w:val="19"/>
          <w:color w:val="auto"/>
        </w:rPr>
        <w:t>. Ms. Pelosi has served as our Head of Marketing and Online Business since November 2018. Prior to this, Ms. Pelosi served as our</w:t>
      </w:r>
      <w:r>
        <w:rPr>
          <w:rFonts w:ascii="Arial" w:cs="Arial" w:eastAsia="Arial" w:hAnsi="Arial"/>
          <w:sz w:val="19"/>
          <w:szCs w:val="19"/>
          <w:i w:val="1"/>
          <w:iCs w:val="1"/>
          <w:color w:val="auto"/>
        </w:rPr>
        <w:t xml:space="preserve"> </w:t>
      </w:r>
      <w:r>
        <w:rPr>
          <w:rFonts w:ascii="Arial" w:cs="Arial" w:eastAsia="Arial" w:hAnsi="Arial"/>
          <w:sz w:val="19"/>
          <w:szCs w:val="19"/>
          <w:color w:val="auto"/>
        </w:rPr>
        <w:t>Head of Marketing from March 2015 to November 2018. From May 2007 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20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i w:val="1"/>
          <w:iCs w:val="1"/>
          <w:color w:val="auto"/>
        </w:rPr>
        <w:t xml:space="preserve">Kelly Steckelberg. </w:t>
      </w:r>
      <w:r>
        <w:rPr>
          <w:rFonts w:ascii="Arial" w:cs="Arial" w:eastAsia="Arial" w:hAnsi="Arial"/>
          <w:sz w:val="19"/>
          <w:szCs w:val="19"/>
          <w:color w:val="auto"/>
        </w:rPr>
        <w:t>Ms. Steckelberg has served as our Chief Financial Officer since November 2017. Prior to joining us, Ms. Steckelberg served in</w:t>
      </w:r>
      <w:r>
        <w:rPr>
          <w:rFonts w:ascii="Arial" w:cs="Arial" w:eastAsia="Arial" w:hAnsi="Arial"/>
          <w:sz w:val="19"/>
          <w:szCs w:val="19"/>
          <w:i w:val="1"/>
          <w:iCs w:val="1"/>
          <w:color w:val="auto"/>
        </w:rPr>
        <w:t xml:space="preserve"> </w:t>
      </w:r>
      <w:r>
        <w:rPr>
          <w:rFonts w:ascii="Arial" w:cs="Arial" w:eastAsia="Arial" w:hAnsi="Arial"/>
          <w:sz w:val="19"/>
          <w:szCs w:val="19"/>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Non-Employee Directors</w:t>
      </w:r>
    </w:p>
    <w:p>
      <w:pPr>
        <w:spacing w:after="0" w:line="130" w:lineRule="exact"/>
        <w:rPr>
          <w:sz w:val="20"/>
          <w:szCs w:val="20"/>
          <w:color w:val="auto"/>
        </w:rPr>
      </w:pPr>
    </w:p>
    <w:p>
      <w:pPr>
        <w:ind w:left="180" w:right="20" w:firstLine="465"/>
        <w:spacing w:after="0" w:line="268" w:lineRule="auto"/>
        <w:rPr>
          <w:sz w:val="20"/>
          <w:szCs w:val="20"/>
          <w:color w:val="auto"/>
        </w:rPr>
      </w:pPr>
      <w:r>
        <w:rPr>
          <w:rFonts w:ascii="Arial" w:cs="Arial" w:eastAsia="Arial" w:hAnsi="Arial"/>
          <w:sz w:val="18"/>
          <w:szCs w:val="18"/>
          <w:i w:val="1"/>
          <w:iCs w:val="1"/>
          <w:color w:val="auto"/>
        </w:rPr>
        <w:t>Jonathan Chadwick</w:t>
      </w:r>
      <w:r>
        <w:rPr>
          <w:rFonts w:ascii="Arial" w:cs="Arial" w:eastAsia="Arial" w:hAnsi="Arial"/>
          <w:sz w:val="18"/>
          <w:szCs w:val="18"/>
          <w:color w:val="auto"/>
        </w:rPr>
        <w:t>. Mr. Chadwick has served as a member of our board of directors since September 2017. Since April 2016, Mr. Chadwick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F5 Networks, Inc., an application networking delivery company, ServiceNow, Inc., a cloud computing company, and various private companies. Mr. Chadwick is a Chartered Accountant in England and holds a B.Sc. degree in Electrical and Electronic Engineering from the University of Bath.</w:t>
      </w:r>
    </w:p>
    <w:p>
      <w:pPr>
        <w:spacing w:after="0" w:line="193"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8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i w:val="1"/>
          <w:iCs w:val="1"/>
          <w:color w:val="auto"/>
        </w:rPr>
        <w:t>Carl M. Eschenbach</w:t>
      </w:r>
      <w:r>
        <w:rPr>
          <w:rFonts w:ascii="Arial" w:cs="Arial" w:eastAsia="Arial" w:hAnsi="Arial"/>
          <w:sz w:val="17"/>
          <w:szCs w:val="17"/>
          <w:color w:val="auto"/>
        </w:rPr>
        <w:t>. Mr. Eschenbach has served as a member of our board of directors since November 2016. Since April 2016, Mr. Eschenbach</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a general partner at Sequoia Capital Operations, LLC, a venture capital firm. Prior to joining Sequoia Capital Operations, LLC,</w:t>
      </w:r>
    </w:p>
    <w:p>
      <w:pPr>
        <w:ind w:left="180" w:right="40"/>
        <w:spacing w:after="0" w:line="268" w:lineRule="auto"/>
        <w:rPr>
          <w:sz w:val="20"/>
          <w:szCs w:val="20"/>
          <w:color w:val="auto"/>
        </w:rPr>
      </w:pPr>
      <w:r>
        <w:rPr>
          <w:rFonts w:ascii="Arial" w:cs="Arial" w:eastAsia="Arial" w:hAnsi="Arial"/>
          <w:sz w:val="18"/>
          <w:szCs w:val="18"/>
          <w:color w:val="auto"/>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89</w:t>
      </w:r>
    </w:p>
    <w:p>
      <w:pPr>
        <w:sectPr>
          <w:pgSz w:w="12240" w:h="15840" w:orient="portrait"/>
          <w:cols w:equalWidth="0" w:num="1">
            <w:col w:w="11720"/>
          </w:cols>
          <w:pgMar w:left="120" w:top="336" w:right="400" w:bottom="1440" w:gutter="0" w:footer="0" w:header="0"/>
        </w:sectPr>
      </w:pPr>
    </w:p>
    <w:bookmarkStart w:id="94" w:name="page95"/>
    <w:bookmarkEnd w:id="9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8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i w:val="1"/>
          <w:iCs w:val="1"/>
          <w:color w:val="auto"/>
        </w:rPr>
        <w:t xml:space="preserve">Peter Gassner. </w:t>
      </w:r>
      <w:r>
        <w:rPr>
          <w:rFonts w:ascii="Arial" w:cs="Arial" w:eastAsia="Arial" w:hAnsi="Arial"/>
          <w:sz w:val="18"/>
          <w:szCs w:val="18"/>
          <w:color w:val="auto"/>
        </w:rPr>
        <w:t>Mr. Gassner has served as a member of our board of directors since October 2015. Since January 2007, Mr. Gassner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90" w:lineRule="exact"/>
        <w:rPr>
          <w:sz w:val="20"/>
          <w:szCs w:val="20"/>
          <w:color w:val="auto"/>
        </w:rPr>
      </w:pPr>
    </w:p>
    <w:p>
      <w:pPr>
        <w:ind w:left="180" w:right="520" w:firstLine="465"/>
        <w:spacing w:after="0" w:line="275" w:lineRule="auto"/>
        <w:rPr>
          <w:sz w:val="20"/>
          <w:szCs w:val="20"/>
          <w:color w:val="auto"/>
        </w:rPr>
      </w:pPr>
      <w:r>
        <w:rPr>
          <w:rFonts w:ascii="Arial" w:cs="Arial" w:eastAsia="Arial" w:hAnsi="Arial"/>
          <w:sz w:val="19"/>
          <w:szCs w:val="19"/>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84"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i w:val="1"/>
          <w:iCs w:val="1"/>
          <w:color w:val="auto"/>
        </w:rPr>
        <w:t xml:space="preserve">Kimberly L. Hammonds. </w:t>
      </w:r>
      <w:r>
        <w:rPr>
          <w:rFonts w:ascii="Arial" w:cs="Arial" w:eastAsia="Arial" w:hAnsi="Arial"/>
          <w:sz w:val="17"/>
          <w:szCs w:val="17"/>
          <w:color w:val="auto"/>
        </w:rPr>
        <w:t>Ms. Hammonds has served as a member of our board of directors since September 2018. Ms. Hammonds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81"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We believe Ms. Hammonds is qualified to serve as a member of our board of directors because of her significant market and financial expertise and service on the boards of directors of various public companies.</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i w:val="1"/>
          <w:iCs w:val="1"/>
          <w:color w:val="auto"/>
        </w:rPr>
        <w:t>Dan Scheinman</w:t>
      </w:r>
      <w:r>
        <w:rPr>
          <w:rFonts w:ascii="Arial" w:cs="Arial" w:eastAsia="Arial" w:hAnsi="Arial"/>
          <w:sz w:val="19"/>
          <w:szCs w:val="19"/>
          <w:color w:val="auto"/>
        </w:rPr>
        <w:t>. Mr. Scheinman has served as a member of our board of directors since January 2013. Since April 2011, Mr. Scheinman has</w:t>
      </w:r>
      <w:r>
        <w:rPr>
          <w:rFonts w:ascii="Arial" w:cs="Arial" w:eastAsia="Arial" w:hAnsi="Arial"/>
          <w:sz w:val="19"/>
          <w:szCs w:val="19"/>
          <w:i w:val="1"/>
          <w:iCs w:val="1"/>
          <w:color w:val="auto"/>
        </w:rPr>
        <w:t xml:space="preserve"> </w:t>
      </w:r>
      <w:r>
        <w:rPr>
          <w:rFonts w:ascii="Arial" w:cs="Arial" w:eastAsia="Arial" w:hAnsi="Arial"/>
          <w:sz w:val="19"/>
          <w:szCs w:val="19"/>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20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We believe Mr. Scheinman is qualified to serve as a member of our board of directors because of his significant knowledge of our company and the technology industry.</w:t>
      </w:r>
    </w:p>
    <w:p>
      <w:pPr>
        <w:spacing w:after="0" w:line="18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i w:val="1"/>
          <w:iCs w:val="1"/>
          <w:color w:val="auto"/>
        </w:rPr>
        <w:t>Santiago Subotovsky</w:t>
      </w:r>
      <w:r>
        <w:rPr>
          <w:rFonts w:ascii="Arial" w:cs="Arial" w:eastAsia="Arial" w:hAnsi="Arial"/>
          <w:sz w:val="19"/>
          <w:szCs w:val="19"/>
          <w:color w:val="auto"/>
        </w:rPr>
        <w:t>. Mr. Subotovsky has served as a member of our board of directors since December 2014. Since May 2010, Mr. Subotovsky</w:t>
      </w:r>
      <w:r>
        <w:rPr>
          <w:rFonts w:ascii="Arial" w:cs="Arial" w:eastAsia="Arial" w:hAnsi="Arial"/>
          <w:sz w:val="19"/>
          <w:szCs w:val="19"/>
          <w:i w:val="1"/>
          <w:iCs w:val="1"/>
          <w:color w:val="auto"/>
        </w:rPr>
        <w:t xml:space="preserve"> </w:t>
      </w:r>
      <w:r>
        <w:rPr>
          <w:rFonts w:ascii="Arial" w:cs="Arial" w:eastAsia="Arial" w:hAnsi="Arial"/>
          <w:sz w:val="19"/>
          <w:szCs w:val="19"/>
          <w:color w:val="auto"/>
        </w:rPr>
        <w:t>has served as a general partner at Emergence Capital, a venture capital firm.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90</w:t>
      </w:r>
    </w:p>
    <w:p>
      <w:pPr>
        <w:sectPr>
          <w:pgSz w:w="12240" w:h="15840" w:orient="portrait"/>
          <w:cols w:equalWidth="0" w:num="1">
            <w:col w:w="11780"/>
          </w:cols>
          <w:pgMar w:left="120" w:top="336" w:right="340" w:bottom="1440" w:gutter="0" w:footer="0" w:header="0"/>
        </w:sectPr>
      </w:pPr>
    </w:p>
    <w:bookmarkStart w:id="95" w:name="page96"/>
    <w:bookmarkEnd w:id="9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firstLine="465"/>
        <w:spacing w:after="0" w:line="275" w:lineRule="auto"/>
        <w:rPr>
          <w:sz w:val="20"/>
          <w:szCs w:val="20"/>
          <w:color w:val="auto"/>
        </w:rPr>
      </w:pPr>
      <w:r>
        <w:rPr>
          <w:rFonts w:ascii="Arial" w:cs="Arial" w:eastAsia="Arial" w:hAnsi="Arial"/>
          <w:sz w:val="19"/>
          <w:szCs w:val="19"/>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84"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i w:val="1"/>
          <w:iCs w:val="1"/>
          <w:color w:val="auto"/>
        </w:rPr>
        <w:t>Bart Swanson</w:t>
      </w:r>
      <w:r>
        <w:rPr>
          <w:rFonts w:ascii="Arial" w:cs="Arial" w:eastAsia="Arial" w:hAnsi="Arial"/>
          <w:sz w:val="18"/>
          <w:szCs w:val="18"/>
          <w:color w:val="auto"/>
        </w:rPr>
        <w:t>. Mr. Swanson has served as a member of our board of directors since August 2013. Since March 2013, Mr. Swanson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91"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Composition of Our Board of Directors</w:t>
      </w:r>
    </w:p>
    <w:p>
      <w:pPr>
        <w:spacing w:after="0" w:line="130" w:lineRule="exact"/>
        <w:rPr>
          <w:sz w:val="20"/>
          <w:szCs w:val="20"/>
          <w:color w:val="auto"/>
        </w:rPr>
      </w:pPr>
    </w:p>
    <w:p>
      <w:pPr>
        <w:ind w:left="180" w:right="40" w:firstLine="465"/>
        <w:spacing w:after="0" w:line="253" w:lineRule="auto"/>
        <w:rPr>
          <w:sz w:val="20"/>
          <w:szCs w:val="20"/>
          <w:color w:val="auto"/>
        </w:rPr>
      </w:pPr>
      <w:r>
        <w:rPr>
          <w:rFonts w:ascii="Arial" w:cs="Arial" w:eastAsia="Arial" w:hAnsi="Arial"/>
          <w:sz w:val="19"/>
          <w:szCs w:val="19"/>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209"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04" w:lineRule="exact"/>
        <w:rPr>
          <w:sz w:val="20"/>
          <w:szCs w:val="20"/>
          <w:color w:val="auto"/>
        </w:rPr>
      </w:pPr>
    </w:p>
    <w:p>
      <w:pPr>
        <w:ind w:left="1100" w:right="80" w:hanging="464"/>
        <w:spacing w:after="0" w:line="275"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Class I directors will be Messrs. Gassner and Yuan, and their terms will expire at our first annual meeting of stockholders following this offering;</w:t>
      </w:r>
    </w:p>
    <w:p>
      <w:pPr>
        <w:spacing w:after="0" w:line="84" w:lineRule="exact"/>
        <w:rPr>
          <w:rFonts w:ascii="Arial" w:cs="Arial" w:eastAsia="Arial" w:hAnsi="Arial"/>
          <w:sz w:val="19"/>
          <w:szCs w:val="19"/>
          <w:color w:val="auto"/>
        </w:rPr>
      </w:pPr>
    </w:p>
    <w:p>
      <w:pPr>
        <w:ind w:left="1100" w:right="580" w:hanging="464"/>
        <w:spacing w:after="0" w:line="275"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Class II directors will be Messrs. Chadwick and Scheinman and Ms. Hammonds, and their terms will expire at our second annual meeting of stockholders following this offering; and</w:t>
      </w:r>
    </w:p>
    <w:p>
      <w:pPr>
        <w:spacing w:after="0" w:line="84" w:lineRule="exact"/>
        <w:rPr>
          <w:rFonts w:ascii="Arial" w:cs="Arial" w:eastAsia="Arial" w:hAnsi="Arial"/>
          <w:sz w:val="19"/>
          <w:szCs w:val="19"/>
          <w:color w:val="auto"/>
        </w:rPr>
      </w:pPr>
    </w:p>
    <w:p>
      <w:pPr>
        <w:ind w:left="1100" w:right="420" w:hanging="464"/>
        <w:spacing w:after="0" w:line="275"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Class III directors will be Messrs. Eschenbach, Subotovsky and Swanson, and their terms will expire at our third annual meeting of stockholders following this offering.</w:t>
      </w:r>
    </w:p>
    <w:p>
      <w:pPr>
        <w:spacing w:after="0" w:line="184" w:lineRule="exact"/>
        <w:rPr>
          <w:sz w:val="20"/>
          <w:szCs w:val="20"/>
          <w:color w:val="auto"/>
        </w:rPr>
      </w:pPr>
    </w:p>
    <w:p>
      <w:pPr>
        <w:jc w:val="both"/>
        <w:ind w:left="180" w:right="280" w:firstLine="465"/>
        <w:spacing w:after="0" w:line="263" w:lineRule="auto"/>
        <w:rPr>
          <w:sz w:val="20"/>
          <w:szCs w:val="20"/>
          <w:color w:val="auto"/>
        </w:rPr>
      </w:pPr>
      <w:r>
        <w:rPr>
          <w:rFonts w:ascii="Arial" w:cs="Arial" w:eastAsia="Arial" w:hAnsi="Arial"/>
          <w:sz w:val="19"/>
          <w:szCs w:val="19"/>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91</w:t>
      </w:r>
    </w:p>
    <w:p>
      <w:pPr>
        <w:sectPr>
          <w:pgSz w:w="12240" w:h="15840" w:orient="portrait"/>
          <w:cols w:equalWidth="0" w:num="1">
            <w:col w:w="11780"/>
          </w:cols>
          <w:pgMar w:left="120" w:top="336" w:right="340" w:bottom="1440" w:gutter="0" w:footer="0" w:header="0"/>
        </w:sectPr>
      </w:pPr>
    </w:p>
    <w:bookmarkStart w:id="96" w:name="page97"/>
    <w:bookmarkEnd w:id="9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Independence</w:t>
      </w:r>
    </w:p>
    <w:p>
      <w:pPr>
        <w:spacing w:after="0" w:line="130" w:lineRule="exact"/>
        <w:rPr>
          <w:sz w:val="20"/>
          <w:szCs w:val="20"/>
          <w:color w:val="auto"/>
        </w:rPr>
      </w:pPr>
    </w:p>
    <w:p>
      <w:pPr>
        <w:ind w:left="180" w:firstLine="465"/>
        <w:spacing w:after="0" w:line="270"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Lead Independent Director</w:t>
      </w:r>
    </w:p>
    <w:p>
      <w:pPr>
        <w:spacing w:after="0" w:line="130" w:lineRule="exact"/>
        <w:rPr>
          <w:sz w:val="20"/>
          <w:szCs w:val="20"/>
          <w:color w:val="auto"/>
        </w:rPr>
      </w:pPr>
    </w:p>
    <w:p>
      <w:pPr>
        <w:ind w:left="180" w:right="20" w:firstLine="465"/>
        <w:spacing w:after="0" w:line="287"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Committees of Our Board of Directors</w:t>
      </w:r>
    </w:p>
    <w:p>
      <w:pPr>
        <w:spacing w:after="0" w:line="13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Audit Committee</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20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95" w:lineRule="exact"/>
        <w:rPr>
          <w:sz w:val="20"/>
          <w:szCs w:val="20"/>
          <w:color w:val="auto"/>
        </w:rPr>
      </w:pPr>
    </w:p>
    <w:p>
      <w:pPr>
        <w:ind w:left="5900" w:right="3240" w:hanging="5264"/>
        <w:spacing w:after="0" w:line="448" w:lineRule="auto"/>
        <w:tabs>
          <w:tab w:leader="none" w:pos="1089" w:val="left"/>
        </w:tabs>
        <w:numPr>
          <w:ilvl w:val="0"/>
          <w:numId w:val="60"/>
        </w:numPr>
        <w:rPr>
          <w:rFonts w:ascii="Arial" w:cs="Arial" w:eastAsia="Arial" w:hAnsi="Arial"/>
          <w:sz w:val="19"/>
          <w:szCs w:val="19"/>
          <w:color w:val="auto"/>
        </w:rPr>
      </w:pPr>
      <w:r>
        <w:rPr>
          <w:rFonts w:ascii="Arial" w:cs="Arial" w:eastAsia="Arial" w:hAnsi="Arial"/>
          <w:sz w:val="19"/>
          <w:szCs w:val="19"/>
          <w:color w:val="auto"/>
        </w:rPr>
        <w:t>helping our board of directors oversee our corporate accounting and financial reporting processes; 92</w:t>
      </w:r>
    </w:p>
    <w:p>
      <w:pPr>
        <w:sectPr>
          <w:pgSz w:w="12240" w:h="15840" w:orient="portrait"/>
          <w:cols w:equalWidth="0" w:num="1">
            <w:col w:w="11780"/>
          </w:cols>
          <w:pgMar w:left="120" w:top="337" w:right="340" w:bottom="1440" w:gutter="0" w:footer="0" w:header="0"/>
        </w:sectPr>
      </w:pPr>
    </w:p>
    <w:bookmarkStart w:id="97" w:name="page98"/>
    <w:bookmarkEnd w:id="9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line="275" w:lineRule="auto"/>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managing the selection, engagement, qualifications, independence and performance of a qualified firm to serve as the independent registered public accounting firm to audit our financial statements;</w:t>
      </w:r>
    </w:p>
    <w:p>
      <w:pPr>
        <w:spacing w:after="0" w:line="84" w:lineRule="exact"/>
        <w:rPr>
          <w:rFonts w:ascii="Arial" w:cs="Arial" w:eastAsia="Arial" w:hAnsi="Arial"/>
          <w:sz w:val="19"/>
          <w:szCs w:val="19"/>
          <w:color w:val="auto"/>
        </w:rPr>
      </w:pPr>
    </w:p>
    <w:p>
      <w:pPr>
        <w:ind w:left="1100" w:right="200" w:hanging="464"/>
        <w:spacing w:after="0" w:line="275" w:lineRule="auto"/>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discussing the scope and results of the audit with the independent registered public accounting firm, and reviewing, with management and the independent accountants, our interim and year-end operating results;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developing procedures for employees to submit concerns anonymously about questionable accounting or audit matters;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reviewing related person transactions;</w:t>
      </w:r>
    </w:p>
    <w:p>
      <w:pPr>
        <w:spacing w:after="0" w:line="138" w:lineRule="exact"/>
        <w:rPr>
          <w:rFonts w:ascii="Arial" w:cs="Arial" w:eastAsia="Arial" w:hAnsi="Arial"/>
          <w:sz w:val="19"/>
          <w:szCs w:val="19"/>
          <w:color w:val="auto"/>
        </w:rPr>
      </w:pPr>
    </w:p>
    <w:p>
      <w:pPr>
        <w:ind w:left="1100" w:right="140" w:hanging="464"/>
        <w:spacing w:after="0" w:line="263" w:lineRule="auto"/>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94" w:lineRule="exact"/>
        <w:rPr>
          <w:rFonts w:ascii="Arial" w:cs="Arial" w:eastAsia="Arial" w:hAnsi="Arial"/>
          <w:sz w:val="19"/>
          <w:szCs w:val="19"/>
          <w:color w:val="auto"/>
        </w:rPr>
      </w:pPr>
    </w:p>
    <w:p>
      <w:pPr>
        <w:ind w:left="1100" w:right="300" w:hanging="464"/>
        <w:spacing w:after="0" w:line="275" w:lineRule="auto"/>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approving or, as permitted, pre-approving, audit and permissible non-audit services to be performed by the independent registered public accounting firm.</w:t>
      </w:r>
    </w:p>
    <w:p>
      <w:pPr>
        <w:spacing w:after="0" w:line="184"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Our audit committee will operate under a written charter, to be effective prior to the completion of this offering, that satisfies the applicable listing standards of The Nasdaq Stock Market.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Compensation Committee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compensation committee consists of Messrs. Scheinman, Subotovsky and Swanson. The chair of our compensation committee is</w:t>
      </w:r>
    </w:p>
    <w:p>
      <w:pPr>
        <w:spacing w:after="0" w:line="34" w:lineRule="exact"/>
        <w:rPr>
          <w:sz w:val="20"/>
          <w:szCs w:val="20"/>
          <w:color w:val="auto"/>
        </w:rPr>
      </w:pPr>
    </w:p>
    <w:p>
      <w:pPr>
        <w:ind w:left="180" w:right="220"/>
        <w:spacing w:after="0" w:line="289" w:lineRule="auto"/>
        <w:rPr>
          <w:sz w:val="20"/>
          <w:szCs w:val="20"/>
          <w:color w:val="auto"/>
        </w:rPr>
      </w:pPr>
      <w:r>
        <w:rPr>
          <w:rFonts w:ascii="Arial" w:cs="Arial" w:eastAsia="Arial" w:hAnsi="Arial"/>
          <w:sz w:val="18"/>
          <w:szCs w:val="18"/>
          <w:color w:val="auto"/>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73" w:lineRule="exact"/>
        <w:rPr>
          <w:sz w:val="20"/>
          <w:szCs w:val="20"/>
          <w:color w:val="auto"/>
        </w:rPr>
      </w:pPr>
    </w:p>
    <w:p>
      <w:pPr>
        <w:jc w:val="both"/>
        <w:ind w:left="180" w:right="60" w:firstLine="465"/>
        <w:spacing w:after="0" w:line="263" w:lineRule="auto"/>
        <w:rPr>
          <w:sz w:val="20"/>
          <w:szCs w:val="20"/>
          <w:color w:val="auto"/>
        </w:rPr>
      </w:pPr>
      <w:r>
        <w:rPr>
          <w:rFonts w:ascii="Arial" w:cs="Arial" w:eastAsia="Arial" w:hAnsi="Arial"/>
          <w:sz w:val="19"/>
          <w:szCs w:val="19"/>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95" w:lineRule="exact"/>
        <w:rPr>
          <w:sz w:val="20"/>
          <w:szCs w:val="20"/>
          <w:color w:val="auto"/>
        </w:rPr>
      </w:pPr>
    </w:p>
    <w:p>
      <w:pPr>
        <w:ind w:left="1100" w:hanging="464"/>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spacing w:after="0" w:line="149" w:lineRule="exact"/>
        <w:rPr>
          <w:rFonts w:ascii="Arial" w:cs="Arial" w:eastAsia="Arial" w:hAnsi="Arial"/>
          <w:sz w:val="18"/>
          <w:szCs w:val="18"/>
          <w:color w:val="auto"/>
        </w:rPr>
      </w:pPr>
    </w:p>
    <w:p>
      <w:pPr>
        <w:ind w:left="1100" w:hanging="464"/>
        <w:spacing w:after="0"/>
        <w:tabs>
          <w:tab w:leader="none" w:pos="11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reviewing and recommending to our board of directors the compensation of our directors;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administering our equity incentive plans and other benefit programs;</w:t>
      </w:r>
    </w:p>
    <w:p>
      <w:pPr>
        <w:spacing w:after="0" w:line="138" w:lineRule="exact"/>
        <w:rPr>
          <w:rFonts w:ascii="Arial" w:cs="Arial" w:eastAsia="Arial" w:hAnsi="Arial"/>
          <w:sz w:val="19"/>
          <w:szCs w:val="19"/>
          <w:color w:val="auto"/>
        </w:rPr>
      </w:pPr>
    </w:p>
    <w:p>
      <w:pPr>
        <w:jc w:val="both"/>
        <w:ind w:left="1100" w:right="60" w:hanging="464"/>
        <w:spacing w:after="0" w:line="336" w:lineRule="auto"/>
        <w:tabs>
          <w:tab w:leader="none" w:pos="11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37" w:lineRule="exact"/>
        <w:rPr>
          <w:rFonts w:ascii="Arial" w:cs="Arial" w:eastAsia="Arial" w:hAnsi="Arial"/>
          <w:sz w:val="17"/>
          <w:szCs w:val="17"/>
          <w:color w:val="auto"/>
        </w:rPr>
      </w:pPr>
    </w:p>
    <w:p>
      <w:pPr>
        <w:ind w:left="1100" w:right="360" w:hanging="464"/>
        <w:spacing w:after="0" w:line="275" w:lineRule="auto"/>
        <w:tabs>
          <w:tab w:leader="none" w:pos="11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reviewing and establishing general policies relating to compensation and benefits of our employees, including our overall compensation philosophy.</w:t>
      </w:r>
    </w:p>
    <w:p>
      <w:pPr>
        <w:spacing w:after="0" w:line="184" w:lineRule="exact"/>
        <w:rPr>
          <w:sz w:val="20"/>
          <w:szCs w:val="20"/>
          <w:color w:val="auto"/>
        </w:rPr>
      </w:pPr>
    </w:p>
    <w:p>
      <w:pPr>
        <w:ind w:left="180" w:right="720" w:firstLine="465"/>
        <w:spacing w:after="0" w:line="275" w:lineRule="auto"/>
        <w:rPr>
          <w:sz w:val="20"/>
          <w:szCs w:val="20"/>
          <w:color w:val="auto"/>
        </w:rPr>
      </w:pPr>
      <w:r>
        <w:rPr>
          <w:rFonts w:ascii="Arial" w:cs="Arial" w:eastAsia="Arial" w:hAnsi="Arial"/>
          <w:sz w:val="19"/>
          <w:szCs w:val="19"/>
          <w:color w:val="auto"/>
        </w:rPr>
        <w:t>Our compensation committee will operate under a written charter, to be effective prior to the completion of this offering, that satisfies the applicable listing standards of The Nasdaq Stock Market.</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Nominating and Corporate Governance Committee</w:t>
      </w:r>
    </w:p>
    <w:p>
      <w:pPr>
        <w:spacing w:after="0" w:line="124" w:lineRule="exact"/>
        <w:rPr>
          <w:sz w:val="20"/>
          <w:szCs w:val="20"/>
          <w:color w:val="auto"/>
        </w:rPr>
      </w:pPr>
    </w:p>
    <w:p>
      <w:pPr>
        <w:ind w:left="180" w:right="360" w:firstLine="465"/>
        <w:spacing w:after="0" w:line="288" w:lineRule="auto"/>
        <w:rPr>
          <w:sz w:val="20"/>
          <w:szCs w:val="20"/>
          <w:color w:val="auto"/>
        </w:rPr>
      </w:pPr>
      <w:r>
        <w:rPr>
          <w:rFonts w:ascii="Arial" w:cs="Arial" w:eastAsia="Arial" w:hAnsi="Arial"/>
          <w:sz w:val="17"/>
          <w:szCs w:val="17"/>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w:t>
      </w:r>
    </w:p>
    <w:p>
      <w:pPr>
        <w:ind w:left="180"/>
        <w:spacing w:after="0"/>
        <w:tabs>
          <w:tab w:leader="none" w:pos="6860" w:val="left"/>
        </w:tabs>
        <w:rPr>
          <w:sz w:val="20"/>
          <w:szCs w:val="20"/>
          <w:color w:val="auto"/>
        </w:rPr>
      </w:pPr>
      <w:r>
        <w:rPr>
          <w:rFonts w:ascii="Arial" w:cs="Arial" w:eastAsia="Arial" w:hAnsi="Arial"/>
          <w:sz w:val="19"/>
          <w:szCs w:val="19"/>
          <w:color w:val="auto"/>
        </w:rPr>
        <w:t>corporate governance committee is independent under the listing standards of</w:t>
      </w:r>
      <w:r>
        <w:rPr>
          <w:sz w:val="20"/>
          <w:szCs w:val="20"/>
          <w:color w:val="auto"/>
        </w:rPr>
        <w:tab/>
      </w:r>
      <w:r>
        <w:rPr>
          <w:rFonts w:ascii="Arial" w:cs="Arial" w:eastAsia="Arial" w:hAnsi="Arial"/>
          <w:sz w:val="19"/>
          <w:szCs w:val="19"/>
          <w:color w:val="auto"/>
        </w:rPr>
        <w:t>.</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93</w:t>
      </w:r>
    </w:p>
    <w:p>
      <w:pPr>
        <w:sectPr>
          <w:pgSz w:w="12240" w:h="15840" w:orient="portrait"/>
          <w:cols w:equalWidth="0" w:num="1">
            <w:col w:w="11800"/>
          </w:cols>
          <w:pgMar w:left="120" w:top="336" w:right="320" w:bottom="1440" w:gutter="0" w:footer="0" w:header="0"/>
        </w:sectPr>
      </w:pPr>
    </w:p>
    <w:bookmarkStart w:id="98" w:name="page99"/>
    <w:bookmarkEnd w:id="9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Specific responsibilities of our nominating and corporate governance committee include:</w:t>
      </w:r>
    </w:p>
    <w:p>
      <w:pPr>
        <w:spacing w:after="0" w:line="138" w:lineRule="exact"/>
        <w:rPr>
          <w:sz w:val="20"/>
          <w:szCs w:val="20"/>
          <w:color w:val="auto"/>
        </w:rPr>
      </w:pPr>
    </w:p>
    <w:p>
      <w:pPr>
        <w:ind w:left="1100" w:right="580" w:hanging="464"/>
        <w:spacing w:after="0" w:line="275" w:lineRule="auto"/>
        <w:tabs>
          <w:tab w:leader="none" w:pos="11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identifying and evaluating candidates, including the nomination of incumbent directors for reelection and nominees recommended by stockholders, to serve on our board of directors;</w:t>
      </w:r>
    </w:p>
    <w:p>
      <w:pPr>
        <w:spacing w:after="0" w:line="84" w:lineRule="exact"/>
        <w:rPr>
          <w:rFonts w:ascii="Arial" w:cs="Arial" w:eastAsia="Arial" w:hAnsi="Arial"/>
          <w:sz w:val="19"/>
          <w:szCs w:val="19"/>
          <w:color w:val="auto"/>
        </w:rPr>
      </w:pPr>
    </w:p>
    <w:p>
      <w:pPr>
        <w:ind w:left="1100" w:right="260" w:hanging="464"/>
        <w:spacing w:after="0" w:line="275" w:lineRule="auto"/>
        <w:tabs>
          <w:tab w:leader="none" w:pos="11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considering and making recommendations to our board of directors regarding the composition and chairmanship of the committees of our board of directors;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related matters; and</w:t>
      </w:r>
    </w:p>
    <w:p>
      <w:pPr>
        <w:spacing w:after="0" w:line="161" w:lineRule="exact"/>
        <w:rPr>
          <w:rFonts w:ascii="Arial" w:cs="Arial" w:eastAsia="Arial" w:hAnsi="Arial"/>
          <w:sz w:val="17"/>
          <w:szCs w:val="17"/>
          <w:color w:val="auto"/>
        </w:rPr>
      </w:pPr>
    </w:p>
    <w:p>
      <w:pPr>
        <w:ind w:left="1100" w:hanging="464"/>
        <w:spacing w:after="0"/>
        <w:tabs>
          <w:tab w:leader="none" w:pos="11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overseeing periodic evaluations of the board of directors’ performance, including committees of the board of directors.</w:t>
      </w:r>
    </w:p>
    <w:p>
      <w:pPr>
        <w:spacing w:after="0" w:line="238"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Our nominating and corporate governance committee will operate under a written charter, to be effective prior to the completion of this offering, that satisfies the applicable listing standards of The Nasdaq Stock Market.</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Code of Business Conduct and Ethics</w:t>
      </w:r>
    </w:p>
    <w:p>
      <w:pPr>
        <w:spacing w:after="0" w:line="130" w:lineRule="exact"/>
        <w:rPr>
          <w:sz w:val="20"/>
          <w:szCs w:val="20"/>
          <w:color w:val="auto"/>
        </w:rPr>
      </w:pPr>
    </w:p>
    <w:p>
      <w:pPr>
        <w:ind w:left="180" w:right="240" w:firstLine="465"/>
        <w:spacing w:after="0" w:line="291"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https://zoom.us.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30" w:lineRule="exact"/>
        <w:rPr>
          <w:sz w:val="20"/>
          <w:szCs w:val="20"/>
          <w:color w:val="auto"/>
        </w:rPr>
      </w:pPr>
    </w:p>
    <w:p>
      <w:pPr>
        <w:jc w:val="both"/>
        <w:ind w:left="180" w:right="80" w:firstLine="465"/>
        <w:spacing w:after="0" w:line="284"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Director Compensation</w:t>
      </w:r>
    </w:p>
    <w:p>
      <w:pPr>
        <w:spacing w:after="0" w:line="130"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94" w:lineRule="exact"/>
        <w:rPr>
          <w:sz w:val="20"/>
          <w:szCs w:val="20"/>
          <w:color w:val="auto"/>
        </w:rPr>
      </w:pPr>
    </w:p>
    <w:p>
      <w:pPr>
        <w:ind w:left="180" w:right="400" w:firstLine="465"/>
        <w:spacing w:after="0" w:line="259" w:lineRule="auto"/>
        <w:rPr>
          <w:sz w:val="20"/>
          <w:szCs w:val="20"/>
          <w:color w:val="auto"/>
        </w:rPr>
      </w:pPr>
      <w:r>
        <w:rPr>
          <w:rFonts w:ascii="Arial" w:cs="Arial" w:eastAsia="Arial" w:hAnsi="Arial"/>
          <w:sz w:val="19"/>
          <w:szCs w:val="19"/>
          <w:color w:val="auto"/>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8"/>
              </w:rPr>
              <w:t>Name</w:t>
            </w:r>
          </w:p>
        </w:tc>
        <w:tc>
          <w:tcPr>
            <w:tcW w:w="3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Option Awards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w:t>
            </w:r>
            <w:r>
              <w:rPr>
                <w:rFonts w:ascii="Arial" w:cs="Arial" w:eastAsia="Arial" w:hAnsi="Arial"/>
                <w:sz w:val="12"/>
                <w:szCs w:val="12"/>
                <w:b w:val="1"/>
                <w:bCs w:val="1"/>
                <w:color w:val="auto"/>
              </w:rPr>
              <w:t>(1)(2)</w:t>
            </w:r>
          </w:p>
        </w:tc>
        <w:tc>
          <w:tcPr>
            <w:tcW w:w="2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Total ($)</w:t>
            </w:r>
          </w:p>
        </w:tc>
      </w:tr>
      <w:tr>
        <w:trPr>
          <w:trHeight w:val="217"/>
        </w:trPr>
        <w:tc>
          <w:tcPr>
            <w:tcW w:w="388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(3)</w:t>
            </w:r>
          </w:p>
        </w:tc>
        <w:tc>
          <w:tcPr>
            <w:tcW w:w="49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line="217" w:lineRule="exact"/>
              <w:rPr>
                <w:sz w:val="20"/>
                <w:szCs w:val="20"/>
                <w:color w:val="auto"/>
              </w:rPr>
            </w:pPr>
            <w:r>
              <w:rPr>
                <w:rFonts w:ascii="Arial" w:cs="Arial" w:eastAsia="Arial" w:hAnsi="Arial"/>
                <w:sz w:val="19"/>
                <w:szCs w:val="19"/>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8"/>
        </w:trPr>
        <w:tc>
          <w:tcPr>
            <w:tcW w:w="3880" w:type="dxa"/>
            <w:vAlign w:val="bottom"/>
            <w:gridSpan w:val="2"/>
          </w:tcPr>
          <w:p>
            <w:pPr>
              <w:spacing w:after="0"/>
              <w:rPr>
                <w:sz w:val="20"/>
                <w:szCs w:val="20"/>
                <w:color w:val="auto"/>
              </w:rPr>
            </w:pPr>
            <w:r>
              <w:rPr>
                <w:rFonts w:ascii="Arial" w:cs="Arial" w:eastAsia="Arial" w:hAnsi="Arial"/>
                <w:sz w:val="19"/>
                <w:szCs w:val="19"/>
                <w:color w:val="auto"/>
              </w:rPr>
              <w:t>Samuel Chen</w:t>
            </w:r>
            <w:r>
              <w:rPr>
                <w:rFonts w:ascii="Arial" w:cs="Arial" w:eastAsia="Arial" w:hAnsi="Arial"/>
                <w:sz w:val="16"/>
                <w:szCs w:val="16"/>
                <w:color w:val="auto"/>
              </w:rPr>
              <w:t>(4)</w:t>
            </w:r>
          </w:p>
        </w:tc>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28"/>
        </w:trPr>
        <w:tc>
          <w:tcPr>
            <w:tcW w:w="3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Carl Eschenbach</w:t>
            </w:r>
          </w:p>
        </w:tc>
        <w:tc>
          <w:tcPr>
            <w:tcW w:w="4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r>
      <w:tr>
        <w:trPr>
          <w:trHeight w:val="228"/>
        </w:trPr>
        <w:tc>
          <w:tcPr>
            <w:tcW w:w="3880" w:type="dxa"/>
            <w:vAlign w:val="bottom"/>
            <w:gridSpan w:val="2"/>
          </w:tcPr>
          <w:p>
            <w:pPr>
              <w:spacing w:after="0"/>
              <w:rPr>
                <w:sz w:val="20"/>
                <w:szCs w:val="20"/>
                <w:color w:val="auto"/>
              </w:rPr>
            </w:pPr>
            <w:r>
              <w:rPr>
                <w:rFonts w:ascii="Arial" w:cs="Arial" w:eastAsia="Arial" w:hAnsi="Arial"/>
                <w:sz w:val="19"/>
                <w:szCs w:val="19"/>
                <w:color w:val="auto"/>
              </w:rPr>
              <w:t>Peter Gassner</w:t>
            </w:r>
            <w:r>
              <w:rPr>
                <w:rFonts w:ascii="Arial" w:cs="Arial" w:eastAsia="Arial" w:hAnsi="Arial"/>
                <w:sz w:val="16"/>
                <w:szCs w:val="16"/>
                <w:color w:val="auto"/>
              </w:rPr>
              <w:t>(5)</w:t>
            </w:r>
          </w:p>
        </w:tc>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228"/>
        </w:trPr>
        <w:tc>
          <w:tcPr>
            <w:tcW w:w="3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Kimberly L. Hammonds</w:t>
            </w:r>
            <w:r>
              <w:rPr>
                <w:rFonts w:ascii="Arial" w:cs="Arial" w:eastAsia="Arial" w:hAnsi="Arial"/>
                <w:sz w:val="16"/>
                <w:szCs w:val="16"/>
                <w:color w:val="auto"/>
              </w:rPr>
              <w:t>(6)</w:t>
            </w:r>
          </w:p>
        </w:tc>
        <w:tc>
          <w:tcPr>
            <w:tcW w:w="5440" w:type="dxa"/>
            <w:vAlign w:val="bottom"/>
            <w:gridSpan w:val="2"/>
            <w:shd w:val="clear" w:color="auto" w:fill="CCEEFF"/>
          </w:tcPr>
          <w:p>
            <w:pPr>
              <w:ind w:left="4940"/>
              <w:spacing w:after="0"/>
              <w:rPr>
                <w:sz w:val="20"/>
                <w:szCs w:val="20"/>
                <w:color w:val="auto"/>
              </w:rPr>
            </w:pPr>
            <w:r>
              <w:rPr>
                <w:rFonts w:ascii="Arial" w:cs="Arial" w:eastAsia="Arial" w:hAnsi="Arial"/>
                <w:sz w:val="19"/>
                <w:szCs w:val="19"/>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861,000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$861,000</w:t>
            </w:r>
          </w:p>
        </w:tc>
        <w:tc>
          <w:tcPr>
            <w:tcW w:w="80" w:type="dxa"/>
            <w:vAlign w:val="bottom"/>
            <w:shd w:val="clear" w:color="auto" w:fill="CCEEFF"/>
          </w:tcPr>
          <w:p>
            <w:pPr>
              <w:spacing w:after="0"/>
              <w:rPr>
                <w:sz w:val="19"/>
                <w:szCs w:val="19"/>
                <w:color w:val="auto"/>
              </w:rPr>
            </w:pPr>
          </w:p>
        </w:tc>
      </w:tr>
      <w:tr>
        <w:trPr>
          <w:trHeight w:val="228"/>
        </w:trPr>
        <w:tc>
          <w:tcPr>
            <w:tcW w:w="3880" w:type="dxa"/>
            <w:vAlign w:val="bottom"/>
            <w:gridSpan w:val="2"/>
          </w:tcPr>
          <w:p>
            <w:pPr>
              <w:spacing w:after="0"/>
              <w:rPr>
                <w:sz w:val="20"/>
                <w:szCs w:val="20"/>
                <w:color w:val="auto"/>
              </w:rPr>
            </w:pPr>
            <w:r>
              <w:rPr>
                <w:rFonts w:ascii="Arial" w:cs="Arial" w:eastAsia="Arial" w:hAnsi="Arial"/>
                <w:sz w:val="19"/>
                <w:szCs w:val="19"/>
                <w:color w:val="auto"/>
              </w:rPr>
              <w:t>Dan Scheinman</w:t>
            </w:r>
            <w:r>
              <w:rPr>
                <w:rFonts w:ascii="Arial" w:cs="Arial" w:eastAsia="Arial" w:hAnsi="Arial"/>
                <w:sz w:val="16"/>
                <w:szCs w:val="16"/>
                <w:color w:val="auto"/>
              </w:rPr>
              <w:t>(7)</w:t>
            </w:r>
          </w:p>
        </w:tc>
        <w:tc>
          <w:tcPr>
            <w:tcW w:w="5440" w:type="dxa"/>
            <w:vAlign w:val="bottom"/>
            <w:gridSpan w:val="2"/>
          </w:tcPr>
          <w:p>
            <w:pPr>
              <w:ind w:left="4940"/>
              <w:spacing w:after="0"/>
              <w:rPr>
                <w:sz w:val="20"/>
                <w:szCs w:val="20"/>
                <w:color w:val="auto"/>
              </w:rPr>
            </w:pPr>
            <w:r>
              <w:rPr>
                <w:rFonts w:ascii="Arial" w:cs="Arial" w:eastAsia="Arial" w:hAnsi="Arial"/>
                <w:sz w:val="19"/>
                <w:szCs w:val="19"/>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724,000</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$724,000</w:t>
            </w:r>
          </w:p>
        </w:tc>
        <w:tc>
          <w:tcPr>
            <w:tcW w:w="80" w:type="dxa"/>
            <w:vAlign w:val="bottom"/>
          </w:tcPr>
          <w:p>
            <w:pPr>
              <w:spacing w:after="0"/>
              <w:rPr>
                <w:sz w:val="19"/>
                <w:szCs w:val="19"/>
                <w:color w:val="auto"/>
              </w:rPr>
            </w:pPr>
          </w:p>
        </w:tc>
      </w:tr>
      <w:tr>
        <w:trPr>
          <w:trHeight w:val="228"/>
        </w:trPr>
        <w:tc>
          <w:tcPr>
            <w:tcW w:w="3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Santiago Subotovsky</w:t>
            </w:r>
          </w:p>
        </w:tc>
        <w:tc>
          <w:tcPr>
            <w:tcW w:w="4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w:t>
            </w:r>
          </w:p>
        </w:tc>
      </w:tr>
      <w:tr>
        <w:trPr>
          <w:trHeight w:val="241"/>
        </w:trPr>
        <w:tc>
          <w:tcPr>
            <w:tcW w:w="3880" w:type="dxa"/>
            <w:vAlign w:val="bottom"/>
            <w:gridSpan w:val="2"/>
          </w:tcPr>
          <w:p>
            <w:pPr>
              <w:spacing w:after="0"/>
              <w:rPr>
                <w:sz w:val="20"/>
                <w:szCs w:val="20"/>
                <w:color w:val="auto"/>
              </w:rPr>
            </w:pPr>
            <w:r>
              <w:rPr>
                <w:rFonts w:ascii="Arial" w:cs="Arial" w:eastAsia="Arial" w:hAnsi="Arial"/>
                <w:sz w:val="19"/>
                <w:szCs w:val="19"/>
                <w:color w:val="auto"/>
              </w:rPr>
              <w:t>Bart Swanson</w:t>
            </w:r>
          </w:p>
        </w:tc>
        <w:tc>
          <w:tcPr>
            <w:tcW w:w="4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r>
      <w:tr>
        <w:trPr>
          <w:trHeight w:val="371"/>
        </w:trPr>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940" w:type="dxa"/>
            <w:vAlign w:val="bottom"/>
          </w:tcPr>
          <w:p>
            <w:pPr>
              <w:jc w:val="right"/>
              <w:ind w:right="2805"/>
              <w:spacing w:after="0"/>
              <w:rPr>
                <w:sz w:val="20"/>
                <w:szCs w:val="20"/>
                <w:color w:val="auto"/>
              </w:rPr>
            </w:pPr>
            <w:r>
              <w:rPr>
                <w:rFonts w:ascii="Arial" w:cs="Arial" w:eastAsia="Arial" w:hAnsi="Arial"/>
                <w:sz w:val="19"/>
                <w:szCs w:val="19"/>
                <w:color w:val="auto"/>
              </w:rPr>
              <w:t>94</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99" w:name="page100"/>
    <w:bookmarkEnd w:id="9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308610</wp:posOffset>
            </wp:positionV>
            <wp:extent cx="7423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640" w:right="120" w:hanging="461"/>
        <w:spacing w:after="0" w:line="253" w:lineRule="auto"/>
        <w:tabs>
          <w:tab w:leader="none" w:pos="6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6 to the notes to our consolidated financial statements included elsewhere in this prospectus. These amounts do not reflect the actual economic value that may be realized by the non-employee directors.</w:t>
      </w:r>
    </w:p>
    <w:p>
      <w:pPr>
        <w:spacing w:after="0" w:line="2" w:lineRule="exact"/>
        <w:rPr>
          <w:rFonts w:ascii="Arial" w:cs="Arial" w:eastAsia="Arial" w:hAnsi="Arial"/>
          <w:sz w:val="19"/>
          <w:szCs w:val="19"/>
          <w:color w:val="auto"/>
        </w:rPr>
      </w:pPr>
    </w:p>
    <w:p>
      <w:pPr>
        <w:ind w:left="640" w:hanging="46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of January 31, 2019, only Mr. Chadwick, Mr. Gassner, Ms. Hammonds and Mr. Scheinman held shares underlying unvested equity awards.</w:t>
      </w:r>
    </w:p>
    <w:p>
      <w:pPr>
        <w:spacing w:after="0" w:line="32" w:lineRule="exact"/>
        <w:rPr>
          <w:rFonts w:ascii="Arial" w:cs="Arial" w:eastAsia="Arial" w:hAnsi="Arial"/>
          <w:sz w:val="17"/>
          <w:szCs w:val="17"/>
          <w:color w:val="auto"/>
        </w:rPr>
      </w:pPr>
    </w:p>
    <w:p>
      <w:pPr>
        <w:ind w:left="640" w:right="120" w:hanging="461"/>
        <w:spacing w:after="0" w:line="264"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spacing w:after="0" w:line="2" w:lineRule="exact"/>
        <w:rPr>
          <w:rFonts w:ascii="Arial" w:cs="Arial" w:eastAsia="Arial" w:hAnsi="Arial"/>
          <w:sz w:val="18"/>
          <w:szCs w:val="18"/>
          <w:color w:val="auto"/>
        </w:rPr>
      </w:pPr>
    </w:p>
    <w:p>
      <w:pPr>
        <w:ind w:left="640" w:hanging="461"/>
        <w:spacing w:after="0"/>
        <w:tabs>
          <w:tab w:leader="none" w:pos="6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Mr. Chen resigned from our board of directors on September 6, 2018.</w:t>
      </w:r>
    </w:p>
    <w:p>
      <w:pPr>
        <w:spacing w:after="0" w:line="9" w:lineRule="exact"/>
        <w:rPr>
          <w:rFonts w:ascii="Arial" w:cs="Arial" w:eastAsia="Arial" w:hAnsi="Arial"/>
          <w:sz w:val="19"/>
          <w:szCs w:val="19"/>
          <w:color w:val="auto"/>
        </w:rPr>
      </w:pPr>
    </w:p>
    <w:p>
      <w:pPr>
        <w:ind w:left="640" w:hanging="461"/>
        <w:spacing w:after="0" w:line="280"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ind w:left="640" w:right="120" w:hanging="461"/>
        <w:spacing w:after="0" w:line="280"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640" w:hanging="461"/>
        <w:spacing w:after="0" w:line="272"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95</w:t>
      </w:r>
    </w:p>
    <w:p>
      <w:pPr>
        <w:sectPr>
          <w:pgSz w:w="12240" w:h="15840" w:orient="portrait"/>
          <w:cols w:equalWidth="0" w:num="1">
            <w:col w:w="11800"/>
          </w:cols>
          <w:pgMar w:left="120" w:top="336" w:right="320" w:bottom="1440" w:gutter="0" w:footer="0" w:header="0"/>
        </w:sectPr>
      </w:pPr>
    </w:p>
    <w:bookmarkStart w:id="100" w:name="page101"/>
    <w:bookmarkEnd w:id="10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4620"/>
        <w:spacing w:after="0"/>
        <w:rPr>
          <w:sz w:val="20"/>
          <w:szCs w:val="20"/>
          <w:color w:val="auto"/>
        </w:rPr>
      </w:pPr>
      <w:r>
        <w:rPr>
          <w:rFonts w:ascii="Arial" w:cs="Arial" w:eastAsia="Arial" w:hAnsi="Arial"/>
          <w:sz w:val="19"/>
          <w:szCs w:val="19"/>
          <w:b w:val="1"/>
          <w:bCs w:val="1"/>
          <w:color w:val="auto"/>
        </w:rPr>
        <w:t>EXECUTIVE COMPENSATION</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named executive officers for the fiscal year ended January 31, 2019 were:</w:t>
      </w:r>
    </w:p>
    <w:p>
      <w:pPr>
        <w:spacing w:after="0" w:line="138" w:lineRule="exact"/>
        <w:rPr>
          <w:sz w:val="20"/>
          <w:szCs w:val="20"/>
          <w:color w:val="auto"/>
        </w:rPr>
      </w:pPr>
    </w:p>
    <w:p>
      <w:pPr>
        <w:ind w:left="1100" w:hanging="464"/>
        <w:spacing w:after="0"/>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Eric S. Yuan, our President and Chief Executive Officer;</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Janine Pelosi, our Chief Marketing Officer;</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Aparna Bawa, our Secretary and General Counsel; and</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Gregory Holmes, our former Head of Worldwide Sales.</w:t>
      </w:r>
    </w:p>
    <w:p>
      <w:pPr>
        <w:spacing w:after="0" w:line="238" w:lineRule="exact"/>
        <w:rPr>
          <w:sz w:val="20"/>
          <w:szCs w:val="20"/>
          <w:color w:val="auto"/>
        </w:rPr>
      </w:pPr>
    </w:p>
    <w:p>
      <w:pPr>
        <w:ind w:left="180" w:right="160" w:firstLine="465"/>
        <w:spacing w:after="0" w:line="304" w:lineRule="auto"/>
        <w:rPr>
          <w:sz w:val="20"/>
          <w:szCs w:val="20"/>
          <w:color w:val="auto"/>
        </w:rPr>
      </w:pPr>
      <w:r>
        <w:rPr>
          <w:rFonts w:ascii="Arial" w:cs="Arial" w:eastAsia="Arial" w:hAnsi="Arial"/>
          <w:sz w:val="18"/>
          <w:szCs w:val="18"/>
          <w:color w:val="auto"/>
        </w:rPr>
        <w:t>Ms. Bawa commenced employment with us as our Secretary and General Counsel on September 5, 2018. As of January 15, 2019, Mr. Holmes is no longer our Head of Worldwide Sales or one of our executive officers, and has transitioned to a corporate strategy role with us.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Summary Compensation Table</w:t>
      </w:r>
    </w:p>
    <w:p>
      <w:pPr>
        <w:spacing w:after="0" w:line="130"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Non-Equity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Principal Position</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33"/>
              <w:spacing w:after="0" w:line="157" w:lineRule="exact"/>
              <w:rPr>
                <w:sz w:val="20"/>
                <w:szCs w:val="20"/>
                <w:color w:val="auto"/>
              </w:rPr>
            </w:pPr>
            <w:r>
              <w:rPr>
                <w:rFonts w:ascii="Arial" w:cs="Arial" w:eastAsia="Arial" w:hAnsi="Arial"/>
                <w:sz w:val="15"/>
                <w:szCs w:val="15"/>
                <w:b w:val="1"/>
                <w:bCs w:val="1"/>
                <w:color w:val="auto"/>
              </w:rPr>
              <w:t>Option</w:t>
            </w:r>
          </w:p>
        </w:tc>
        <w:tc>
          <w:tcPr>
            <w:tcW w:w="280" w:type="dxa"/>
            <w:vAlign w:val="bottom"/>
          </w:tcPr>
          <w:p>
            <w:pPr>
              <w:spacing w:after="0"/>
              <w:rPr>
                <w:sz w:val="13"/>
                <w:szCs w:val="13"/>
                <w:color w:val="auto"/>
              </w:rPr>
            </w:pPr>
          </w:p>
        </w:tc>
        <w:tc>
          <w:tcPr>
            <w:tcW w:w="1260" w:type="dxa"/>
            <w:vAlign w:val="bottom"/>
            <w:gridSpan w:val="3"/>
          </w:tcPr>
          <w:p>
            <w:pPr>
              <w:jc w:val="center"/>
              <w:ind w:right="140"/>
              <w:spacing w:after="0" w:line="157" w:lineRule="exact"/>
              <w:rPr>
                <w:sz w:val="20"/>
                <w:szCs w:val="20"/>
                <w:color w:val="auto"/>
              </w:rPr>
            </w:pPr>
            <w:r>
              <w:rPr>
                <w:rFonts w:ascii="Arial" w:cs="Arial" w:eastAsia="Arial" w:hAnsi="Arial"/>
                <w:sz w:val="15"/>
                <w:szCs w:val="15"/>
                <w:b w:val="1"/>
                <w:bCs w:val="1"/>
                <w:color w:val="auto"/>
                <w:w w:val="91"/>
              </w:rPr>
              <w:t>Incentive Plan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800"/>
              <w:spacing w:after="0" w:line="157" w:lineRule="exact"/>
              <w:rPr>
                <w:sz w:val="20"/>
                <w:szCs w:val="20"/>
                <w:color w:val="auto"/>
              </w:rPr>
            </w:pPr>
            <w:r>
              <w:rPr>
                <w:rFonts w:ascii="Arial" w:cs="Arial" w:eastAsia="Arial" w:hAnsi="Arial"/>
                <w:sz w:val="15"/>
                <w:szCs w:val="15"/>
                <w:b w:val="1"/>
                <w:bCs w:val="1"/>
                <w:color w:val="auto"/>
              </w:rPr>
              <w:t>Other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880" w:type="dxa"/>
            <w:vAlign w:val="bottom"/>
            <w:gridSpan w:val="2"/>
            <w:vMerge w:val="continue"/>
          </w:tcPr>
          <w:p>
            <w:pPr>
              <w:spacing w:after="0"/>
              <w:rPr>
                <w:sz w:val="14"/>
                <w:szCs w:val="14"/>
                <w:color w:val="auto"/>
              </w:rPr>
            </w:pPr>
          </w:p>
        </w:tc>
        <w:tc>
          <w:tcPr>
            <w:tcW w:w="440" w:type="dxa"/>
            <w:vAlign w:val="bottom"/>
          </w:tcPr>
          <w:p>
            <w:pPr>
              <w:ind w:left="60"/>
              <w:spacing w:after="0" w:line="166" w:lineRule="exact"/>
              <w:rPr>
                <w:sz w:val="20"/>
                <w:szCs w:val="20"/>
                <w:color w:val="auto"/>
              </w:rPr>
            </w:pPr>
            <w:r>
              <w:rPr>
                <w:rFonts w:ascii="Arial" w:cs="Arial" w:eastAsia="Arial" w:hAnsi="Arial"/>
                <w:sz w:val="15"/>
                <w:szCs w:val="15"/>
                <w:b w:val="1"/>
                <w:bCs w:val="1"/>
                <w:color w:val="auto"/>
              </w:rPr>
              <w:t>Year</w:t>
            </w:r>
          </w:p>
        </w:tc>
        <w:tc>
          <w:tcPr>
            <w:tcW w:w="280" w:type="dxa"/>
            <w:vAlign w:val="bottom"/>
          </w:tcPr>
          <w:p>
            <w:pPr>
              <w:spacing w:after="0"/>
              <w:rPr>
                <w:sz w:val="14"/>
                <w:szCs w:val="14"/>
                <w:color w:val="auto"/>
              </w:rPr>
            </w:pPr>
          </w:p>
        </w:tc>
        <w:tc>
          <w:tcPr>
            <w:tcW w:w="880" w:type="dxa"/>
            <w:vAlign w:val="bottom"/>
            <w:gridSpan w:val="2"/>
          </w:tcPr>
          <w:p>
            <w:pPr>
              <w:jc w:val="center"/>
              <w:ind w:right="140"/>
              <w:spacing w:after="0" w:line="166" w:lineRule="exact"/>
              <w:rPr>
                <w:sz w:val="20"/>
                <w:szCs w:val="20"/>
                <w:color w:val="auto"/>
              </w:rPr>
            </w:pPr>
            <w:r>
              <w:rPr>
                <w:rFonts w:ascii="Arial" w:cs="Arial" w:eastAsia="Arial" w:hAnsi="Arial"/>
                <w:sz w:val="15"/>
                <w:szCs w:val="15"/>
                <w:b w:val="1"/>
                <w:bCs w:val="1"/>
                <w:color w:val="auto"/>
                <w:w w:val="93"/>
              </w:rPr>
              <w:t>Salary</w:t>
            </w:r>
          </w:p>
        </w:tc>
        <w:tc>
          <w:tcPr>
            <w:tcW w:w="140" w:type="dxa"/>
            <w:vAlign w:val="bottom"/>
          </w:tcPr>
          <w:p>
            <w:pPr>
              <w:spacing w:after="0"/>
              <w:rPr>
                <w:sz w:val="14"/>
                <w:szCs w:val="14"/>
                <w:color w:val="auto"/>
              </w:rPr>
            </w:pPr>
          </w:p>
        </w:tc>
        <w:tc>
          <w:tcPr>
            <w:tcW w:w="880" w:type="dxa"/>
            <w:vAlign w:val="bottom"/>
          </w:tcPr>
          <w:p>
            <w:pPr>
              <w:jc w:val="right"/>
              <w:ind w:right="33"/>
              <w:spacing w:after="0" w:line="16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1260" w:type="dxa"/>
            <w:vAlign w:val="bottom"/>
            <w:gridSpan w:val="3"/>
          </w:tcPr>
          <w:p>
            <w:pPr>
              <w:ind w:left="20"/>
              <w:spacing w:after="0" w:line="166"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80" w:type="dxa"/>
            <w:vAlign w:val="bottom"/>
            <w:gridSpan w:val="3"/>
          </w:tcPr>
          <w:p>
            <w:pPr>
              <w:ind w:left="20"/>
              <w:spacing w:after="0" w:line="166" w:lineRule="exact"/>
              <w:rPr>
                <w:sz w:val="20"/>
                <w:szCs w:val="20"/>
                <w:color w:val="auto"/>
              </w:rPr>
            </w:pPr>
            <w:r>
              <w:rPr>
                <w:rFonts w:ascii="Arial" w:cs="Arial" w:eastAsia="Arial" w:hAnsi="Arial"/>
                <w:sz w:val="15"/>
                <w:szCs w:val="15"/>
                <w:b w:val="1"/>
                <w:bCs w:val="1"/>
                <w:color w:val="auto"/>
              </w:rPr>
              <w:t>Compensation</w:t>
            </w:r>
          </w:p>
        </w:tc>
        <w:tc>
          <w:tcPr>
            <w:tcW w:w="120" w:type="dxa"/>
            <w:vAlign w:val="bottom"/>
          </w:tcPr>
          <w:p>
            <w:pPr>
              <w:spacing w:after="0"/>
              <w:rPr>
                <w:sz w:val="14"/>
                <w:szCs w:val="14"/>
                <w:color w:val="auto"/>
              </w:rPr>
            </w:pPr>
          </w:p>
        </w:tc>
        <w:tc>
          <w:tcPr>
            <w:tcW w:w="860" w:type="dxa"/>
            <w:vAlign w:val="bottom"/>
            <w:gridSpan w:val="2"/>
          </w:tcPr>
          <w:p>
            <w:pPr>
              <w:ind w:left="180"/>
              <w:spacing w:after="0" w:line="16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86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gridSpan w:val="2"/>
            <w:shd w:val="clear" w:color="auto" w:fill="CCEEFF"/>
          </w:tcPr>
          <w:p>
            <w:pPr>
              <w:spacing w:after="0" w:line="217" w:lineRule="exact"/>
              <w:rPr>
                <w:sz w:val="20"/>
                <w:szCs w:val="20"/>
                <w:color w:val="auto"/>
              </w:rPr>
            </w:pPr>
            <w:r>
              <w:rPr>
                <w:rFonts w:ascii="Arial" w:cs="Arial" w:eastAsia="Arial" w:hAnsi="Arial"/>
                <w:sz w:val="19"/>
                <w:szCs w:val="19"/>
                <w:color w:val="auto"/>
              </w:rPr>
              <w:t xml:space="preserve">Eric S. Yuan, </w:t>
            </w:r>
            <w:r>
              <w:rPr>
                <w:rFonts w:ascii="Arial" w:cs="Arial" w:eastAsia="Arial" w:hAnsi="Arial"/>
                <w:sz w:val="19"/>
                <w:szCs w:val="19"/>
                <w:i w:val="1"/>
                <w:iCs w:val="1"/>
                <w:color w:val="auto"/>
              </w:rPr>
              <w:t>President and Chief Executive Officer</w:t>
            </w:r>
          </w:p>
        </w:tc>
        <w:tc>
          <w:tcPr>
            <w:tcW w:w="440" w:type="dxa"/>
            <w:vAlign w:val="bottom"/>
            <w:shd w:val="clear" w:color="auto" w:fill="CCEEFF"/>
          </w:tcPr>
          <w:p>
            <w:pPr>
              <w:ind w:left="60"/>
              <w:spacing w:after="0" w:line="217" w:lineRule="exact"/>
              <w:rPr>
                <w:sz w:val="20"/>
                <w:szCs w:val="20"/>
                <w:color w:val="auto"/>
              </w:rPr>
            </w:pPr>
            <w:r>
              <w:rPr>
                <w:rFonts w:ascii="Arial" w:cs="Arial" w:eastAsia="Arial" w:hAnsi="Arial"/>
                <w:sz w:val="19"/>
                <w:szCs w:val="19"/>
                <w:color w:val="auto"/>
                <w:w w:val="85"/>
              </w:rPr>
              <w:t>2019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line="217" w:lineRule="exact"/>
              <w:rPr>
                <w:sz w:val="20"/>
                <w:szCs w:val="20"/>
                <w:color w:val="auto"/>
              </w:rPr>
            </w:pPr>
            <w:r>
              <w:rPr>
                <w:rFonts w:ascii="Arial" w:cs="Arial" w:eastAsia="Arial" w:hAnsi="Arial"/>
                <w:sz w:val="19"/>
                <w:szCs w:val="19"/>
                <w:color w:val="auto"/>
                <w:w w:val="93"/>
              </w:rPr>
              <w:t>$300,000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85"/>
              </w:rPr>
              <w:t>$ 2,725,000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line="217" w:lineRule="exact"/>
              <w:rPr>
                <w:sz w:val="20"/>
                <w:szCs w:val="20"/>
                <w:color w:val="auto"/>
              </w:rPr>
            </w:pPr>
            <w:r>
              <w:rPr>
                <w:rFonts w:ascii="Arial" w:cs="Arial" w:eastAsia="Arial" w:hAnsi="Arial"/>
                <w:sz w:val="19"/>
                <w:szCs w:val="19"/>
                <w:color w:val="auto"/>
                <w:w w:val="89"/>
              </w:rPr>
              <w:t>3,025,000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2018</w:t>
            </w:r>
          </w:p>
        </w:tc>
        <w:tc>
          <w:tcPr>
            <w:tcW w:w="1160" w:type="dxa"/>
            <w:vAlign w:val="bottom"/>
            <w:gridSpan w:val="3"/>
          </w:tcPr>
          <w:p>
            <w:pPr>
              <w:jc w:val="center"/>
              <w:ind w:left="45"/>
              <w:spacing w:after="0"/>
              <w:rPr>
                <w:sz w:val="20"/>
                <w:szCs w:val="20"/>
                <w:color w:val="auto"/>
              </w:rPr>
            </w:pPr>
            <w:r>
              <w:rPr>
                <w:rFonts w:ascii="Arial" w:cs="Arial" w:eastAsia="Arial" w:hAnsi="Arial"/>
                <w:sz w:val="19"/>
                <w:szCs w:val="19"/>
                <w:color w:val="auto"/>
                <w:w w:val="93"/>
              </w:rPr>
              <w:t>$300,000</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300" w:type="dxa"/>
            <w:vAlign w:val="bottom"/>
            <w:gridSpan w:val="2"/>
          </w:tcPr>
          <w:p>
            <w:pPr>
              <w:ind w:left="140"/>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9"/>
                <w:szCs w:val="19"/>
                <w:color w:val="auto"/>
                <w:w w:val="94"/>
              </w:rPr>
              <w:t>8,636,599</w:t>
            </w:r>
            <w:r>
              <w:rPr>
                <w:rFonts w:ascii="Arial" w:cs="Arial" w:eastAsia="Arial" w:hAnsi="Arial"/>
                <w:sz w:val="16"/>
                <w:szCs w:val="16"/>
                <w:color w:val="auto"/>
                <w:w w:val="94"/>
              </w:rPr>
              <w:t>(3)</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89"/>
              </w:rPr>
              <w:t>8,936,599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 xml:space="preserve">Janine Pelosi, </w:t>
            </w:r>
            <w:r>
              <w:rPr>
                <w:rFonts w:ascii="Arial" w:cs="Arial" w:eastAsia="Arial" w:hAnsi="Arial"/>
                <w:sz w:val="19"/>
                <w:szCs w:val="19"/>
                <w:i w:val="1"/>
                <w:iCs w:val="1"/>
                <w:color w:val="auto"/>
              </w:rPr>
              <w:t>Chief Marketing Officer</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2019</w:t>
            </w:r>
          </w:p>
        </w:tc>
        <w:tc>
          <w:tcPr>
            <w:tcW w:w="1160" w:type="dxa"/>
            <w:vAlign w:val="bottom"/>
            <w:gridSpan w:val="3"/>
            <w:shd w:val="clear" w:color="auto" w:fill="CCEEFF"/>
          </w:tcPr>
          <w:p>
            <w:pPr>
              <w:jc w:val="center"/>
              <w:ind w:left="45"/>
              <w:spacing w:after="0"/>
              <w:rPr>
                <w:sz w:val="20"/>
                <w:szCs w:val="20"/>
                <w:color w:val="auto"/>
              </w:rPr>
            </w:pPr>
            <w:r>
              <w:rPr>
                <w:rFonts w:ascii="Arial" w:cs="Arial" w:eastAsia="Arial" w:hAnsi="Arial"/>
                <w:sz w:val="19"/>
                <w:szCs w:val="19"/>
                <w:color w:val="auto"/>
                <w:w w:val="93"/>
              </w:rPr>
              <w:t>$224,167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99"/>
              </w:rPr>
              <w:t>$ 1,872,000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52,500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2,148,667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gridSpan w:val="2"/>
          </w:tcPr>
          <w:p>
            <w:pPr>
              <w:spacing w:after="0"/>
              <w:rPr>
                <w:sz w:val="20"/>
                <w:szCs w:val="20"/>
                <w:color w:val="auto"/>
              </w:rPr>
            </w:pPr>
            <w:r>
              <w:rPr>
                <w:rFonts w:ascii="Arial" w:cs="Arial" w:eastAsia="Arial" w:hAnsi="Arial"/>
                <w:sz w:val="19"/>
                <w:szCs w:val="19"/>
                <w:color w:val="auto"/>
              </w:rPr>
              <w:t xml:space="preserve">Aparna Bawa, </w:t>
            </w:r>
            <w:r>
              <w:rPr>
                <w:rFonts w:ascii="Arial" w:cs="Arial" w:eastAsia="Arial" w:hAnsi="Arial"/>
                <w:sz w:val="19"/>
                <w:szCs w:val="19"/>
                <w:i w:val="1"/>
                <w:iCs w:val="1"/>
                <w:color w:val="auto"/>
              </w:rPr>
              <w:t>Secretary and General Counsel</w:t>
            </w: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2019</w:t>
            </w:r>
          </w:p>
        </w:tc>
        <w:tc>
          <w:tcPr>
            <w:tcW w:w="1160" w:type="dxa"/>
            <w:vAlign w:val="bottom"/>
            <w:gridSpan w:val="3"/>
          </w:tcPr>
          <w:p>
            <w:pPr>
              <w:jc w:val="center"/>
              <w:ind w:left="45"/>
              <w:spacing w:after="0"/>
              <w:rPr>
                <w:sz w:val="20"/>
                <w:szCs w:val="20"/>
                <w:color w:val="auto"/>
              </w:rPr>
            </w:pPr>
            <w:r>
              <w:rPr>
                <w:rFonts w:ascii="Arial" w:cs="Arial" w:eastAsia="Arial" w:hAnsi="Arial"/>
                <w:sz w:val="19"/>
                <w:szCs w:val="19"/>
                <w:color w:val="auto"/>
                <w:w w:val="93"/>
              </w:rPr>
              <w:t>$102,083</w:t>
            </w:r>
          </w:p>
        </w:tc>
        <w:tc>
          <w:tcPr>
            <w:tcW w:w="1020" w:type="dxa"/>
            <w:vAlign w:val="bottom"/>
            <w:gridSpan w:val="2"/>
          </w:tcPr>
          <w:p>
            <w:pPr>
              <w:jc w:val="right"/>
              <w:spacing w:after="0"/>
              <w:rPr>
                <w:sz w:val="20"/>
                <w:szCs w:val="20"/>
                <w:color w:val="auto"/>
              </w:rPr>
            </w:pPr>
            <w:r>
              <w:rPr>
                <w:rFonts w:ascii="Arial" w:cs="Arial" w:eastAsia="Arial" w:hAnsi="Arial"/>
                <w:sz w:val="19"/>
                <w:szCs w:val="19"/>
                <w:color w:val="auto"/>
                <w:w w:val="99"/>
              </w:rPr>
              <w:t>$ 1,508,400</w:t>
            </w:r>
          </w:p>
        </w:tc>
        <w:tc>
          <w:tcPr>
            <w:tcW w:w="420" w:type="dxa"/>
            <w:vAlign w:val="bottom"/>
            <w:gridSpan w:val="2"/>
          </w:tcPr>
          <w:p>
            <w:pPr>
              <w:ind w:left="280"/>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9"/>
                <w:szCs w:val="19"/>
                <w:color w:val="auto"/>
              </w:rPr>
              <w:t>32,083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w w:val="89"/>
              </w:rPr>
              <w:t>1,642,566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 xml:space="preserve">Gregory Holmes, </w:t>
            </w:r>
            <w:r>
              <w:rPr>
                <w:rFonts w:ascii="Arial" w:cs="Arial" w:eastAsia="Arial" w:hAnsi="Arial"/>
                <w:sz w:val="19"/>
                <w:szCs w:val="19"/>
                <w:i w:val="1"/>
                <w:iCs w:val="1"/>
                <w:color w:val="auto"/>
              </w:rPr>
              <w:t>former Head of Worldwide Sales</w:t>
            </w:r>
          </w:p>
        </w:tc>
        <w:tc>
          <w:tcPr>
            <w:tcW w:w="440" w:type="dxa"/>
            <w:vAlign w:val="bottom"/>
            <w:shd w:val="clear" w:color="auto" w:fill="CCEEFF"/>
          </w:tcPr>
          <w:p>
            <w:pPr>
              <w:ind w:left="60"/>
              <w:spacing w:after="0"/>
              <w:rPr>
                <w:sz w:val="20"/>
                <w:szCs w:val="20"/>
                <w:color w:val="auto"/>
              </w:rPr>
            </w:pPr>
            <w:r>
              <w:rPr>
                <w:rFonts w:ascii="Arial" w:cs="Arial" w:eastAsia="Arial" w:hAnsi="Arial"/>
                <w:sz w:val="19"/>
                <w:szCs w:val="19"/>
                <w:color w:val="auto"/>
                <w:w w:val="85"/>
              </w:rPr>
              <w:t>2019</w:t>
            </w:r>
          </w:p>
        </w:tc>
        <w:tc>
          <w:tcPr>
            <w:tcW w:w="1160" w:type="dxa"/>
            <w:vAlign w:val="bottom"/>
            <w:gridSpan w:val="3"/>
            <w:shd w:val="clear" w:color="auto" w:fill="CCEEFF"/>
          </w:tcPr>
          <w:p>
            <w:pPr>
              <w:jc w:val="center"/>
              <w:ind w:left="45"/>
              <w:spacing w:after="0"/>
              <w:rPr>
                <w:sz w:val="20"/>
                <w:szCs w:val="20"/>
                <w:color w:val="auto"/>
              </w:rPr>
            </w:pPr>
            <w:r>
              <w:rPr>
                <w:rFonts w:ascii="Arial" w:cs="Arial" w:eastAsia="Arial" w:hAnsi="Arial"/>
                <w:sz w:val="19"/>
                <w:szCs w:val="19"/>
                <w:color w:val="auto"/>
                <w:w w:val="93"/>
              </w:rPr>
              <w:t>$226,667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99"/>
              </w:rPr>
              <w:t>$ 1,635,000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rPr>
              <w:t>346,763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2,208,430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9"/>
                <w:szCs w:val="19"/>
                <w:color w:val="auto"/>
                <w:w w:val="85"/>
              </w:rPr>
              <w:t>2018</w:t>
            </w:r>
          </w:p>
        </w:tc>
        <w:tc>
          <w:tcPr>
            <w:tcW w:w="1160" w:type="dxa"/>
            <w:vAlign w:val="bottom"/>
            <w:gridSpan w:val="3"/>
          </w:tcPr>
          <w:p>
            <w:pPr>
              <w:jc w:val="center"/>
              <w:ind w:left="45"/>
              <w:spacing w:after="0"/>
              <w:rPr>
                <w:sz w:val="20"/>
                <w:szCs w:val="20"/>
                <w:color w:val="auto"/>
              </w:rPr>
            </w:pPr>
            <w:r>
              <w:rPr>
                <w:rFonts w:ascii="Arial" w:cs="Arial" w:eastAsia="Arial" w:hAnsi="Arial"/>
                <w:sz w:val="19"/>
                <w:szCs w:val="19"/>
                <w:color w:val="auto"/>
                <w:w w:val="93"/>
              </w:rPr>
              <w:t>$192,083</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w:t>
            </w:r>
          </w:p>
        </w:tc>
        <w:tc>
          <w:tcPr>
            <w:tcW w:w="420" w:type="dxa"/>
            <w:vAlign w:val="bottom"/>
            <w:gridSpan w:val="2"/>
          </w:tcPr>
          <w:p>
            <w:pPr>
              <w:ind w:left="280"/>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9"/>
                <w:szCs w:val="19"/>
                <w:color w:val="auto"/>
              </w:rPr>
              <w:t>508,039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700,122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60" w:hanging="461"/>
        <w:spacing w:after="0" w:line="268"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1" w:lineRule="exact"/>
        <w:rPr>
          <w:rFonts w:ascii="Arial" w:cs="Arial" w:eastAsia="Arial" w:hAnsi="Arial"/>
          <w:sz w:val="18"/>
          <w:szCs w:val="18"/>
          <w:color w:val="auto"/>
        </w:rPr>
      </w:pPr>
    </w:p>
    <w:p>
      <w:pPr>
        <w:ind w:left="640" w:right="240" w:hanging="461"/>
        <w:spacing w:after="0" w:line="250" w:lineRule="auto"/>
        <w:tabs>
          <w:tab w:leader="none" w:pos="6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amounts disclosed represent the applicable named executive officer’s total performance bonus earned for the fiscal years ended January 31, 2018 and January 31, 2019 as described below under “—Performance-Based Bonus Opportunity.”</w:t>
      </w:r>
    </w:p>
    <w:p>
      <w:pPr>
        <w:spacing w:after="0" w:line="1" w:lineRule="exact"/>
        <w:rPr>
          <w:rFonts w:ascii="Arial" w:cs="Arial" w:eastAsia="Arial" w:hAnsi="Arial"/>
          <w:sz w:val="19"/>
          <w:szCs w:val="19"/>
          <w:color w:val="auto"/>
        </w:rPr>
      </w:pPr>
    </w:p>
    <w:p>
      <w:pPr>
        <w:ind w:left="640" w:right="20" w:hanging="461"/>
        <w:spacing w:after="0" w:line="252" w:lineRule="auto"/>
        <w:tabs>
          <w:tab w:leader="none" w:pos="6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6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96</w:t>
      </w:r>
    </w:p>
    <w:p>
      <w:pPr>
        <w:sectPr>
          <w:pgSz w:w="12240" w:h="15840" w:orient="portrait"/>
          <w:cols w:equalWidth="0" w:num="1">
            <w:col w:w="11820"/>
          </w:cols>
          <w:pgMar w:left="120" w:top="336" w:right="300" w:bottom="1440" w:gutter="0" w:footer="0" w:header="0"/>
        </w:sectPr>
      </w:pPr>
    </w:p>
    <w:bookmarkStart w:id="101" w:name="page102"/>
    <w:bookmarkEnd w:id="10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Annual Base Salary</w:t>
      </w:r>
    </w:p>
    <w:p>
      <w:pPr>
        <w:spacing w:after="0" w:line="130" w:lineRule="exact"/>
        <w:rPr>
          <w:sz w:val="20"/>
          <w:szCs w:val="20"/>
          <w:color w:val="auto"/>
        </w:rPr>
      </w:pPr>
    </w:p>
    <w:p>
      <w:pPr>
        <w:ind w:left="180" w:right="740" w:firstLine="465"/>
        <w:spacing w:after="0" w:line="336" w:lineRule="auto"/>
        <w:rPr>
          <w:sz w:val="20"/>
          <w:szCs w:val="20"/>
          <w:color w:val="auto"/>
        </w:rPr>
      </w:pPr>
      <w:r>
        <w:rPr>
          <w:rFonts w:ascii="Arial" w:cs="Arial" w:eastAsia="Arial" w:hAnsi="Arial"/>
          <w:sz w:val="17"/>
          <w:szCs w:val="17"/>
          <w:color w:val="auto"/>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98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5"/>
                <w:szCs w:val="15"/>
                <w:b w:val="1"/>
                <w:bCs w:val="1"/>
                <w:color w:val="auto"/>
              </w:rPr>
              <w:t>Fiscal Year</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9820" w:type="dxa"/>
            <w:vAlign w:val="bottom"/>
            <w:vMerge w:val="continue"/>
          </w:tcPr>
          <w:p>
            <w:pPr>
              <w:spacing w:after="0"/>
              <w:rPr>
                <w:sz w:val="16"/>
                <w:szCs w:val="16"/>
                <w:color w:val="auto"/>
              </w:rPr>
            </w:pPr>
          </w:p>
        </w:tc>
        <w:tc>
          <w:tcPr>
            <w:tcW w:w="1440" w:type="dxa"/>
            <w:vAlign w:val="bottom"/>
            <w:gridSpan w:val="3"/>
          </w:tcPr>
          <w:p>
            <w:pPr>
              <w:spacing w:after="0" w:line="166" w:lineRule="exact"/>
              <w:rPr>
                <w:sz w:val="20"/>
                <w:szCs w:val="20"/>
                <w:color w:val="auto"/>
              </w:rPr>
            </w:pPr>
            <w:r>
              <w:rPr>
                <w:rFonts w:ascii="Arial" w:cs="Arial" w:eastAsia="Arial" w:hAnsi="Arial"/>
                <w:sz w:val="15"/>
                <w:szCs w:val="15"/>
                <w:b w:val="1"/>
                <w:bCs w:val="1"/>
                <w:color w:val="auto"/>
              </w:rPr>
              <w:t>2018 Base Salary</w:t>
            </w:r>
          </w:p>
        </w:tc>
        <w:tc>
          <w:tcPr>
            <w:tcW w:w="0" w:type="dxa"/>
            <w:vAlign w:val="bottom"/>
          </w:tcPr>
          <w:p>
            <w:pPr>
              <w:spacing w:after="0"/>
              <w:rPr>
                <w:sz w:val="1"/>
                <w:szCs w:val="1"/>
                <w:color w:val="auto"/>
              </w:rPr>
            </w:pPr>
          </w:p>
        </w:tc>
      </w:tr>
      <w:tr>
        <w:trPr>
          <w:trHeight w:val="217"/>
        </w:trPr>
        <w:tc>
          <w:tcPr>
            <w:tcW w:w="10200" w:type="dxa"/>
            <w:vAlign w:val="bottom"/>
            <w:tcBorders>
              <w:top w:val="single" w:sz="8" w:color="CCEEFF"/>
            </w:tcBorders>
            <w:gridSpan w:val="2"/>
            <w:shd w:val="clear" w:color="auto" w:fill="CCEEFF"/>
          </w:tcPr>
          <w:p>
            <w:pPr>
              <w:spacing w:after="0" w:line="217" w:lineRule="exact"/>
              <w:rPr>
                <w:sz w:val="20"/>
                <w:szCs w:val="20"/>
                <w:color w:val="auto"/>
              </w:rPr>
            </w:pPr>
            <w:r>
              <w:rPr>
                <w:rFonts w:ascii="Arial" w:cs="Arial" w:eastAsia="Arial" w:hAnsi="Arial"/>
                <w:sz w:val="19"/>
                <w:szCs w:val="19"/>
                <w:color w:val="auto"/>
              </w:rPr>
              <w:t>Eric S. Yuan</w:t>
            </w:r>
          </w:p>
        </w:tc>
        <w:tc>
          <w:tcPr>
            <w:tcW w:w="160" w:type="dxa"/>
            <w:vAlign w:val="bottom"/>
            <w:tcBorders>
              <w:top w:val="single" w:sz="8" w:color="auto"/>
            </w:tcBorders>
            <w:shd w:val="clear" w:color="auto" w:fill="CCEEFF"/>
          </w:tcPr>
          <w:p>
            <w:pPr>
              <w:spacing w:after="0" w:line="217" w:lineRule="exact"/>
              <w:rPr>
                <w:sz w:val="20"/>
                <w:szCs w:val="20"/>
                <w:color w:val="auto"/>
              </w:rPr>
            </w:pPr>
            <w:r>
              <w:rPr>
                <w:rFonts w:ascii="Arial" w:cs="Arial" w:eastAsia="Arial" w:hAnsi="Arial"/>
                <w:sz w:val="19"/>
                <w:szCs w:val="19"/>
                <w:color w:val="auto"/>
              </w:rPr>
              <w:t>$</w:t>
            </w:r>
          </w:p>
        </w:tc>
        <w:tc>
          <w:tcPr>
            <w:tcW w:w="1000" w:type="dxa"/>
            <w:vAlign w:val="bottom"/>
            <w:tcBorders>
              <w:top w:val="single" w:sz="8" w:color="auto"/>
            </w:tcBorders>
            <w:shd w:val="clear" w:color="auto" w:fill="CCEEFF"/>
          </w:tcPr>
          <w:p>
            <w:pPr>
              <w:ind w:left="380"/>
              <w:spacing w:after="0" w:line="217" w:lineRule="exact"/>
              <w:rPr>
                <w:sz w:val="20"/>
                <w:szCs w:val="20"/>
                <w:color w:val="auto"/>
              </w:rPr>
            </w:pPr>
            <w:r>
              <w:rPr>
                <w:rFonts w:ascii="Arial" w:cs="Arial" w:eastAsia="Arial" w:hAnsi="Arial"/>
                <w:sz w:val="19"/>
                <w:szCs w:val="19"/>
                <w:color w:val="auto"/>
                <w:w w:val="87"/>
              </w:rPr>
              <w:t>300,000</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200" w:type="dxa"/>
            <w:vAlign w:val="bottom"/>
            <w:gridSpan w:val="2"/>
          </w:tcPr>
          <w:p>
            <w:pPr>
              <w:spacing w:after="0"/>
              <w:rPr>
                <w:sz w:val="20"/>
                <w:szCs w:val="20"/>
                <w:color w:val="auto"/>
              </w:rPr>
            </w:pPr>
            <w:r>
              <w:rPr>
                <w:rFonts w:ascii="Arial" w:cs="Arial" w:eastAsia="Arial" w:hAnsi="Arial"/>
                <w:sz w:val="19"/>
                <w:szCs w:val="19"/>
                <w:color w:val="auto"/>
              </w:rPr>
              <w:t>Janine Pelosi</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1280" w:type="dxa"/>
            <w:vAlign w:val="bottom"/>
            <w:gridSpan w:val="2"/>
          </w:tcPr>
          <w:p>
            <w:pPr>
              <w:ind w:left="380"/>
              <w:spacing w:after="0"/>
              <w:rPr>
                <w:sz w:val="20"/>
                <w:szCs w:val="20"/>
                <w:color w:val="auto"/>
              </w:rPr>
            </w:pPr>
            <w:r>
              <w:rPr>
                <w:rFonts w:ascii="Arial" w:cs="Arial" w:eastAsia="Arial" w:hAnsi="Arial"/>
                <w:sz w:val="19"/>
                <w:szCs w:val="19"/>
                <w:color w:val="auto"/>
                <w:w w:val="99"/>
              </w:rPr>
              <w:t>250,000</w:t>
            </w:r>
            <w:r>
              <w:rPr>
                <w:rFonts w:ascii="Arial" w:cs="Arial" w:eastAsia="Arial" w:hAnsi="Arial"/>
                <w:sz w:val="16"/>
                <w:szCs w:val="16"/>
                <w:color w:val="auto"/>
                <w:w w:val="99"/>
              </w:rPr>
              <w:t>(1)</w:t>
            </w:r>
          </w:p>
        </w:tc>
        <w:tc>
          <w:tcPr>
            <w:tcW w:w="0" w:type="dxa"/>
            <w:vAlign w:val="bottom"/>
          </w:tcPr>
          <w:p>
            <w:pPr>
              <w:spacing w:after="0"/>
              <w:rPr>
                <w:sz w:val="1"/>
                <w:szCs w:val="1"/>
                <w:color w:val="auto"/>
              </w:rPr>
            </w:pPr>
          </w:p>
        </w:tc>
      </w:tr>
      <w:tr>
        <w:trPr>
          <w:trHeight w:val="229"/>
        </w:trPr>
        <w:tc>
          <w:tcPr>
            <w:tcW w:w="102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Aparna Bawa</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9"/>
                <w:szCs w:val="19"/>
                <w:color w:val="auto"/>
                <w:w w:val="99"/>
              </w:rPr>
              <w:t>250,000</w:t>
            </w:r>
            <w:r>
              <w:rPr>
                <w:rFonts w:ascii="Arial" w:cs="Arial" w:eastAsia="Arial" w:hAnsi="Arial"/>
                <w:sz w:val="16"/>
                <w:szCs w:val="16"/>
                <w:color w:val="auto"/>
                <w:w w:val="99"/>
              </w:rPr>
              <w:t>(2)</w:t>
            </w:r>
          </w:p>
        </w:tc>
        <w:tc>
          <w:tcPr>
            <w:tcW w:w="0" w:type="dxa"/>
            <w:vAlign w:val="bottom"/>
          </w:tcPr>
          <w:p>
            <w:pPr>
              <w:spacing w:after="0"/>
              <w:rPr>
                <w:sz w:val="1"/>
                <w:szCs w:val="1"/>
                <w:color w:val="auto"/>
              </w:rPr>
            </w:pPr>
          </w:p>
        </w:tc>
      </w:tr>
      <w:tr>
        <w:trPr>
          <w:trHeight w:val="241"/>
        </w:trPr>
        <w:tc>
          <w:tcPr>
            <w:tcW w:w="10200" w:type="dxa"/>
            <w:vAlign w:val="bottom"/>
            <w:gridSpan w:val="2"/>
          </w:tcPr>
          <w:p>
            <w:pPr>
              <w:spacing w:after="0"/>
              <w:rPr>
                <w:sz w:val="20"/>
                <w:szCs w:val="20"/>
                <w:color w:val="auto"/>
              </w:rPr>
            </w:pPr>
            <w:r>
              <w:rPr>
                <w:rFonts w:ascii="Arial" w:cs="Arial" w:eastAsia="Arial" w:hAnsi="Arial"/>
                <w:sz w:val="19"/>
                <w:szCs w:val="19"/>
                <w:color w:val="auto"/>
              </w:rPr>
              <w:t>Gregory Holmes</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1280" w:type="dxa"/>
            <w:vAlign w:val="bottom"/>
            <w:gridSpan w:val="2"/>
          </w:tcPr>
          <w:p>
            <w:pPr>
              <w:ind w:left="380"/>
              <w:spacing w:after="0"/>
              <w:rPr>
                <w:sz w:val="20"/>
                <w:szCs w:val="20"/>
                <w:color w:val="auto"/>
              </w:rPr>
            </w:pPr>
            <w:r>
              <w:rPr>
                <w:rFonts w:ascii="Arial" w:cs="Arial" w:eastAsia="Arial" w:hAnsi="Arial"/>
                <w:sz w:val="19"/>
                <w:szCs w:val="19"/>
                <w:color w:val="auto"/>
                <w:w w:val="99"/>
              </w:rPr>
              <w:t>250,000</w:t>
            </w:r>
            <w:r>
              <w:rPr>
                <w:rFonts w:ascii="Arial" w:cs="Arial" w:eastAsia="Arial" w:hAnsi="Arial"/>
                <w:sz w:val="16"/>
                <w:szCs w:val="16"/>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81915</wp:posOffset>
            </wp:positionV>
            <wp:extent cx="7423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52" w:lineRule="exact"/>
        <w:rPr>
          <w:sz w:val="20"/>
          <w:szCs w:val="20"/>
          <w:color w:val="auto"/>
        </w:rPr>
      </w:pPr>
    </w:p>
    <w:p>
      <w:pPr>
        <w:ind w:left="640" w:right="1060" w:hanging="461"/>
        <w:spacing w:after="0" w:line="257" w:lineRule="auto"/>
        <w:tabs>
          <w:tab w:leader="none" w:pos="6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Ms. Bawa’s base salary rate was effective as of September 5, 2018 upon commencement of her employment.</w:t>
      </w:r>
    </w:p>
    <w:p>
      <w:pPr>
        <w:spacing w:after="0" w:line="9" w:lineRule="exact"/>
        <w:rPr>
          <w:rFonts w:ascii="Arial" w:cs="Arial" w:eastAsia="Arial" w:hAnsi="Arial"/>
          <w:sz w:val="19"/>
          <w:szCs w:val="19"/>
          <w:color w:val="auto"/>
        </w:rPr>
      </w:pPr>
    </w:p>
    <w:p>
      <w:pPr>
        <w:ind w:left="640" w:right="460" w:hanging="461"/>
        <w:spacing w:after="0" w:line="289"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Annual Performance-Based Bonus Opportunity</w:t>
      </w:r>
    </w:p>
    <w:p>
      <w:pPr>
        <w:spacing w:after="0" w:line="130"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85" w:lineRule="exact"/>
        <w:rPr>
          <w:sz w:val="20"/>
          <w:szCs w:val="20"/>
          <w:color w:val="auto"/>
        </w:rPr>
      </w:pPr>
    </w:p>
    <w:p>
      <w:pPr>
        <w:ind w:left="180" w:right="140" w:firstLine="465"/>
        <w:spacing w:after="0" w:line="271" w:lineRule="auto"/>
        <w:rPr>
          <w:sz w:val="20"/>
          <w:szCs w:val="20"/>
          <w:color w:val="auto"/>
        </w:rPr>
      </w:pPr>
      <w:r>
        <w:rPr>
          <w:rFonts w:ascii="Arial" w:cs="Arial" w:eastAsia="Arial" w:hAnsi="Arial"/>
          <w:sz w:val="18"/>
          <w:szCs w:val="18"/>
          <w:color w:val="auto"/>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Equity-Based Incentive Awards</w:t>
      </w:r>
    </w:p>
    <w:p>
      <w:pPr>
        <w:spacing w:after="0" w:line="130" w:lineRule="exact"/>
        <w:rPr>
          <w:sz w:val="20"/>
          <w:szCs w:val="20"/>
          <w:color w:val="auto"/>
        </w:rPr>
      </w:pPr>
    </w:p>
    <w:p>
      <w:pPr>
        <w:ind w:left="180" w:right="40" w:firstLine="465"/>
        <w:spacing w:after="0" w:line="263" w:lineRule="auto"/>
        <w:rPr>
          <w:sz w:val="20"/>
          <w:szCs w:val="20"/>
          <w:color w:val="auto"/>
        </w:rPr>
      </w:pPr>
      <w:r>
        <w:rPr>
          <w:rFonts w:ascii="Arial" w:cs="Arial" w:eastAsia="Arial" w:hAnsi="Arial"/>
          <w:sz w:val="19"/>
          <w:szCs w:val="19"/>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2018, our compensation committee granted options to purchase 500,000 shares to Mr. Yuan, 450,000 shares to Ms. Pelosi, 360,000</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shares to Ms. Bawa and 300,000 shares to Mr. Holmes. Each of the options have an exercise price per share of $3.77, except that 132,585 shares of</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Mr. Yuan’s option have an exercise price per share of $4.15 in order to comply with tax rules governing options intended to be “incentive stock options.”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shares subject to each of the September 2018 options vest in 48 equal monthly installments measured from the grant date, subject to the executive’s</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continuous service with us as of each such vesting date. Ms. Bawa’s option grant permits early exercise, whereby Ms. Bawa may purchase shares prior</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vesting, subject to our right to repurchase such shares, lapsing over time in accordance with the vesting schedule of the stock option.</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97</w:t>
      </w:r>
    </w:p>
    <w:p>
      <w:pPr>
        <w:sectPr>
          <w:pgSz w:w="12240" w:h="15840" w:orient="portrait"/>
          <w:cols w:equalWidth="0" w:num="1">
            <w:col w:w="11820"/>
          </w:cols>
          <w:pgMar w:left="120" w:top="336" w:right="300" w:bottom="1440" w:gutter="0" w:footer="0" w:header="0"/>
        </w:sectPr>
      </w:pPr>
    </w:p>
    <w:bookmarkStart w:id="102" w:name="page103"/>
    <w:bookmarkEnd w:id="10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98" w:lineRule="exact"/>
        <w:rPr>
          <w:sz w:val="20"/>
          <w:szCs w:val="20"/>
          <w:color w:val="auto"/>
        </w:rPr>
      </w:pPr>
    </w:p>
    <w:p>
      <w:pPr>
        <w:ind w:left="180" w:right="620" w:firstLine="465"/>
        <w:spacing w:after="0" w:line="275" w:lineRule="auto"/>
        <w:rPr>
          <w:sz w:val="20"/>
          <w:szCs w:val="20"/>
          <w:color w:val="auto"/>
        </w:rPr>
      </w:pPr>
      <w:r>
        <w:rPr>
          <w:rFonts w:ascii="Arial" w:cs="Arial" w:eastAsia="Arial" w:hAnsi="Arial"/>
          <w:sz w:val="19"/>
          <w:szCs w:val="19"/>
          <w:color w:val="auto"/>
        </w:rPr>
        <w:t>Each of our named executive officer’s option grants are additionally subject to potential vesting acceleration as described below under “— Agreements with our Named Executive Officers.”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Agreements with Our Named Executive Officers</w:t>
      </w:r>
    </w:p>
    <w:p>
      <w:pPr>
        <w:spacing w:after="0" w:line="130" w:lineRule="exact"/>
        <w:rPr>
          <w:sz w:val="20"/>
          <w:szCs w:val="20"/>
          <w:color w:val="auto"/>
        </w:rPr>
      </w:pPr>
    </w:p>
    <w:p>
      <w:pPr>
        <w:ind w:left="180" w:right="380" w:firstLine="465"/>
        <w:spacing w:after="0" w:line="259" w:lineRule="auto"/>
        <w:rPr>
          <w:sz w:val="20"/>
          <w:szCs w:val="20"/>
          <w:color w:val="auto"/>
        </w:rPr>
      </w:pPr>
      <w:r>
        <w:rPr>
          <w:rFonts w:ascii="Arial" w:cs="Arial" w:eastAsia="Arial" w:hAnsi="Arial"/>
          <w:sz w:val="19"/>
          <w:szCs w:val="19"/>
          <w:i w:val="1"/>
          <w:iCs w:val="1"/>
          <w:color w:val="auto"/>
        </w:rPr>
        <w:t xml:space="preserve">Eric S. Yuan. </w:t>
      </w:r>
      <w:r>
        <w:rPr>
          <w:rFonts w:ascii="Arial" w:cs="Arial" w:eastAsia="Arial" w:hAnsi="Arial"/>
          <w:sz w:val="19"/>
          <w:szCs w:val="19"/>
          <w:color w:val="auto"/>
        </w:rPr>
        <w:t>In December 2018, we entered into a confirmatory offer letter with Mr. Yuan. The confirmatory offer letter has no specific term,</w:t>
      </w:r>
      <w:r>
        <w:rPr>
          <w:rFonts w:ascii="Arial" w:cs="Arial" w:eastAsia="Arial" w:hAnsi="Arial"/>
          <w:sz w:val="19"/>
          <w:szCs w:val="19"/>
          <w:i w:val="1"/>
          <w:iCs w:val="1"/>
          <w:color w:val="auto"/>
        </w:rPr>
        <w:t xml:space="preserve"> </w:t>
      </w:r>
      <w:r>
        <w:rPr>
          <w:rFonts w:ascii="Arial" w:cs="Arial" w:eastAsia="Arial" w:hAnsi="Arial"/>
          <w:sz w:val="19"/>
          <w:szCs w:val="19"/>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98"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i w:val="1"/>
          <w:iCs w:val="1"/>
          <w:color w:val="auto"/>
        </w:rPr>
        <w:t>Janine Pelosi</w:t>
      </w:r>
      <w:r>
        <w:rPr>
          <w:rFonts w:ascii="Arial" w:cs="Arial" w:eastAsia="Arial" w:hAnsi="Arial"/>
          <w:sz w:val="19"/>
          <w:szCs w:val="19"/>
          <w:color w:val="auto"/>
        </w:rPr>
        <w:t>. We entered into an initial letter agreement with Ms. Pelosi in February 2015 that provided for her at-will employment, initial annual</w:t>
      </w:r>
      <w:r>
        <w:rPr>
          <w:rFonts w:ascii="Arial" w:cs="Arial" w:eastAsia="Arial" w:hAnsi="Arial"/>
          <w:sz w:val="19"/>
          <w:szCs w:val="19"/>
          <w:i w:val="1"/>
          <w:iCs w:val="1"/>
          <w:color w:val="auto"/>
        </w:rPr>
        <w:t xml:space="preserve"> </w:t>
      </w:r>
      <w:r>
        <w:rPr>
          <w:rFonts w:ascii="Arial" w:cs="Arial" w:eastAsia="Arial" w:hAnsi="Arial"/>
          <w:sz w:val="19"/>
          <w:szCs w:val="19"/>
          <w:color w:val="auto"/>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204" w:lineRule="exact"/>
        <w:rPr>
          <w:sz w:val="20"/>
          <w:szCs w:val="20"/>
          <w:color w:val="auto"/>
        </w:rPr>
      </w:pPr>
    </w:p>
    <w:p>
      <w:pPr>
        <w:ind w:left="180" w:right="140" w:firstLine="465"/>
        <w:spacing w:after="0" w:line="255" w:lineRule="auto"/>
        <w:rPr>
          <w:sz w:val="20"/>
          <w:szCs w:val="20"/>
          <w:color w:val="auto"/>
        </w:rPr>
      </w:pPr>
      <w:r>
        <w:rPr>
          <w:rFonts w:ascii="Arial" w:cs="Arial" w:eastAsia="Arial" w:hAnsi="Arial"/>
          <w:sz w:val="19"/>
          <w:szCs w:val="19"/>
          <w:i w:val="1"/>
          <w:iCs w:val="1"/>
          <w:color w:val="auto"/>
        </w:rPr>
        <w:t xml:space="preserve">Aparna Bawa. </w:t>
      </w:r>
      <w:r>
        <w:rPr>
          <w:rFonts w:ascii="Arial" w:cs="Arial" w:eastAsia="Arial" w:hAnsi="Arial"/>
          <w:sz w:val="19"/>
          <w:szCs w:val="19"/>
          <w:color w:val="auto"/>
        </w:rPr>
        <w:t>We entered into an initial letter agreement with Ms. Bawa in August 2018 that provided for her at-will employment, initial annual</w:t>
      </w:r>
      <w:r>
        <w:rPr>
          <w:rFonts w:ascii="Arial" w:cs="Arial" w:eastAsia="Arial" w:hAnsi="Arial"/>
          <w:sz w:val="19"/>
          <w:szCs w:val="19"/>
          <w:i w:val="1"/>
          <w:iCs w:val="1"/>
          <w:color w:val="auto"/>
        </w:rPr>
        <w:t xml:space="preserve"> </w:t>
      </w:r>
      <w:r>
        <w:rPr>
          <w:rFonts w:ascii="Arial" w:cs="Arial" w:eastAsia="Arial" w:hAnsi="Arial"/>
          <w:sz w:val="19"/>
          <w:szCs w:val="19"/>
          <w:color w:val="auto"/>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204" w:lineRule="exact"/>
        <w:rPr>
          <w:sz w:val="20"/>
          <w:szCs w:val="20"/>
          <w:color w:val="auto"/>
        </w:rPr>
      </w:pPr>
    </w:p>
    <w:p>
      <w:pPr>
        <w:ind w:left="180" w:right="40" w:firstLine="465"/>
        <w:spacing w:after="0" w:line="271" w:lineRule="auto"/>
        <w:rPr>
          <w:sz w:val="20"/>
          <w:szCs w:val="20"/>
          <w:color w:val="auto"/>
        </w:rPr>
      </w:pPr>
      <w:r>
        <w:rPr>
          <w:rFonts w:ascii="Arial" w:cs="Arial" w:eastAsia="Arial" w:hAnsi="Arial"/>
          <w:sz w:val="18"/>
          <w:szCs w:val="18"/>
          <w:i w:val="1"/>
          <w:iCs w:val="1"/>
          <w:color w:val="auto"/>
        </w:rPr>
        <w:t>Gregory Holmes</w:t>
      </w:r>
      <w:r>
        <w:rPr>
          <w:rFonts w:ascii="Arial" w:cs="Arial" w:eastAsia="Arial" w:hAnsi="Arial"/>
          <w:sz w:val="18"/>
          <w:szCs w:val="18"/>
          <w:color w:val="auto"/>
        </w:rPr>
        <w:t>. We entered into an offer letter agreement with Mr. Holmes in December 2012 that provided for his at-will employment,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30"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8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98</w:t>
      </w:r>
    </w:p>
    <w:p>
      <w:pPr>
        <w:sectPr>
          <w:pgSz w:w="12240" w:h="15840" w:orient="portrait"/>
          <w:cols w:equalWidth="0" w:num="1">
            <w:col w:w="11800"/>
          </w:cols>
          <w:pgMar w:left="120" w:top="336" w:right="320" w:bottom="1440" w:gutter="0" w:footer="0" w:header="0"/>
        </w:sectPr>
      </w:pPr>
    </w:p>
    <w:bookmarkStart w:id="103" w:name="page104"/>
    <w:bookmarkEnd w:id="10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4" w:lineRule="auto"/>
        <w:rPr>
          <w:sz w:val="20"/>
          <w:szCs w:val="20"/>
          <w:color w:val="auto"/>
        </w:rPr>
      </w:pPr>
      <w:r>
        <w:rPr>
          <w:rFonts w:ascii="Arial" w:cs="Arial" w:eastAsia="Arial" w:hAnsi="Arial"/>
          <w:sz w:val="17"/>
          <w:szCs w:val="17"/>
          <w:color w:val="auto"/>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January 31, 2019.</w:t>
      </w:r>
    </w:p>
    <w:p>
      <w:pPr>
        <w:spacing w:after="0" w:line="269"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5"/>
                <w:szCs w:val="15"/>
                <w:b w:val="1"/>
                <w:bCs w:val="1"/>
                <w:color w:val="auto"/>
                <w:w w:val="93"/>
              </w:rPr>
              <w:t>Option Awards</w:t>
            </w:r>
            <w:r>
              <w:rPr>
                <w:rFonts w:ascii="Arial" w:cs="Arial" w:eastAsia="Arial" w:hAnsi="Arial"/>
                <w:sz w:val="12"/>
                <w:szCs w:val="12"/>
                <w:b w:val="1"/>
                <w:bCs w:val="1"/>
                <w:color w:val="auto"/>
                <w:w w:val="93"/>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ind w:left="520"/>
              <w:spacing w:after="0"/>
              <w:rPr>
                <w:sz w:val="20"/>
                <w:szCs w:val="20"/>
                <w:color w:val="auto"/>
              </w:rPr>
            </w:pPr>
            <w:r>
              <w:rPr>
                <w:rFonts w:ascii="Arial" w:cs="Arial" w:eastAsia="Arial" w:hAnsi="Arial"/>
                <w:sz w:val="15"/>
                <w:szCs w:val="15"/>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28"/>
        </w:trPr>
        <w:tc>
          <w:tcPr>
            <w:tcW w:w="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right="20"/>
              <w:spacing w:after="0" w:line="128" w:lineRule="exact"/>
              <w:rPr>
                <w:sz w:val="20"/>
                <w:szCs w:val="20"/>
                <w:color w:val="auto"/>
              </w:rPr>
            </w:pPr>
            <w:r>
              <w:rPr>
                <w:rFonts w:ascii="Arial" w:cs="Arial" w:eastAsia="Arial" w:hAnsi="Arial"/>
                <w:sz w:val="14"/>
                <w:szCs w:val="14"/>
                <w:b w:val="1"/>
                <w:bCs w:val="1"/>
                <w:color w:val="auto"/>
                <w:w w:val="99"/>
              </w:rPr>
              <w:t>Number of</w:t>
            </w: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b w:val="1"/>
                <w:bCs w:val="1"/>
                <w:color w:val="auto"/>
              </w:rPr>
              <w:t>Number of</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8" w:lineRule="exact"/>
              <w:rPr>
                <w:sz w:val="20"/>
                <w:szCs w:val="20"/>
                <w:color w:val="auto"/>
              </w:rPr>
            </w:pPr>
            <w:r>
              <w:rPr>
                <w:rFonts w:ascii="Arial" w:cs="Arial" w:eastAsia="Arial" w:hAnsi="Arial"/>
                <w:sz w:val="14"/>
                <w:szCs w:val="14"/>
                <w:b w:val="1"/>
                <w:bCs w:val="1"/>
                <w:color w:val="auto"/>
                <w:w w:val="99"/>
              </w:rPr>
              <w:t>Number of</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6"/>
              </w:rPr>
              <w:t>Securities</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5"/>
                <w:szCs w:val="15"/>
                <w:b w:val="1"/>
                <w:bCs w:val="1"/>
                <w:color w:val="auto"/>
                <w:w w:val="89"/>
              </w:rPr>
              <w:t>Securities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88"/>
              </w:rPr>
              <w:t>shares or</w:t>
            </w:r>
          </w:p>
        </w:tc>
        <w:tc>
          <w:tcPr>
            <w:tcW w:w="160" w:type="dxa"/>
            <w:vAlign w:val="bottom"/>
          </w:tcPr>
          <w:p>
            <w:pPr>
              <w:spacing w:after="0"/>
              <w:rPr>
                <w:sz w:val="13"/>
                <w:szCs w:val="13"/>
                <w:color w:val="auto"/>
              </w:rPr>
            </w:pPr>
          </w:p>
        </w:tc>
        <w:tc>
          <w:tcPr>
            <w:tcW w:w="94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6"/>
              </w:rPr>
              <w:t>of shares</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94"/>
              </w:rPr>
              <w:t>Underlying</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5"/>
                <w:szCs w:val="15"/>
                <w:b w:val="1"/>
                <w:bCs w:val="1"/>
                <w:color w:val="auto"/>
                <w:w w:val="91"/>
              </w:rPr>
              <w:t>Underlying</w:t>
            </w:r>
          </w:p>
        </w:tc>
        <w:tc>
          <w:tcPr>
            <w:tcW w:w="140" w:type="dxa"/>
            <w:vAlign w:val="bottom"/>
          </w:tcPr>
          <w:p>
            <w:pPr>
              <w:spacing w:after="0"/>
              <w:rPr>
                <w:sz w:val="13"/>
                <w:szCs w:val="13"/>
                <w:color w:val="auto"/>
              </w:rPr>
            </w:pPr>
          </w:p>
        </w:tc>
        <w:tc>
          <w:tcPr>
            <w:tcW w:w="880" w:type="dxa"/>
            <w:vAlign w:val="bottom"/>
            <w:gridSpan w:val="3"/>
          </w:tcPr>
          <w:p>
            <w:pPr>
              <w:jc w:val="center"/>
              <w:ind w:right="260"/>
              <w:spacing w:after="0" w:line="157" w:lineRule="exact"/>
              <w:rPr>
                <w:sz w:val="20"/>
                <w:szCs w:val="20"/>
                <w:color w:val="auto"/>
              </w:rPr>
            </w:pPr>
            <w:r>
              <w:rPr>
                <w:rFonts w:ascii="Arial" w:cs="Arial" w:eastAsia="Arial" w:hAnsi="Arial"/>
                <w:sz w:val="15"/>
                <w:szCs w:val="15"/>
                <w:b w:val="1"/>
                <w:bCs w:val="1"/>
                <w:color w:val="auto"/>
                <w:w w:val="95"/>
              </w:rPr>
              <w:t>Option</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88"/>
              </w:rPr>
              <w:t>units of</w:t>
            </w:r>
          </w:p>
        </w:tc>
        <w:tc>
          <w:tcPr>
            <w:tcW w:w="160" w:type="dxa"/>
            <w:vAlign w:val="bottom"/>
          </w:tcPr>
          <w:p>
            <w:pPr>
              <w:spacing w:after="0"/>
              <w:rPr>
                <w:sz w:val="13"/>
                <w:szCs w:val="13"/>
                <w:color w:val="auto"/>
              </w:rPr>
            </w:pPr>
          </w:p>
        </w:tc>
        <w:tc>
          <w:tcPr>
            <w:tcW w:w="94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2"/>
              </w:rPr>
              <w:t>or units of</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7"/>
              </w:rPr>
              <w:t>Unexercised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5"/>
                <w:szCs w:val="15"/>
                <w:b w:val="1"/>
                <w:bCs w:val="1"/>
                <w:color w:val="auto"/>
                <w:w w:val="89"/>
              </w:rPr>
              <w:t>Unexercised</w:t>
            </w:r>
          </w:p>
        </w:tc>
        <w:tc>
          <w:tcPr>
            <w:tcW w:w="140" w:type="dxa"/>
            <w:vAlign w:val="bottom"/>
          </w:tcPr>
          <w:p>
            <w:pPr>
              <w:spacing w:after="0"/>
              <w:rPr>
                <w:sz w:val="13"/>
                <w:szCs w:val="13"/>
                <w:color w:val="auto"/>
              </w:rPr>
            </w:pPr>
          </w:p>
        </w:tc>
        <w:tc>
          <w:tcPr>
            <w:tcW w:w="880" w:type="dxa"/>
            <w:vAlign w:val="bottom"/>
            <w:gridSpan w:val="3"/>
          </w:tcPr>
          <w:p>
            <w:pPr>
              <w:jc w:val="center"/>
              <w:ind w:right="260"/>
              <w:spacing w:after="0" w:line="157" w:lineRule="exact"/>
              <w:rPr>
                <w:sz w:val="20"/>
                <w:szCs w:val="20"/>
                <w:color w:val="auto"/>
              </w:rPr>
            </w:pPr>
            <w:r>
              <w:rPr>
                <w:rFonts w:ascii="Arial" w:cs="Arial" w:eastAsia="Arial" w:hAnsi="Arial"/>
                <w:sz w:val="15"/>
                <w:szCs w:val="15"/>
                <w:b w:val="1"/>
                <w:bCs w:val="1"/>
                <w:color w:val="auto"/>
                <w:w w:val="87"/>
              </w:rPr>
              <w:t>Exercise</w:t>
            </w:r>
          </w:p>
        </w:tc>
        <w:tc>
          <w:tcPr>
            <w:tcW w:w="102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5"/>
              </w:rPr>
              <w:t>Option</w:t>
            </w: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stock that</w:t>
            </w:r>
          </w:p>
        </w:tc>
        <w:tc>
          <w:tcPr>
            <w:tcW w:w="160" w:type="dxa"/>
            <w:vAlign w:val="bottom"/>
          </w:tcPr>
          <w:p>
            <w:pPr>
              <w:spacing w:after="0"/>
              <w:rPr>
                <w:sz w:val="13"/>
                <w:szCs w:val="13"/>
                <w:color w:val="auto"/>
              </w:rPr>
            </w:pPr>
          </w:p>
        </w:tc>
        <w:tc>
          <w:tcPr>
            <w:tcW w:w="94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0"/>
              </w:rPr>
              <w:t>stock that</w:t>
            </w:r>
          </w:p>
        </w:tc>
        <w:tc>
          <w:tcPr>
            <w:tcW w:w="0" w:type="dxa"/>
            <w:vAlign w:val="bottom"/>
          </w:tcPr>
          <w:p>
            <w:pPr>
              <w:spacing w:after="0"/>
              <w:rPr>
                <w:sz w:val="1"/>
                <w:szCs w:val="1"/>
                <w:color w:val="auto"/>
              </w:rPr>
            </w:pPr>
          </w:p>
        </w:tc>
      </w:tr>
      <w:tr>
        <w:trPr>
          <w:trHeight w:val="157"/>
        </w:trPr>
        <w:tc>
          <w:tcPr>
            <w:tcW w:w="380" w:type="dxa"/>
            <w:vAlign w:val="bottom"/>
            <w:vMerge w:val="restart"/>
          </w:tcPr>
          <w:p>
            <w:pPr>
              <w:spacing w:after="0"/>
              <w:rPr>
                <w:sz w:val="20"/>
                <w:szCs w:val="20"/>
                <w:color w:val="auto"/>
              </w:rPr>
            </w:pPr>
            <w:r>
              <w:rPr>
                <w:rFonts w:ascii="Arial" w:cs="Arial" w:eastAsia="Arial" w:hAnsi="Arial"/>
                <w:sz w:val="15"/>
                <w:szCs w:val="15"/>
                <w:b w:val="1"/>
                <w:bCs w:val="1"/>
                <w:color w:val="auto"/>
                <w:w w:val="88"/>
              </w:rPr>
              <w:t>Name</w:t>
            </w:r>
          </w:p>
        </w:tc>
        <w:tc>
          <w:tcPr>
            <w:tcW w:w="33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jc w:val="center"/>
              <w:ind w:right="40"/>
              <w:spacing w:after="0" w:line="157" w:lineRule="exact"/>
              <w:rPr>
                <w:sz w:val="20"/>
                <w:szCs w:val="20"/>
                <w:color w:val="auto"/>
              </w:rPr>
            </w:pPr>
            <w:r>
              <w:rPr>
                <w:rFonts w:ascii="Arial" w:cs="Arial" w:eastAsia="Arial" w:hAnsi="Arial"/>
                <w:sz w:val="15"/>
                <w:szCs w:val="15"/>
                <w:b w:val="1"/>
                <w:bCs w:val="1"/>
                <w:color w:val="auto"/>
                <w:w w:val="91"/>
              </w:rPr>
              <w:t>Options</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7" w:lineRule="exact"/>
              <w:rPr>
                <w:sz w:val="20"/>
                <w:szCs w:val="20"/>
                <w:color w:val="auto"/>
              </w:rPr>
            </w:pPr>
            <w:r>
              <w:rPr>
                <w:rFonts w:ascii="Arial" w:cs="Arial" w:eastAsia="Arial" w:hAnsi="Arial"/>
                <w:sz w:val="15"/>
                <w:szCs w:val="15"/>
                <w:b w:val="1"/>
                <w:bCs w:val="1"/>
                <w:color w:val="auto"/>
                <w:w w:val="91"/>
              </w:rPr>
              <w:t>Options</w:t>
            </w:r>
          </w:p>
        </w:tc>
        <w:tc>
          <w:tcPr>
            <w:tcW w:w="140" w:type="dxa"/>
            <w:vAlign w:val="bottom"/>
          </w:tcPr>
          <w:p>
            <w:pPr>
              <w:spacing w:after="0"/>
              <w:rPr>
                <w:sz w:val="13"/>
                <w:szCs w:val="13"/>
                <w:color w:val="auto"/>
              </w:rPr>
            </w:pPr>
          </w:p>
        </w:tc>
        <w:tc>
          <w:tcPr>
            <w:tcW w:w="8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Price Per</w:t>
            </w:r>
          </w:p>
        </w:tc>
        <w:tc>
          <w:tcPr>
            <w:tcW w:w="102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95"/>
              </w:rPr>
              <w:t>Expiration</w:t>
            </w:r>
          </w:p>
        </w:tc>
        <w:tc>
          <w:tcPr>
            <w:tcW w:w="1040" w:type="dxa"/>
            <w:vAlign w:val="bottom"/>
            <w:gridSpan w:val="2"/>
          </w:tcPr>
          <w:p>
            <w:pPr>
              <w:jc w:val="center"/>
              <w:ind w:right="320"/>
              <w:spacing w:after="0" w:line="157" w:lineRule="exact"/>
              <w:rPr>
                <w:sz w:val="20"/>
                <w:szCs w:val="20"/>
                <w:color w:val="auto"/>
              </w:rPr>
            </w:pPr>
            <w:r>
              <w:rPr>
                <w:rFonts w:ascii="Arial" w:cs="Arial" w:eastAsia="Arial" w:hAnsi="Arial"/>
                <w:sz w:val="15"/>
                <w:szCs w:val="15"/>
                <w:b w:val="1"/>
                <w:bCs w:val="1"/>
                <w:color w:val="auto"/>
                <w:w w:val="90"/>
              </w:rPr>
              <w:t>have not</w:t>
            </w:r>
          </w:p>
        </w:tc>
        <w:tc>
          <w:tcPr>
            <w:tcW w:w="160" w:type="dxa"/>
            <w:vAlign w:val="bottom"/>
          </w:tcPr>
          <w:p>
            <w:pPr>
              <w:spacing w:after="0"/>
              <w:rPr>
                <w:sz w:val="13"/>
                <w:szCs w:val="13"/>
                <w:color w:val="auto"/>
              </w:rPr>
            </w:pPr>
          </w:p>
        </w:tc>
        <w:tc>
          <w:tcPr>
            <w:tcW w:w="940" w:type="dxa"/>
            <w:vAlign w:val="bottom"/>
            <w:gridSpan w:val="2"/>
          </w:tcPr>
          <w:p>
            <w:pPr>
              <w:jc w:val="center"/>
              <w:ind w:right="60"/>
              <w:spacing w:after="0" w:line="157" w:lineRule="exact"/>
              <w:rPr>
                <w:sz w:val="20"/>
                <w:szCs w:val="20"/>
                <w:color w:val="auto"/>
              </w:rPr>
            </w:pPr>
            <w:r>
              <w:rPr>
                <w:rFonts w:ascii="Arial" w:cs="Arial" w:eastAsia="Arial" w:hAnsi="Arial"/>
                <w:sz w:val="15"/>
                <w:szCs w:val="15"/>
                <w:b w:val="1"/>
                <w:bCs w:val="1"/>
                <w:color w:val="auto"/>
                <w:w w:val="90"/>
              </w:rPr>
              <w:t>have not</w:t>
            </w:r>
          </w:p>
        </w:tc>
        <w:tc>
          <w:tcPr>
            <w:tcW w:w="0" w:type="dxa"/>
            <w:vAlign w:val="bottom"/>
          </w:tcPr>
          <w:p>
            <w:pPr>
              <w:spacing w:after="0"/>
              <w:rPr>
                <w:sz w:val="1"/>
                <w:szCs w:val="1"/>
                <w:color w:val="auto"/>
              </w:rPr>
            </w:pPr>
          </w:p>
        </w:tc>
      </w:tr>
      <w:tr>
        <w:trPr>
          <w:trHeight w:val="186"/>
        </w:trPr>
        <w:tc>
          <w:tcPr>
            <w:tcW w:w="380" w:type="dxa"/>
            <w:vAlign w:val="bottom"/>
            <w:tcBorders>
              <w:bottom w:val="single" w:sz="8" w:color="auto"/>
            </w:tcBorders>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39"/>
              <w:spacing w:after="0" w:line="166" w:lineRule="exact"/>
              <w:rPr>
                <w:sz w:val="20"/>
                <w:szCs w:val="20"/>
                <w:color w:val="auto"/>
              </w:rPr>
            </w:pPr>
            <w:r>
              <w:rPr>
                <w:rFonts w:ascii="Arial" w:cs="Arial" w:eastAsia="Arial" w:hAnsi="Arial"/>
                <w:sz w:val="15"/>
                <w:szCs w:val="15"/>
                <w:b w:val="1"/>
                <w:bCs w:val="1"/>
                <w:color w:val="auto"/>
              </w:rPr>
              <w:t>Grant Date</w:t>
            </w:r>
          </w:p>
        </w:tc>
        <w:tc>
          <w:tcPr>
            <w:tcW w:w="840" w:type="dxa"/>
            <w:vAlign w:val="bottom"/>
            <w:gridSpan w:val="2"/>
          </w:tcPr>
          <w:p>
            <w:pPr>
              <w:jc w:val="center"/>
              <w:ind w:right="20"/>
              <w:spacing w:after="0" w:line="166" w:lineRule="exact"/>
              <w:rPr>
                <w:sz w:val="20"/>
                <w:szCs w:val="20"/>
                <w:color w:val="auto"/>
              </w:rPr>
            </w:pPr>
            <w:r>
              <w:rPr>
                <w:rFonts w:ascii="Arial" w:cs="Arial" w:eastAsia="Arial" w:hAnsi="Arial"/>
                <w:sz w:val="15"/>
                <w:szCs w:val="15"/>
                <w:b w:val="1"/>
                <w:bCs w:val="1"/>
                <w:color w:val="auto"/>
                <w:w w:val="88"/>
              </w:rPr>
              <w:t>Exercisable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66" w:lineRule="exact"/>
              <w:rPr>
                <w:sz w:val="20"/>
                <w:szCs w:val="20"/>
                <w:color w:val="auto"/>
              </w:rPr>
            </w:pPr>
            <w:r>
              <w:rPr>
                <w:rFonts w:ascii="Arial" w:cs="Arial" w:eastAsia="Arial" w:hAnsi="Arial"/>
                <w:sz w:val="15"/>
                <w:szCs w:val="15"/>
                <w:b w:val="1"/>
                <w:bCs w:val="1"/>
                <w:color w:val="auto"/>
                <w:w w:val="90"/>
              </w:rPr>
              <w:t>Unexercisable</w:t>
            </w:r>
          </w:p>
        </w:tc>
        <w:tc>
          <w:tcPr>
            <w:tcW w:w="140" w:type="dxa"/>
            <w:vAlign w:val="bottom"/>
          </w:tcPr>
          <w:p>
            <w:pPr>
              <w:spacing w:after="0"/>
              <w:rPr>
                <w:sz w:val="16"/>
                <w:szCs w:val="16"/>
                <w:color w:val="auto"/>
              </w:rPr>
            </w:pPr>
          </w:p>
        </w:tc>
        <w:tc>
          <w:tcPr>
            <w:tcW w:w="880" w:type="dxa"/>
            <w:vAlign w:val="bottom"/>
            <w:gridSpan w:val="3"/>
          </w:tcPr>
          <w:p>
            <w:pPr>
              <w:jc w:val="center"/>
              <w:ind w:right="240"/>
              <w:spacing w:after="0" w:line="166" w:lineRule="exact"/>
              <w:rPr>
                <w:sz w:val="20"/>
                <w:szCs w:val="20"/>
                <w:color w:val="auto"/>
              </w:rPr>
            </w:pPr>
            <w:r>
              <w:rPr>
                <w:rFonts w:ascii="Arial" w:cs="Arial" w:eastAsia="Arial" w:hAnsi="Arial"/>
                <w:sz w:val="15"/>
                <w:szCs w:val="15"/>
                <w:b w:val="1"/>
                <w:bCs w:val="1"/>
                <w:color w:val="auto"/>
                <w:w w:val="92"/>
              </w:rPr>
              <w:t>Share</w:t>
            </w:r>
            <w:r>
              <w:rPr>
                <w:rFonts w:ascii="Arial" w:cs="Arial" w:eastAsia="Arial" w:hAnsi="Arial"/>
                <w:sz w:val="12"/>
                <w:szCs w:val="12"/>
                <w:b w:val="1"/>
                <w:bCs w:val="1"/>
                <w:color w:val="auto"/>
                <w:w w:val="92"/>
              </w:rPr>
              <w:t>(2)</w:t>
            </w:r>
          </w:p>
        </w:tc>
        <w:tc>
          <w:tcPr>
            <w:tcW w:w="1020" w:type="dxa"/>
            <w:vAlign w:val="bottom"/>
            <w:gridSpan w:val="2"/>
          </w:tcPr>
          <w:p>
            <w:pPr>
              <w:jc w:val="center"/>
              <w:ind w:right="160"/>
              <w:spacing w:after="0" w:line="166" w:lineRule="exact"/>
              <w:rPr>
                <w:sz w:val="20"/>
                <w:szCs w:val="20"/>
                <w:color w:val="auto"/>
              </w:rPr>
            </w:pPr>
            <w:r>
              <w:rPr>
                <w:rFonts w:ascii="Arial" w:cs="Arial" w:eastAsia="Arial" w:hAnsi="Arial"/>
                <w:sz w:val="15"/>
                <w:szCs w:val="15"/>
                <w:b w:val="1"/>
                <w:bCs w:val="1"/>
                <w:color w:val="auto"/>
                <w:w w:val="92"/>
              </w:rPr>
              <w:t>Date</w:t>
            </w:r>
          </w:p>
        </w:tc>
        <w:tc>
          <w:tcPr>
            <w:tcW w:w="1040" w:type="dxa"/>
            <w:vAlign w:val="bottom"/>
            <w:gridSpan w:val="2"/>
          </w:tcPr>
          <w:p>
            <w:pPr>
              <w:jc w:val="center"/>
              <w:ind w:right="320"/>
              <w:spacing w:after="0" w:line="166" w:lineRule="exact"/>
              <w:rPr>
                <w:sz w:val="20"/>
                <w:szCs w:val="20"/>
                <w:color w:val="auto"/>
              </w:rPr>
            </w:pPr>
            <w:r>
              <w:rPr>
                <w:rFonts w:ascii="Arial" w:cs="Arial" w:eastAsia="Arial" w:hAnsi="Arial"/>
                <w:sz w:val="15"/>
                <w:szCs w:val="15"/>
                <w:b w:val="1"/>
                <w:bCs w:val="1"/>
                <w:color w:val="auto"/>
                <w:w w:val="84"/>
              </w:rPr>
              <w:t>vested</w:t>
            </w:r>
          </w:p>
        </w:tc>
        <w:tc>
          <w:tcPr>
            <w:tcW w:w="160" w:type="dxa"/>
            <w:vAlign w:val="bottom"/>
          </w:tcPr>
          <w:p>
            <w:pPr>
              <w:spacing w:after="0"/>
              <w:rPr>
                <w:sz w:val="16"/>
                <w:szCs w:val="16"/>
                <w:color w:val="auto"/>
              </w:rPr>
            </w:pPr>
          </w:p>
        </w:tc>
        <w:tc>
          <w:tcPr>
            <w:tcW w:w="940" w:type="dxa"/>
            <w:vAlign w:val="bottom"/>
            <w:gridSpan w:val="2"/>
          </w:tcPr>
          <w:p>
            <w:pPr>
              <w:jc w:val="center"/>
              <w:ind w:right="60"/>
              <w:spacing w:after="0" w:line="166" w:lineRule="exact"/>
              <w:rPr>
                <w:sz w:val="20"/>
                <w:szCs w:val="20"/>
                <w:color w:val="auto"/>
              </w:rPr>
            </w:pPr>
            <w:r>
              <w:rPr>
                <w:rFonts w:ascii="Arial" w:cs="Arial" w:eastAsia="Arial" w:hAnsi="Arial"/>
                <w:sz w:val="15"/>
                <w:szCs w:val="15"/>
                <w:b w:val="1"/>
                <w:bCs w:val="1"/>
                <w:color w:val="auto"/>
                <w:w w:val="84"/>
              </w:rPr>
              <w:t>vested</w:t>
            </w:r>
          </w:p>
        </w:tc>
        <w:tc>
          <w:tcPr>
            <w:tcW w:w="0" w:type="dxa"/>
            <w:vAlign w:val="bottom"/>
          </w:tcPr>
          <w:p>
            <w:pPr>
              <w:spacing w:after="0"/>
              <w:rPr>
                <w:sz w:val="1"/>
                <w:szCs w:val="1"/>
                <w:color w:val="auto"/>
              </w:rPr>
            </w:pPr>
          </w:p>
        </w:tc>
      </w:tr>
      <w:tr>
        <w:trPr>
          <w:trHeight w:val="201"/>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9"/>
                <w:szCs w:val="19"/>
                <w:color w:val="auto"/>
              </w:rPr>
              <w:t>Eric S. Yuan</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w w:val="96"/>
              </w:rPr>
              <w:t>9/24/2018</w:t>
            </w:r>
          </w:p>
        </w:tc>
        <w:tc>
          <w:tcPr>
            <w:tcW w:w="480" w:type="dxa"/>
            <w:vAlign w:val="bottom"/>
            <w:tcBorders>
              <w:top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91"/>
              </w:rPr>
              <w:t>(3)</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28,730</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103,855</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4.15</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w w:val="96"/>
              </w:rPr>
              <w:t>9/24/2023</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9"/>
                <w:szCs w:val="19"/>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99"/>
              <w:spacing w:after="0"/>
              <w:rPr>
                <w:sz w:val="20"/>
                <w:szCs w:val="20"/>
                <w:color w:val="auto"/>
              </w:rPr>
            </w:pPr>
            <w:r>
              <w:rPr>
                <w:rFonts w:ascii="Arial" w:cs="Arial" w:eastAsia="Arial" w:hAnsi="Arial"/>
                <w:sz w:val="19"/>
                <w:szCs w:val="19"/>
                <w:color w:val="auto"/>
                <w:w w:val="97"/>
              </w:rPr>
              <w:t>9/24/2018</w:t>
            </w:r>
            <w:r>
              <w:rPr>
                <w:rFonts w:ascii="Arial" w:cs="Arial" w:eastAsia="Arial" w:hAnsi="Arial"/>
                <w:sz w:val="16"/>
                <w:szCs w:val="16"/>
                <w:color w:val="auto"/>
                <w:w w:val="97"/>
              </w:rPr>
              <w:t>(4)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367,415</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9"/>
                <w:szCs w:val="19"/>
                <w:color w:val="auto"/>
              </w:rPr>
              <w:t>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9"/>
                <w:szCs w:val="19"/>
                <w:color w:val="auto"/>
                <w:w w:val="75"/>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3.77</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96"/>
              </w:rPr>
              <w:t>9/24/2028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9"/>
                <w:szCs w:val="19"/>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3"/>
        </w:trPr>
        <w:tc>
          <w:tcPr>
            <w:tcW w:w="3700" w:type="dxa"/>
            <w:vAlign w:val="bottom"/>
            <w:gridSpan w:val="2"/>
          </w:tcPr>
          <w:p>
            <w:pPr>
              <w:spacing w:after="0" w:line="213" w:lineRule="exact"/>
              <w:rPr>
                <w:sz w:val="20"/>
                <w:szCs w:val="20"/>
                <w:color w:val="auto"/>
              </w:rPr>
            </w:pPr>
            <w:r>
              <w:rPr>
                <w:rFonts w:ascii="Arial" w:cs="Arial" w:eastAsia="Arial" w:hAnsi="Arial"/>
                <w:sz w:val="19"/>
                <w:szCs w:val="19"/>
                <w:color w:val="auto"/>
              </w:rPr>
              <w:t>Janine Pelosi</w:t>
            </w:r>
          </w:p>
        </w:tc>
        <w:tc>
          <w:tcPr>
            <w:tcW w:w="120" w:type="dxa"/>
            <w:vAlign w:val="bottom"/>
          </w:tcPr>
          <w:p>
            <w:pPr>
              <w:spacing w:after="0"/>
              <w:rPr>
                <w:sz w:val="18"/>
                <w:szCs w:val="18"/>
                <w:color w:val="auto"/>
              </w:rPr>
            </w:pPr>
          </w:p>
        </w:tc>
        <w:tc>
          <w:tcPr>
            <w:tcW w:w="1320" w:type="dxa"/>
            <w:vAlign w:val="bottom"/>
            <w:gridSpan w:val="2"/>
          </w:tcPr>
          <w:p>
            <w:pPr>
              <w:jc w:val="right"/>
              <w:ind w:right="199"/>
              <w:spacing w:after="0" w:line="213" w:lineRule="exact"/>
              <w:rPr>
                <w:sz w:val="20"/>
                <w:szCs w:val="20"/>
                <w:color w:val="auto"/>
              </w:rPr>
            </w:pPr>
            <w:r>
              <w:rPr>
                <w:rFonts w:ascii="Arial" w:cs="Arial" w:eastAsia="Arial" w:hAnsi="Arial"/>
                <w:sz w:val="19"/>
                <w:szCs w:val="19"/>
                <w:color w:val="auto"/>
                <w:w w:val="97"/>
              </w:rPr>
              <w:t>4/24/2015</w:t>
            </w:r>
            <w:r>
              <w:rPr>
                <w:rFonts w:ascii="Arial" w:cs="Arial" w:eastAsia="Arial" w:hAnsi="Arial"/>
                <w:sz w:val="16"/>
                <w:szCs w:val="16"/>
                <w:color w:val="auto"/>
                <w:w w:val="97"/>
              </w:rPr>
              <w:t>(5)</w:t>
            </w:r>
          </w:p>
        </w:tc>
        <w:tc>
          <w:tcPr>
            <w:tcW w:w="840" w:type="dxa"/>
            <w:vAlign w:val="bottom"/>
            <w:gridSpan w:val="2"/>
          </w:tcPr>
          <w:p>
            <w:pPr>
              <w:jc w:val="right"/>
              <w:ind w:right="40"/>
              <w:spacing w:after="0" w:line="213" w:lineRule="exact"/>
              <w:rPr>
                <w:sz w:val="20"/>
                <w:szCs w:val="20"/>
                <w:color w:val="auto"/>
              </w:rPr>
            </w:pPr>
            <w:r>
              <w:rPr>
                <w:rFonts w:ascii="Arial" w:cs="Arial" w:eastAsia="Arial" w:hAnsi="Arial"/>
                <w:sz w:val="19"/>
                <w:szCs w:val="19"/>
                <w:color w:val="auto"/>
              </w:rPr>
              <w:t>50,000</w:t>
            </w:r>
          </w:p>
        </w:tc>
        <w:tc>
          <w:tcPr>
            <w:tcW w:w="1480" w:type="dxa"/>
            <w:vAlign w:val="bottom"/>
            <w:gridSpan w:val="3"/>
          </w:tcPr>
          <w:p>
            <w:pPr>
              <w:jc w:val="right"/>
              <w:ind w:right="340"/>
              <w:spacing w:after="0" w:line="213" w:lineRule="exact"/>
              <w:rPr>
                <w:sz w:val="20"/>
                <w:szCs w:val="20"/>
                <w:color w:val="auto"/>
              </w:rPr>
            </w:pPr>
            <w:r>
              <w:rPr>
                <w:rFonts w:ascii="Arial" w:cs="Arial" w:eastAsia="Arial" w:hAnsi="Arial"/>
                <w:sz w:val="19"/>
                <w:szCs w:val="19"/>
                <w:color w:val="auto"/>
              </w:rPr>
              <w:t>16,667</w:t>
            </w:r>
          </w:p>
        </w:tc>
        <w:tc>
          <w:tcPr>
            <w:tcW w:w="240" w:type="dxa"/>
            <w:vAlign w:val="bottom"/>
            <w:gridSpan w:val="2"/>
          </w:tcPr>
          <w:p>
            <w:pPr>
              <w:ind w:left="140"/>
              <w:spacing w:after="0" w:line="213" w:lineRule="exact"/>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260"/>
              <w:spacing w:after="0" w:line="213" w:lineRule="exact"/>
              <w:rPr>
                <w:sz w:val="20"/>
                <w:szCs w:val="20"/>
                <w:color w:val="auto"/>
              </w:rPr>
            </w:pPr>
            <w:r>
              <w:rPr>
                <w:rFonts w:ascii="Arial" w:cs="Arial" w:eastAsia="Arial" w:hAnsi="Arial"/>
                <w:sz w:val="19"/>
                <w:szCs w:val="19"/>
                <w:color w:val="auto"/>
                <w:w w:val="85"/>
              </w:rPr>
              <w:t>0.1375</w:t>
            </w:r>
          </w:p>
        </w:tc>
        <w:tc>
          <w:tcPr>
            <w:tcW w:w="1020" w:type="dxa"/>
            <w:vAlign w:val="bottom"/>
            <w:gridSpan w:val="2"/>
          </w:tcPr>
          <w:p>
            <w:pPr>
              <w:jc w:val="right"/>
              <w:ind w:right="180"/>
              <w:spacing w:after="0" w:line="213" w:lineRule="exact"/>
              <w:rPr>
                <w:sz w:val="20"/>
                <w:szCs w:val="20"/>
                <w:color w:val="auto"/>
              </w:rPr>
            </w:pPr>
            <w:r>
              <w:rPr>
                <w:rFonts w:ascii="Arial" w:cs="Arial" w:eastAsia="Arial" w:hAnsi="Arial"/>
                <w:sz w:val="19"/>
                <w:szCs w:val="19"/>
                <w:color w:val="auto"/>
                <w:w w:val="96"/>
              </w:rPr>
              <w:t>4/24/2025</w:t>
            </w:r>
          </w:p>
        </w:tc>
        <w:tc>
          <w:tcPr>
            <w:tcW w:w="1040" w:type="dxa"/>
            <w:vAlign w:val="bottom"/>
            <w:gridSpan w:val="2"/>
          </w:tcPr>
          <w:p>
            <w:pPr>
              <w:jc w:val="right"/>
              <w:ind w:right="320"/>
              <w:spacing w:after="0" w:line="213"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line="213"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40" w:type="dxa"/>
            <w:vAlign w:val="bottom"/>
            <w:gridSpan w:val="3"/>
          </w:tcPr>
          <w:p>
            <w:pPr>
              <w:jc w:val="right"/>
              <w:ind w:right="199"/>
              <w:spacing w:after="0"/>
              <w:rPr>
                <w:sz w:val="20"/>
                <w:szCs w:val="20"/>
                <w:color w:val="auto"/>
              </w:rPr>
            </w:pPr>
            <w:r>
              <w:rPr>
                <w:rFonts w:ascii="Arial" w:cs="Arial" w:eastAsia="Arial" w:hAnsi="Arial"/>
                <w:sz w:val="19"/>
                <w:szCs w:val="19"/>
                <w:color w:val="auto"/>
              </w:rPr>
              <w:t>9/6/2018</w:t>
            </w:r>
            <w:r>
              <w:rPr>
                <w:rFonts w:ascii="Arial" w:cs="Arial" w:eastAsia="Arial" w:hAnsi="Arial"/>
                <w:sz w:val="16"/>
                <w:szCs w:val="16"/>
                <w:color w:val="auto"/>
              </w:rPr>
              <w:t>(6)</w:t>
            </w:r>
          </w:p>
        </w:tc>
        <w:tc>
          <w:tcPr>
            <w:tcW w:w="840" w:type="dxa"/>
            <w:vAlign w:val="bottom"/>
            <w:gridSpan w:val="2"/>
          </w:tcPr>
          <w:p>
            <w:pPr>
              <w:jc w:val="right"/>
              <w:ind w:right="40"/>
              <w:spacing w:after="0"/>
              <w:rPr>
                <w:sz w:val="20"/>
                <w:szCs w:val="20"/>
                <w:color w:val="auto"/>
              </w:rPr>
            </w:pPr>
            <w:r>
              <w:rPr>
                <w:rFonts w:ascii="Arial" w:cs="Arial" w:eastAsia="Arial" w:hAnsi="Arial"/>
                <w:sz w:val="19"/>
                <w:szCs w:val="19"/>
                <w:color w:val="auto"/>
              </w:rPr>
              <w:t>56,250</w:t>
            </w:r>
          </w:p>
        </w:tc>
        <w:tc>
          <w:tcPr>
            <w:tcW w:w="1480" w:type="dxa"/>
            <w:vAlign w:val="bottom"/>
            <w:gridSpan w:val="3"/>
          </w:tcPr>
          <w:p>
            <w:pPr>
              <w:jc w:val="right"/>
              <w:ind w:right="340"/>
              <w:spacing w:after="0"/>
              <w:rPr>
                <w:sz w:val="20"/>
                <w:szCs w:val="20"/>
                <w:color w:val="auto"/>
              </w:rPr>
            </w:pPr>
            <w:r>
              <w:rPr>
                <w:rFonts w:ascii="Arial" w:cs="Arial" w:eastAsia="Arial" w:hAnsi="Arial"/>
                <w:sz w:val="19"/>
                <w:szCs w:val="19"/>
                <w:color w:val="auto"/>
              </w:rPr>
              <w:t>393,750</w:t>
            </w:r>
          </w:p>
        </w:tc>
        <w:tc>
          <w:tcPr>
            <w:tcW w:w="240" w:type="dxa"/>
            <w:vAlign w:val="bottom"/>
            <w:gridSpan w:val="2"/>
          </w:tcPr>
          <w:p>
            <w:pPr>
              <w:ind w:left="140"/>
              <w:spacing w:after="0"/>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260"/>
              <w:spacing w:after="0"/>
              <w:rPr>
                <w:sz w:val="20"/>
                <w:szCs w:val="20"/>
                <w:color w:val="auto"/>
              </w:rPr>
            </w:pPr>
            <w:r>
              <w:rPr>
                <w:rFonts w:ascii="Arial" w:cs="Arial" w:eastAsia="Arial" w:hAnsi="Arial"/>
                <w:sz w:val="19"/>
                <w:szCs w:val="19"/>
                <w:color w:val="auto"/>
              </w:rPr>
              <w:t>3.77</w:t>
            </w:r>
          </w:p>
        </w:tc>
        <w:tc>
          <w:tcPr>
            <w:tcW w:w="1020" w:type="dxa"/>
            <w:vAlign w:val="bottom"/>
            <w:gridSpan w:val="2"/>
          </w:tcPr>
          <w:p>
            <w:pPr>
              <w:jc w:val="right"/>
              <w:ind w:right="180"/>
              <w:spacing w:after="0"/>
              <w:rPr>
                <w:sz w:val="20"/>
                <w:szCs w:val="20"/>
                <w:color w:val="auto"/>
              </w:rPr>
            </w:pPr>
            <w:r>
              <w:rPr>
                <w:rFonts w:ascii="Arial" w:cs="Arial" w:eastAsia="Arial" w:hAnsi="Arial"/>
                <w:sz w:val="19"/>
                <w:szCs w:val="19"/>
                <w:color w:val="auto"/>
              </w:rPr>
              <w:t>9/6/2028</w:t>
            </w:r>
          </w:p>
        </w:tc>
        <w:tc>
          <w:tcPr>
            <w:tcW w:w="10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Aparna Bawa</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99"/>
              <w:spacing w:after="0"/>
              <w:rPr>
                <w:sz w:val="20"/>
                <w:szCs w:val="20"/>
                <w:color w:val="auto"/>
              </w:rPr>
            </w:pPr>
            <w:r>
              <w:rPr>
                <w:rFonts w:ascii="Arial" w:cs="Arial" w:eastAsia="Arial" w:hAnsi="Arial"/>
                <w:sz w:val="19"/>
                <w:szCs w:val="19"/>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9"/>
                <w:szCs w:val="19"/>
                <w:color w:val="auto"/>
                <w:w w:val="99"/>
              </w:rPr>
              <w:t>360,000</w:t>
            </w:r>
            <w:r>
              <w:rPr>
                <w:rFonts w:ascii="Arial" w:cs="Arial" w:eastAsia="Arial" w:hAnsi="Arial"/>
                <w:sz w:val="16"/>
                <w:szCs w:val="16"/>
                <w:color w:val="auto"/>
                <w:w w:val="99"/>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$ 1,508,400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spacing w:after="0" w:line="213" w:lineRule="exact"/>
              <w:rPr>
                <w:sz w:val="20"/>
                <w:szCs w:val="20"/>
                <w:color w:val="auto"/>
              </w:rPr>
            </w:pPr>
            <w:r>
              <w:rPr>
                <w:rFonts w:ascii="Arial" w:cs="Arial" w:eastAsia="Arial" w:hAnsi="Arial"/>
                <w:sz w:val="19"/>
                <w:szCs w:val="19"/>
                <w:color w:val="auto"/>
              </w:rPr>
              <w:t>Gregory Holmes</w:t>
            </w:r>
          </w:p>
        </w:tc>
        <w:tc>
          <w:tcPr>
            <w:tcW w:w="1440" w:type="dxa"/>
            <w:vAlign w:val="bottom"/>
            <w:gridSpan w:val="3"/>
          </w:tcPr>
          <w:p>
            <w:pPr>
              <w:jc w:val="right"/>
              <w:ind w:right="399"/>
              <w:spacing w:after="0" w:line="213" w:lineRule="exact"/>
              <w:rPr>
                <w:sz w:val="20"/>
                <w:szCs w:val="20"/>
                <w:color w:val="auto"/>
              </w:rPr>
            </w:pPr>
            <w:r>
              <w:rPr>
                <w:rFonts w:ascii="Arial" w:cs="Arial" w:eastAsia="Arial" w:hAnsi="Arial"/>
                <w:sz w:val="19"/>
                <w:szCs w:val="19"/>
                <w:color w:val="auto"/>
              </w:rPr>
              <w:t>11/3/2016</w:t>
            </w:r>
          </w:p>
        </w:tc>
        <w:tc>
          <w:tcPr>
            <w:tcW w:w="840" w:type="dxa"/>
            <w:vAlign w:val="bottom"/>
            <w:gridSpan w:val="2"/>
          </w:tcPr>
          <w:p>
            <w:pPr>
              <w:jc w:val="right"/>
              <w:ind w:right="40"/>
              <w:spacing w:after="0" w:line="213" w:lineRule="exact"/>
              <w:rPr>
                <w:sz w:val="20"/>
                <w:szCs w:val="20"/>
                <w:color w:val="auto"/>
              </w:rPr>
            </w:pPr>
            <w:r>
              <w:rPr>
                <w:rFonts w:ascii="Arial" w:cs="Arial" w:eastAsia="Arial" w:hAnsi="Arial"/>
                <w:sz w:val="19"/>
                <w:szCs w:val="19"/>
                <w:color w:val="auto"/>
              </w:rPr>
              <w:t>80,000</w:t>
            </w:r>
          </w:p>
        </w:tc>
        <w:tc>
          <w:tcPr>
            <w:tcW w:w="1480" w:type="dxa"/>
            <w:vAlign w:val="bottom"/>
            <w:gridSpan w:val="3"/>
          </w:tcPr>
          <w:p>
            <w:pPr>
              <w:jc w:val="right"/>
              <w:ind w:right="160"/>
              <w:spacing w:after="0" w:line="213" w:lineRule="exact"/>
              <w:rPr>
                <w:sz w:val="20"/>
                <w:szCs w:val="20"/>
                <w:color w:val="auto"/>
              </w:rPr>
            </w:pPr>
            <w:r>
              <w:rPr>
                <w:rFonts w:ascii="Arial" w:cs="Arial" w:eastAsia="Arial" w:hAnsi="Arial"/>
                <w:sz w:val="19"/>
                <w:szCs w:val="19"/>
                <w:color w:val="auto"/>
              </w:rPr>
              <w:t>220,000</w:t>
            </w:r>
            <w:r>
              <w:rPr>
                <w:rFonts w:ascii="Arial" w:cs="Arial" w:eastAsia="Arial" w:hAnsi="Arial"/>
                <w:sz w:val="16"/>
                <w:szCs w:val="16"/>
                <w:color w:val="auto"/>
              </w:rPr>
              <w:t>(8)</w:t>
            </w:r>
          </w:p>
        </w:tc>
        <w:tc>
          <w:tcPr>
            <w:tcW w:w="240" w:type="dxa"/>
            <w:vAlign w:val="bottom"/>
            <w:gridSpan w:val="2"/>
          </w:tcPr>
          <w:p>
            <w:pPr>
              <w:ind w:left="140"/>
              <w:spacing w:after="0" w:line="213" w:lineRule="exact"/>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260"/>
              <w:spacing w:after="0" w:line="213" w:lineRule="exact"/>
              <w:rPr>
                <w:sz w:val="20"/>
                <w:szCs w:val="20"/>
                <w:color w:val="auto"/>
              </w:rPr>
            </w:pPr>
            <w:r>
              <w:rPr>
                <w:rFonts w:ascii="Arial" w:cs="Arial" w:eastAsia="Arial" w:hAnsi="Arial"/>
                <w:sz w:val="19"/>
                <w:szCs w:val="19"/>
                <w:color w:val="auto"/>
              </w:rPr>
              <w:t>0.30</w:t>
            </w:r>
          </w:p>
        </w:tc>
        <w:tc>
          <w:tcPr>
            <w:tcW w:w="1020" w:type="dxa"/>
            <w:vAlign w:val="bottom"/>
            <w:gridSpan w:val="2"/>
          </w:tcPr>
          <w:p>
            <w:pPr>
              <w:jc w:val="right"/>
              <w:ind w:right="180"/>
              <w:spacing w:after="0" w:line="213" w:lineRule="exact"/>
              <w:rPr>
                <w:sz w:val="20"/>
                <w:szCs w:val="20"/>
                <w:color w:val="auto"/>
              </w:rPr>
            </w:pPr>
            <w:r>
              <w:rPr>
                <w:rFonts w:ascii="Arial" w:cs="Arial" w:eastAsia="Arial" w:hAnsi="Arial"/>
                <w:sz w:val="19"/>
                <w:szCs w:val="19"/>
                <w:color w:val="auto"/>
                <w:w w:val="96"/>
              </w:rPr>
              <w:t>11/3/2026</w:t>
            </w:r>
          </w:p>
        </w:tc>
        <w:tc>
          <w:tcPr>
            <w:tcW w:w="1040" w:type="dxa"/>
            <w:vAlign w:val="bottom"/>
            <w:gridSpan w:val="2"/>
          </w:tcPr>
          <w:p>
            <w:pPr>
              <w:jc w:val="right"/>
              <w:ind w:right="320"/>
              <w:spacing w:after="0" w:line="213" w:lineRule="exact"/>
              <w:rPr>
                <w:sz w:val="20"/>
                <w:szCs w:val="20"/>
                <w:color w:val="auto"/>
              </w:rPr>
            </w:pPr>
            <w:r>
              <w:rPr>
                <w:rFonts w:ascii="Arial" w:cs="Arial" w:eastAsia="Arial" w:hAnsi="Arial"/>
                <w:sz w:val="19"/>
                <w:szCs w:val="19"/>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line="213"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40" w:type="dxa"/>
            <w:vAlign w:val="bottom"/>
            <w:gridSpan w:val="3"/>
          </w:tcPr>
          <w:p>
            <w:pPr>
              <w:jc w:val="right"/>
              <w:ind w:right="399"/>
              <w:spacing w:after="0"/>
              <w:rPr>
                <w:sz w:val="20"/>
                <w:szCs w:val="20"/>
                <w:color w:val="auto"/>
              </w:rPr>
            </w:pPr>
            <w:r>
              <w:rPr>
                <w:rFonts w:ascii="Arial" w:cs="Arial" w:eastAsia="Arial" w:hAnsi="Arial"/>
                <w:sz w:val="19"/>
                <w:szCs w:val="19"/>
                <w:color w:val="auto"/>
              </w:rPr>
              <w:t>9/24/2018</w:t>
            </w:r>
          </w:p>
        </w:tc>
        <w:tc>
          <w:tcPr>
            <w:tcW w:w="840" w:type="dxa"/>
            <w:vAlign w:val="bottom"/>
            <w:gridSpan w:val="2"/>
          </w:tcPr>
          <w:p>
            <w:pPr>
              <w:jc w:val="right"/>
              <w:ind w:right="40"/>
              <w:spacing w:after="0"/>
              <w:rPr>
                <w:sz w:val="20"/>
                <w:szCs w:val="20"/>
                <w:color w:val="auto"/>
              </w:rPr>
            </w:pPr>
            <w:r>
              <w:rPr>
                <w:rFonts w:ascii="Arial" w:cs="Arial" w:eastAsia="Arial" w:hAnsi="Arial"/>
                <w:sz w:val="19"/>
                <w:szCs w:val="19"/>
                <w:color w:val="auto"/>
              </w:rPr>
              <w:t>25,000</w:t>
            </w:r>
          </w:p>
        </w:tc>
        <w:tc>
          <w:tcPr>
            <w:tcW w:w="1480" w:type="dxa"/>
            <w:vAlign w:val="bottom"/>
            <w:gridSpan w:val="3"/>
          </w:tcPr>
          <w:p>
            <w:pPr>
              <w:jc w:val="right"/>
              <w:ind w:right="160"/>
              <w:spacing w:after="0"/>
              <w:rPr>
                <w:sz w:val="20"/>
                <w:szCs w:val="20"/>
                <w:color w:val="auto"/>
              </w:rPr>
            </w:pPr>
            <w:r>
              <w:rPr>
                <w:rFonts w:ascii="Arial" w:cs="Arial" w:eastAsia="Arial" w:hAnsi="Arial"/>
                <w:sz w:val="19"/>
                <w:szCs w:val="19"/>
                <w:color w:val="auto"/>
              </w:rPr>
              <w:t>275,000</w:t>
            </w:r>
            <w:r>
              <w:rPr>
                <w:rFonts w:ascii="Arial" w:cs="Arial" w:eastAsia="Arial" w:hAnsi="Arial"/>
                <w:sz w:val="16"/>
                <w:szCs w:val="16"/>
                <w:color w:val="auto"/>
              </w:rPr>
              <w:t>(9)</w:t>
            </w:r>
          </w:p>
        </w:tc>
        <w:tc>
          <w:tcPr>
            <w:tcW w:w="240" w:type="dxa"/>
            <w:vAlign w:val="bottom"/>
            <w:gridSpan w:val="2"/>
          </w:tcPr>
          <w:p>
            <w:pPr>
              <w:ind w:left="140"/>
              <w:spacing w:after="0"/>
              <w:rPr>
                <w:sz w:val="20"/>
                <w:szCs w:val="20"/>
                <w:color w:val="auto"/>
              </w:rPr>
            </w:pPr>
            <w:r>
              <w:rPr>
                <w:rFonts w:ascii="Arial" w:cs="Arial" w:eastAsia="Arial" w:hAnsi="Arial"/>
                <w:sz w:val="19"/>
                <w:szCs w:val="19"/>
                <w:color w:val="auto"/>
                <w:w w:val="75"/>
              </w:rPr>
              <w:t>$</w:t>
            </w:r>
          </w:p>
        </w:tc>
        <w:tc>
          <w:tcPr>
            <w:tcW w:w="780" w:type="dxa"/>
            <w:vAlign w:val="bottom"/>
            <w:gridSpan w:val="2"/>
          </w:tcPr>
          <w:p>
            <w:pPr>
              <w:jc w:val="right"/>
              <w:ind w:right="260"/>
              <w:spacing w:after="0"/>
              <w:rPr>
                <w:sz w:val="20"/>
                <w:szCs w:val="20"/>
                <w:color w:val="auto"/>
              </w:rPr>
            </w:pPr>
            <w:r>
              <w:rPr>
                <w:rFonts w:ascii="Arial" w:cs="Arial" w:eastAsia="Arial" w:hAnsi="Arial"/>
                <w:sz w:val="19"/>
                <w:szCs w:val="19"/>
                <w:color w:val="auto"/>
              </w:rPr>
              <w:t>3.77</w:t>
            </w:r>
          </w:p>
        </w:tc>
        <w:tc>
          <w:tcPr>
            <w:tcW w:w="1020" w:type="dxa"/>
            <w:vAlign w:val="bottom"/>
            <w:gridSpan w:val="2"/>
          </w:tcPr>
          <w:p>
            <w:pPr>
              <w:jc w:val="right"/>
              <w:ind w:right="180"/>
              <w:spacing w:after="0"/>
              <w:rPr>
                <w:sz w:val="20"/>
                <w:szCs w:val="20"/>
                <w:color w:val="auto"/>
              </w:rPr>
            </w:pPr>
            <w:r>
              <w:rPr>
                <w:rFonts w:ascii="Arial" w:cs="Arial" w:eastAsia="Arial" w:hAnsi="Arial"/>
                <w:sz w:val="19"/>
                <w:szCs w:val="19"/>
                <w:color w:val="auto"/>
                <w:w w:val="96"/>
              </w:rPr>
              <w:t>9/24/2028</w:t>
            </w:r>
          </w:p>
        </w:tc>
        <w:tc>
          <w:tcPr>
            <w:tcW w:w="10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right="540" w:hanging="461"/>
        <w:spacing w:after="0" w:line="257" w:lineRule="auto"/>
        <w:tabs>
          <w:tab w:leader="none" w:pos="6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of the stock and option awards were granted under the 2011 Plan, the terms of which plan is described below under “—Equity Incentive Plans.”</w:t>
      </w:r>
    </w:p>
    <w:p>
      <w:pPr>
        <w:spacing w:after="0" w:line="1" w:lineRule="exact"/>
        <w:rPr>
          <w:rFonts w:ascii="Arial" w:cs="Arial" w:eastAsia="Arial" w:hAnsi="Arial"/>
          <w:sz w:val="19"/>
          <w:szCs w:val="19"/>
          <w:color w:val="auto"/>
        </w:rPr>
      </w:pPr>
    </w:p>
    <w:p>
      <w:pPr>
        <w:jc w:val="both"/>
        <w:ind w:left="640" w:right="140" w:hanging="461"/>
        <w:spacing w:after="0" w:line="264"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spacing w:after="0" w:line="1" w:lineRule="exact"/>
        <w:rPr>
          <w:rFonts w:ascii="Arial" w:cs="Arial" w:eastAsia="Arial" w:hAnsi="Arial"/>
          <w:sz w:val="18"/>
          <w:szCs w:val="18"/>
          <w:color w:val="auto"/>
        </w:rPr>
      </w:pPr>
    </w:p>
    <w:p>
      <w:pPr>
        <w:ind w:left="640" w:right="140" w:hanging="461"/>
        <w:spacing w:after="0" w:line="250" w:lineRule="auto"/>
        <w:tabs>
          <w:tab w:leader="none" w:pos="6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 w:lineRule="exact"/>
        <w:rPr>
          <w:rFonts w:ascii="Arial" w:cs="Arial" w:eastAsia="Arial" w:hAnsi="Arial"/>
          <w:sz w:val="19"/>
          <w:szCs w:val="19"/>
          <w:color w:val="auto"/>
        </w:rPr>
      </w:pPr>
    </w:p>
    <w:p>
      <w:pPr>
        <w:ind w:left="640" w:right="20" w:hanging="461"/>
        <w:spacing w:after="0" w:line="264"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3" w:lineRule="exact"/>
        <w:rPr>
          <w:rFonts w:ascii="Arial" w:cs="Arial" w:eastAsia="Arial" w:hAnsi="Arial"/>
          <w:sz w:val="18"/>
          <w:szCs w:val="18"/>
          <w:color w:val="auto"/>
        </w:rPr>
      </w:pPr>
    </w:p>
    <w:p>
      <w:pPr>
        <w:ind w:left="640" w:right="240" w:hanging="461"/>
        <w:spacing w:after="0" w:line="264"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ind w:left="640" w:right="520" w:hanging="461"/>
        <w:spacing w:after="0" w:line="261" w:lineRule="auto"/>
        <w:tabs>
          <w:tab w:leader="none" w:pos="6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shares subject to the option vest in 48 equal monthly installments measured from September 6, 2018, subject to Ms. Pelosi’s continuous service with us as of each such vesting date.</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99</w:t>
      </w:r>
    </w:p>
    <w:p>
      <w:pPr>
        <w:sectPr>
          <w:pgSz w:w="12240" w:h="15840" w:orient="portrait"/>
          <w:cols w:equalWidth="0" w:num="1">
            <w:col w:w="11820"/>
          </w:cols>
          <w:pgMar w:left="120" w:top="337" w:right="300" w:bottom="1440" w:gutter="0" w:footer="0" w:header="0"/>
        </w:sectPr>
      </w:pPr>
    </w:p>
    <w:bookmarkStart w:id="104" w:name="page105"/>
    <w:bookmarkEnd w:id="10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120" w:hanging="461"/>
        <w:spacing w:after="0" w:line="254" w:lineRule="auto"/>
        <w:tabs>
          <w:tab w:leader="none" w:pos="6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ind w:left="640" w:right="460" w:hanging="461"/>
        <w:spacing w:after="0" w:line="250" w:lineRule="auto"/>
        <w:tabs>
          <w:tab w:leader="none" w:pos="6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shares subject to the option vest in 48 equal monthly installments measured from November 3, 2016, subject to Mr. Holmes’ continuous service with us as of each such vesting date.</w:t>
      </w:r>
    </w:p>
    <w:p>
      <w:pPr>
        <w:spacing w:after="0" w:line="1" w:lineRule="exact"/>
        <w:rPr>
          <w:rFonts w:ascii="Arial" w:cs="Arial" w:eastAsia="Arial" w:hAnsi="Arial"/>
          <w:sz w:val="19"/>
          <w:szCs w:val="19"/>
          <w:color w:val="auto"/>
        </w:rPr>
      </w:pPr>
    </w:p>
    <w:p>
      <w:pPr>
        <w:ind w:left="640" w:right="80" w:hanging="461"/>
        <w:spacing w:after="0" w:line="261" w:lineRule="auto"/>
        <w:tabs>
          <w:tab w:leader="none" w:pos="6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shares subject to the option vest in 48 equal installments measured from September 24, 2018, subject to Mr. Holmes’ continuous service with us as of each such vesting date.</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Other Compensation and Benefits</w:t>
      </w:r>
    </w:p>
    <w:p>
      <w:pPr>
        <w:spacing w:after="0" w:line="130"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98" w:lineRule="exact"/>
        <w:rPr>
          <w:sz w:val="20"/>
          <w:szCs w:val="20"/>
          <w:color w:val="auto"/>
        </w:rPr>
      </w:pPr>
    </w:p>
    <w:p>
      <w:pPr>
        <w:ind w:left="180" w:right="160" w:firstLine="465"/>
        <w:spacing w:after="0" w:line="272"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90"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78"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Our named executive officers did not participate in, or otherwise receive any benefits under, any pension or retirement plan sponsored by us during the fiscal year ended January 31, 2019.</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Employee Benefit and Stock Plans</w:t>
      </w:r>
    </w:p>
    <w:p>
      <w:pPr>
        <w:spacing w:after="0" w:line="130" w:lineRule="exact"/>
        <w:rPr>
          <w:sz w:val="20"/>
          <w:szCs w:val="20"/>
          <w:color w:val="auto"/>
        </w:rPr>
      </w:pPr>
    </w:p>
    <w:p>
      <w:pPr>
        <w:ind w:left="180" w:right="200" w:firstLine="465"/>
        <w:spacing w:after="0" w:line="259" w:lineRule="auto"/>
        <w:rPr>
          <w:sz w:val="20"/>
          <w:szCs w:val="20"/>
          <w:color w:val="auto"/>
        </w:rPr>
      </w:pPr>
      <w:r>
        <w:rPr>
          <w:rFonts w:ascii="Arial" w:cs="Arial" w:eastAsia="Arial" w:hAnsi="Arial"/>
          <w:sz w:val="19"/>
          <w:szCs w:val="19"/>
          <w:color w:val="auto"/>
        </w:rPr>
        <w:t>Our board of directors intends to adopt the 2019 Equity Incentive Plan, (the 2019 Plan) that will become effective in connection with the execution and delivery of the underwriting agreement related to this offering, and such 2019 Plan will supersede and replace our Fourth Amended and Restated 2011 Global Share Plan (the 2011 Plan). The description set forth below reflects the 2011 Plan, as currently in effect. After the 2019 Plan becomes effective, no further stock awards will be granted under the 2011 Plan.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Fourth Amended and Restated 2011 Global Share Plan</w:t>
      </w:r>
    </w:p>
    <w:p>
      <w:pPr>
        <w:spacing w:after="0" w:line="124"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Our board of directors adopted our 2011 Plan in April 2011, and our stockholders approved the 2011 Plan in June 2011. The 2011 Plan has been periodically amended, most recently in September 2017. As of December 31, 2018, there were 2,523,561 shares of Class B common stock remaining available for the future grant of stock awards under our 2011 Plan. As of December 31, 2018, stock options covering 34,763,488 shares of our Class B common stock were outstanding and restricted shares covering 1,398,378 shares of Class B common stock were outstanding and subject to vesting and our repurchase right under the 2011 Plan. We expect that any shares remaining available for issuance under the 2011 Plan at the time of this offering will become available for issuance under the 2019 Plan.</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100</w:t>
      </w:r>
    </w:p>
    <w:p>
      <w:pPr>
        <w:sectPr>
          <w:pgSz w:w="12240" w:h="15840" w:orient="portrait"/>
          <w:cols w:equalWidth="0" w:num="1">
            <w:col w:w="11800"/>
          </w:cols>
          <w:pgMar w:left="120" w:top="336" w:right="320" w:bottom="1440" w:gutter="0" w:footer="0" w:header="0"/>
        </w:sectPr>
      </w:pPr>
    </w:p>
    <w:bookmarkStart w:id="105" w:name="page106"/>
    <w:bookmarkEnd w:id="10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0" w:firstLine="465"/>
        <w:spacing w:after="0" w:line="256" w:lineRule="auto"/>
        <w:rPr>
          <w:sz w:val="20"/>
          <w:szCs w:val="20"/>
          <w:color w:val="auto"/>
        </w:rPr>
      </w:pPr>
      <w:r>
        <w:rPr>
          <w:rFonts w:ascii="Arial" w:cs="Arial" w:eastAsia="Arial" w:hAnsi="Arial"/>
          <w:sz w:val="19"/>
          <w:szCs w:val="19"/>
          <w:i w:val="1"/>
          <w:iCs w:val="1"/>
          <w:color w:val="auto"/>
        </w:rPr>
        <w:t>Stock Awards</w:t>
      </w:r>
      <w:r>
        <w:rPr>
          <w:rFonts w:ascii="Arial" w:cs="Arial" w:eastAsia="Arial" w:hAnsi="Arial"/>
          <w:sz w:val="19"/>
          <w:szCs w:val="19"/>
          <w:color w:val="auto"/>
        </w:rPr>
        <w:t>. Our 2011 Plan provides for the grant of incentive stock options (ISOs) within the meaning of Section 422 of the Internal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20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i w:val="1"/>
          <w:iCs w:val="1"/>
          <w:color w:val="auto"/>
        </w:rPr>
        <w:t>Authorized Shares</w:t>
      </w:r>
      <w:r>
        <w:rPr>
          <w:rFonts w:ascii="Arial" w:cs="Arial" w:eastAsia="Arial" w:hAnsi="Arial"/>
          <w:sz w:val="19"/>
          <w:szCs w:val="19"/>
          <w:color w:val="auto"/>
        </w:rPr>
        <w:t>. Subject to certain capitalization adjustments, the aggregate number of shares of Class B common stock that may be issued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stock awards under the 2011 Plan will not exceed 71,240,000 shares.</w:t>
      </w:r>
    </w:p>
    <w:p>
      <w:pPr>
        <w:spacing w:after="0" w:line="184" w:lineRule="exact"/>
        <w:rPr>
          <w:sz w:val="20"/>
          <w:szCs w:val="20"/>
          <w:color w:val="auto"/>
        </w:rPr>
      </w:pPr>
    </w:p>
    <w:p>
      <w:pPr>
        <w:ind w:left="180" w:firstLine="465"/>
        <w:spacing w:after="0" w:line="294" w:lineRule="auto"/>
        <w:rPr>
          <w:sz w:val="20"/>
          <w:szCs w:val="20"/>
          <w:color w:val="auto"/>
        </w:rPr>
      </w:pPr>
      <w:r>
        <w:rPr>
          <w:rFonts w:ascii="Arial" w:cs="Arial" w:eastAsia="Arial" w:hAnsi="Arial"/>
          <w:sz w:val="17"/>
          <w:szCs w:val="17"/>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2" w:lineRule="exact"/>
        <w:rPr>
          <w:sz w:val="20"/>
          <w:szCs w:val="20"/>
          <w:color w:val="auto"/>
        </w:rPr>
      </w:pPr>
    </w:p>
    <w:p>
      <w:pPr>
        <w:ind w:left="180" w:right="80" w:firstLine="465"/>
        <w:spacing w:after="0" w:line="289"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administers and interprets the provisions of the 2011 Plan. The board of directors may delegate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7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Under the 2011 Plan,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20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i w:val="1"/>
          <w:iCs w:val="1"/>
          <w:color w:val="auto"/>
        </w:rPr>
        <w:t>Stock Options</w:t>
      </w:r>
      <w:r>
        <w:rPr>
          <w:rFonts w:ascii="Arial" w:cs="Arial" w:eastAsia="Arial" w:hAnsi="Arial"/>
          <w:sz w:val="19"/>
          <w:szCs w:val="19"/>
          <w:color w:val="auto"/>
        </w:rPr>
        <w:t>. ISOs and NSOs are granted under share option agreements and option rules adopted by the plan administrator. The plan</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204" w:lineRule="exact"/>
        <w:rPr>
          <w:sz w:val="20"/>
          <w:szCs w:val="20"/>
          <w:color w:val="auto"/>
        </w:rPr>
      </w:pPr>
    </w:p>
    <w:p>
      <w:pPr>
        <w:ind w:left="180" w:right="60" w:firstLine="465"/>
        <w:spacing w:after="0" w:line="291" w:lineRule="auto"/>
        <w:rPr>
          <w:sz w:val="20"/>
          <w:szCs w:val="20"/>
          <w:color w:val="auto"/>
        </w:rPr>
      </w:pPr>
      <w:r>
        <w:rPr>
          <w:rFonts w:ascii="Arial" w:cs="Arial" w:eastAsia="Arial" w:hAnsi="Arial"/>
          <w:sz w:val="17"/>
          <w:szCs w:val="17"/>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101</w:t>
      </w:r>
    </w:p>
    <w:p>
      <w:pPr>
        <w:sectPr>
          <w:pgSz w:w="12240" w:h="15840" w:orient="portrait"/>
          <w:cols w:equalWidth="0" w:num="1">
            <w:col w:w="11820"/>
          </w:cols>
          <w:pgMar w:left="120" w:top="336" w:right="300" w:bottom="1440" w:gutter="0" w:footer="0" w:header="0"/>
        </w:sectPr>
      </w:pPr>
    </w:p>
    <w:bookmarkStart w:id="106" w:name="page107"/>
    <w:bookmarkEnd w:id="10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220"/>
        <w:spacing w:after="0" w:line="284" w:lineRule="auto"/>
        <w:rPr>
          <w:sz w:val="20"/>
          <w:szCs w:val="20"/>
          <w:color w:val="auto"/>
        </w:rPr>
      </w:pPr>
      <w:r>
        <w:rPr>
          <w:rFonts w:ascii="Arial" w:cs="Arial" w:eastAsia="Arial" w:hAnsi="Arial"/>
          <w:sz w:val="18"/>
          <w:szCs w:val="18"/>
          <w:color w:val="auto"/>
        </w:rPr>
        <w:t>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78" w:lineRule="exact"/>
        <w:rPr>
          <w:sz w:val="20"/>
          <w:szCs w:val="20"/>
          <w:color w:val="auto"/>
        </w:rPr>
      </w:pPr>
    </w:p>
    <w:p>
      <w:pPr>
        <w:ind w:left="180" w:right="720" w:firstLine="465"/>
        <w:spacing w:after="0" w:line="304" w:lineRule="auto"/>
        <w:rPr>
          <w:sz w:val="20"/>
          <w:szCs w:val="20"/>
          <w:color w:val="auto"/>
        </w:rPr>
      </w:pPr>
      <w:r>
        <w:rPr>
          <w:rFonts w:ascii="Arial" w:cs="Arial" w:eastAsia="Arial" w:hAnsi="Arial"/>
          <w:sz w:val="18"/>
          <w:szCs w:val="18"/>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60"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Unless the plan administrator provides otherwise, options generally are not transferable except by will or the laws of descent and distribution or (except for ISOs) pursuant to a domestic relations order.</w:t>
      </w:r>
    </w:p>
    <w:p>
      <w:pPr>
        <w:spacing w:after="0" w:line="184"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Restricted shares may be awarded in consideration for cash or cash equivalents or another form of consideration, including past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89"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i w:val="1"/>
          <w:iCs w:val="1"/>
          <w:color w:val="auto"/>
        </w:rPr>
        <w:t>Changes to Capital Structure</w:t>
      </w:r>
      <w:r>
        <w:rPr>
          <w:rFonts w:ascii="Arial" w:cs="Arial" w:eastAsia="Arial" w:hAnsi="Arial"/>
          <w:sz w:val="19"/>
          <w:szCs w:val="19"/>
          <w:color w:val="auto"/>
        </w:rPr>
        <w:t>. In the event of any dividend or other distribution, recapitalization, share split, reverse share split, reorganization,</w:t>
      </w:r>
      <w:r>
        <w:rPr>
          <w:rFonts w:ascii="Arial" w:cs="Arial" w:eastAsia="Arial" w:hAnsi="Arial"/>
          <w:sz w:val="19"/>
          <w:szCs w:val="19"/>
          <w:i w:val="1"/>
          <w:iCs w:val="1"/>
          <w:color w:val="auto"/>
        </w:rPr>
        <w:t xml:space="preserve"> </w:t>
      </w:r>
      <w:r>
        <w:rPr>
          <w:rFonts w:ascii="Arial" w:cs="Arial" w:eastAsia="Arial" w:hAnsi="Arial"/>
          <w:sz w:val="19"/>
          <w:szCs w:val="19"/>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98" w:lineRule="exact"/>
        <w:rPr>
          <w:sz w:val="20"/>
          <w:szCs w:val="20"/>
          <w:color w:val="auto"/>
        </w:rPr>
      </w:pPr>
    </w:p>
    <w:p>
      <w:pPr>
        <w:ind w:left="180" w:right="780" w:firstLine="465"/>
        <w:spacing w:after="0" w:line="275" w:lineRule="auto"/>
        <w:rPr>
          <w:sz w:val="20"/>
          <w:szCs w:val="20"/>
          <w:color w:val="auto"/>
        </w:rPr>
      </w:pPr>
      <w:r>
        <w:rPr>
          <w:rFonts w:ascii="Arial" w:cs="Arial" w:eastAsia="Arial" w:hAnsi="Arial"/>
          <w:sz w:val="19"/>
          <w:szCs w:val="19"/>
          <w:i w:val="1"/>
          <w:iCs w:val="1"/>
          <w:color w:val="auto"/>
        </w:rPr>
        <w:t>Corporate Transactions</w:t>
      </w:r>
      <w:r>
        <w:rPr>
          <w:rFonts w:ascii="Arial" w:cs="Arial" w:eastAsia="Arial" w:hAnsi="Arial"/>
          <w:sz w:val="19"/>
          <w:szCs w:val="19"/>
          <w:color w:val="auto"/>
        </w:rPr>
        <w:t>. In the event of a merger or a change in control, each outstanding award will be treated as the plan administrator</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determines, which may include, without limitation, a determination that:</w:t>
      </w:r>
    </w:p>
    <w:p>
      <w:pPr>
        <w:spacing w:after="0" w:line="84" w:lineRule="exact"/>
        <w:rPr>
          <w:sz w:val="20"/>
          <w:szCs w:val="20"/>
          <w:color w:val="auto"/>
        </w:rPr>
      </w:pPr>
    </w:p>
    <w:p>
      <w:pPr>
        <w:ind w:left="1100" w:hanging="464"/>
        <w:spacing w:after="0"/>
        <w:tabs>
          <w:tab w:leader="none" w:pos="1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awards will be assumed or substituted by the acquiring or succeeding corporation with appropriate adjustments;</w:t>
      </w:r>
    </w:p>
    <w:p>
      <w:pPr>
        <w:spacing w:after="0" w:line="138" w:lineRule="exact"/>
        <w:rPr>
          <w:rFonts w:ascii="Arial" w:cs="Arial" w:eastAsia="Arial" w:hAnsi="Arial"/>
          <w:sz w:val="19"/>
          <w:szCs w:val="19"/>
          <w:color w:val="auto"/>
        </w:rPr>
      </w:pPr>
    </w:p>
    <w:p>
      <w:pPr>
        <w:ind w:left="1100" w:right="20" w:hanging="464"/>
        <w:spacing w:after="0" w:line="275" w:lineRule="auto"/>
        <w:tabs>
          <w:tab w:leader="none" w:pos="1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upon written notice to the participant, the participant’s awards will terminate upon or immediately prior to the consummation of such merger or change in control;</w:t>
      </w:r>
    </w:p>
    <w:p>
      <w:pPr>
        <w:spacing w:after="0" w:line="84" w:lineRule="exact"/>
        <w:rPr>
          <w:rFonts w:ascii="Arial" w:cs="Arial" w:eastAsia="Arial" w:hAnsi="Arial"/>
          <w:sz w:val="19"/>
          <w:szCs w:val="19"/>
          <w:color w:val="auto"/>
        </w:rPr>
      </w:pPr>
    </w:p>
    <w:p>
      <w:pPr>
        <w:ind w:left="1100" w:right="40" w:hanging="464"/>
        <w:spacing w:after="0" w:line="263" w:lineRule="auto"/>
        <w:tabs>
          <w:tab w:leader="none" w:pos="1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94" w:lineRule="exact"/>
        <w:rPr>
          <w:rFonts w:ascii="Arial" w:cs="Arial" w:eastAsia="Arial" w:hAnsi="Arial"/>
          <w:sz w:val="19"/>
          <w:szCs w:val="19"/>
          <w:color w:val="auto"/>
        </w:rPr>
      </w:pPr>
    </w:p>
    <w:p>
      <w:pPr>
        <w:ind w:left="1100" w:right="160" w:hanging="464"/>
        <w:spacing w:after="0" w:line="284"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8" w:lineRule="exact"/>
        <w:rPr>
          <w:rFonts w:ascii="Arial" w:cs="Arial" w:eastAsia="Arial" w:hAnsi="Arial"/>
          <w:sz w:val="18"/>
          <w:szCs w:val="18"/>
          <w:color w:val="auto"/>
        </w:rPr>
      </w:pPr>
    </w:p>
    <w:p>
      <w:pPr>
        <w:ind w:left="1100" w:hanging="464"/>
        <w:spacing w:after="0"/>
        <w:tabs>
          <w:tab w:leader="none" w:pos="11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combination of the foregoing.</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plan administrator is not obligated to treat all awards similarly.</w:t>
      </w:r>
    </w:p>
    <w:p>
      <w:pPr>
        <w:spacing w:after="0" w:line="238" w:lineRule="exact"/>
        <w:rPr>
          <w:sz w:val="20"/>
          <w:szCs w:val="20"/>
          <w:color w:val="auto"/>
        </w:rPr>
      </w:pPr>
    </w:p>
    <w:p>
      <w:pPr>
        <w:ind w:left="180" w:right="60" w:firstLine="465"/>
        <w:spacing w:after="0" w:line="259" w:lineRule="auto"/>
        <w:rPr>
          <w:sz w:val="20"/>
          <w:szCs w:val="20"/>
          <w:color w:val="auto"/>
        </w:rPr>
      </w:pPr>
      <w:r>
        <w:rPr>
          <w:rFonts w:ascii="Arial" w:cs="Arial" w:eastAsia="Arial" w:hAnsi="Arial"/>
          <w:sz w:val="19"/>
          <w:szCs w:val="19"/>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102</w:t>
      </w:r>
    </w:p>
    <w:p>
      <w:pPr>
        <w:sectPr>
          <w:pgSz w:w="12240" w:h="15840" w:orient="portrait"/>
          <w:cols w:equalWidth="0" w:num="1">
            <w:col w:w="11800"/>
          </w:cols>
          <w:pgMar w:left="120" w:top="336" w:right="320" w:bottom="1440" w:gutter="0" w:footer="0" w:header="0"/>
        </w:sectPr>
      </w:pPr>
    </w:p>
    <w:bookmarkStart w:id="107" w:name="page108"/>
    <w:bookmarkEnd w:id="10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84" w:lineRule="exact"/>
        <w:rPr>
          <w:sz w:val="20"/>
          <w:szCs w:val="20"/>
          <w:color w:val="auto"/>
        </w:rPr>
      </w:pPr>
    </w:p>
    <w:p>
      <w:pPr>
        <w:ind w:left="180" w:right="100" w:firstLine="465"/>
        <w:spacing w:after="0" w:line="288" w:lineRule="auto"/>
        <w:rPr>
          <w:sz w:val="20"/>
          <w:szCs w:val="20"/>
          <w:color w:val="auto"/>
        </w:rPr>
      </w:pPr>
      <w:r>
        <w:rPr>
          <w:rFonts w:ascii="Arial" w:cs="Arial" w:eastAsia="Arial" w:hAnsi="Arial"/>
          <w:sz w:val="17"/>
          <w:szCs w:val="17"/>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77" w:lineRule="exact"/>
        <w:rPr>
          <w:sz w:val="20"/>
          <w:szCs w:val="20"/>
          <w:color w:val="auto"/>
        </w:rPr>
      </w:pPr>
    </w:p>
    <w:p>
      <w:pPr>
        <w:ind w:left="180" w:right="140" w:firstLine="465"/>
        <w:spacing w:after="0" w:line="308"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The plan administrator may at any time amend, alter, suspend or terminate the 2011 Plan. Certain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Limitations of Liability and Indemnification Matters</w:t>
      </w:r>
    </w:p>
    <w:p>
      <w:pPr>
        <w:spacing w:after="0" w:line="130" w:lineRule="exact"/>
        <w:rPr>
          <w:sz w:val="20"/>
          <w:szCs w:val="20"/>
          <w:color w:val="auto"/>
        </w:rPr>
      </w:pPr>
    </w:p>
    <w:p>
      <w:pPr>
        <w:ind w:left="180" w:right="300" w:firstLine="465"/>
        <w:spacing w:after="0" w:line="284" w:lineRule="auto"/>
        <w:rPr>
          <w:sz w:val="20"/>
          <w:szCs w:val="20"/>
          <w:color w:val="auto"/>
        </w:rPr>
      </w:pPr>
      <w:r>
        <w:rPr>
          <w:rFonts w:ascii="Arial" w:cs="Arial" w:eastAsia="Arial" w:hAnsi="Arial"/>
          <w:sz w:val="18"/>
          <w:szCs w:val="18"/>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8" w:lineRule="exact"/>
        <w:rPr>
          <w:sz w:val="20"/>
          <w:szCs w:val="20"/>
          <w:color w:val="auto"/>
        </w:rPr>
      </w:pPr>
    </w:p>
    <w:p>
      <w:pPr>
        <w:ind w:left="1100" w:hanging="46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breach of the director’s duty of loyalty to the corporation or its stockholders;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act or omission not in good faith or that involves intentional misconduct or a knowing violation of law;</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unlawful payments of dividends or unlawful stock repurchases or redemptions; or</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transaction from which the director derived an improper personal benefit.</w:t>
      </w:r>
    </w:p>
    <w:p>
      <w:pPr>
        <w:spacing w:after="0" w:line="238"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Such limitation of liability does not apply to liabilities arising under federal securities laws and does not affect the availability of equitable remedies such as injunctive relief or rescission.</w:t>
      </w:r>
    </w:p>
    <w:p>
      <w:pPr>
        <w:spacing w:after="0" w:line="184" w:lineRule="exact"/>
        <w:rPr>
          <w:sz w:val="20"/>
          <w:szCs w:val="20"/>
          <w:color w:val="auto"/>
        </w:rPr>
      </w:pPr>
    </w:p>
    <w:p>
      <w:pPr>
        <w:ind w:left="180" w:firstLine="465"/>
        <w:spacing w:after="0" w:line="268"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us to indemnify our directors, officers, employees and other agents to the fullest extent 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103</w:t>
      </w:r>
    </w:p>
    <w:p>
      <w:pPr>
        <w:sectPr>
          <w:pgSz w:w="12240" w:h="15840" w:orient="portrait"/>
          <w:cols w:equalWidth="0" w:num="1">
            <w:col w:w="11820"/>
          </w:cols>
          <w:pgMar w:left="120" w:top="336" w:right="300" w:bottom="1440" w:gutter="0" w:footer="0" w:header="0"/>
        </w:sectPr>
      </w:pPr>
    </w:p>
    <w:bookmarkStart w:id="108" w:name="page109"/>
    <w:bookmarkEnd w:id="10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spacing w:after="0" w:line="275" w:lineRule="auto"/>
        <w:rPr>
          <w:sz w:val="20"/>
          <w:szCs w:val="20"/>
          <w:color w:val="auto"/>
        </w:rPr>
      </w:pPr>
      <w:r>
        <w:rPr>
          <w:rFonts w:ascii="Arial" w:cs="Arial" w:eastAsia="Arial" w:hAnsi="Arial"/>
          <w:sz w:val="19"/>
          <w:szCs w:val="19"/>
          <w:color w:val="auto"/>
        </w:rPr>
        <w:t>and indemnification agreements are necessary to attract and retain qualified persons as directors and officers. We also maintain customary directors’ and officers’ liability insurance.</w:t>
      </w:r>
    </w:p>
    <w:p>
      <w:pPr>
        <w:spacing w:after="0" w:line="18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4" w:lineRule="exact"/>
        <w:rPr>
          <w:sz w:val="20"/>
          <w:szCs w:val="20"/>
          <w:color w:val="auto"/>
        </w:rPr>
      </w:pPr>
    </w:p>
    <w:p>
      <w:pPr>
        <w:ind w:left="180" w:right="160" w:firstLine="465"/>
        <w:spacing w:after="0" w:line="263" w:lineRule="auto"/>
        <w:rPr>
          <w:sz w:val="20"/>
          <w:szCs w:val="20"/>
          <w:color w:val="auto"/>
        </w:rPr>
      </w:pPr>
      <w:r>
        <w:rPr>
          <w:rFonts w:ascii="Arial" w:cs="Arial" w:eastAsia="Arial" w:hAnsi="Arial"/>
          <w:sz w:val="19"/>
          <w:szCs w:val="19"/>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104</w:t>
      </w:r>
    </w:p>
    <w:p>
      <w:pPr>
        <w:sectPr>
          <w:pgSz w:w="12240" w:h="15840" w:orient="portrait"/>
          <w:cols w:equalWidth="0" w:num="1">
            <w:col w:w="11800"/>
          </w:cols>
          <w:pgMar w:left="120" w:top="336" w:right="320" w:bottom="1440" w:gutter="0" w:footer="0" w:header="0"/>
        </w:sectPr>
      </w:pPr>
    </w:p>
    <w:bookmarkStart w:id="109" w:name="page110"/>
    <w:bookmarkEnd w:id="10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244" w:lineRule="exact"/>
        <w:rPr>
          <w:sz w:val="20"/>
          <w:szCs w:val="20"/>
          <w:color w:val="auto"/>
        </w:rPr>
      </w:pPr>
    </w:p>
    <w:p>
      <w:pPr>
        <w:ind w:left="180" w:right="260" w:firstLine="465"/>
        <w:spacing w:after="0" w:line="275" w:lineRule="auto"/>
        <w:rPr>
          <w:sz w:val="20"/>
          <w:szCs w:val="20"/>
          <w:color w:val="auto"/>
        </w:rPr>
      </w:pPr>
      <w:r>
        <w:rPr>
          <w:rFonts w:ascii="Arial" w:cs="Arial" w:eastAsia="Arial" w:hAnsi="Arial"/>
          <w:sz w:val="19"/>
          <w:szCs w:val="19"/>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84" w:lineRule="exact"/>
        <w:rPr>
          <w:sz w:val="20"/>
          <w:szCs w:val="20"/>
          <w:color w:val="auto"/>
        </w:rPr>
      </w:pPr>
    </w:p>
    <w:p>
      <w:pPr>
        <w:ind w:left="1100" w:hanging="464"/>
        <w:spacing w:after="0"/>
        <w:tabs>
          <w:tab w:leader="none" w:pos="11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we have been or are to be a participant;</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amounts involved exceeded or will exceed $120,000; and</w:t>
      </w:r>
    </w:p>
    <w:p>
      <w:pPr>
        <w:spacing w:after="0" w:line="138" w:lineRule="exact"/>
        <w:rPr>
          <w:rFonts w:ascii="Arial" w:cs="Arial" w:eastAsia="Arial" w:hAnsi="Arial"/>
          <w:sz w:val="19"/>
          <w:szCs w:val="19"/>
          <w:color w:val="auto"/>
        </w:rPr>
      </w:pPr>
    </w:p>
    <w:p>
      <w:pPr>
        <w:ind w:left="1100" w:right="100" w:hanging="464"/>
        <w:spacing w:after="0" w:line="304"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Equity Financing</w:t>
      </w:r>
    </w:p>
    <w:p>
      <w:pPr>
        <w:spacing w:after="0" w:line="130" w:lineRule="exact"/>
        <w:rPr>
          <w:sz w:val="20"/>
          <w:szCs w:val="20"/>
          <w:color w:val="auto"/>
        </w:rPr>
      </w:pPr>
    </w:p>
    <w:p>
      <w:pPr>
        <w:jc w:val="both"/>
        <w:ind w:left="180" w:right="20" w:firstLine="465"/>
        <w:spacing w:after="0" w:line="263" w:lineRule="auto"/>
        <w:rPr>
          <w:sz w:val="20"/>
          <w:szCs w:val="20"/>
          <w:color w:val="auto"/>
        </w:rPr>
      </w:pPr>
      <w:r>
        <w:rPr>
          <w:rFonts w:ascii="Arial" w:cs="Arial" w:eastAsia="Arial" w:hAnsi="Arial"/>
          <w:sz w:val="19"/>
          <w:szCs w:val="19"/>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2240" w:h="15840" w:orient="portrait"/>
          <w:cols w:equalWidth="0" w:num="1">
            <w:col w:w="11800"/>
          </w:cols>
          <w:pgMar w:left="120" w:top="336" w:right="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5"/>
          <w:szCs w:val="15"/>
          <w:b w:val="1"/>
          <w:bCs w:val="1"/>
          <w:u w:val="single" w:color="auto"/>
          <w:color w:val="auto"/>
        </w:rPr>
        <w:t>Stockholder</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Entities affiliated with Sequoia Capital </w:t>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-122555</wp:posOffset>
            </wp:positionV>
            <wp:extent cx="7389495" cy="1536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89495" cy="153670"/>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EZP Opportunity, L.P.</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106045</wp:posOffset>
            </wp:positionV>
            <wp:extent cx="7423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1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7"/>
              </w:rPr>
              <w:t>Shares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9"/>
              </w:rPr>
              <w:t>Series 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4"/>
              </w:rPr>
              <w:t>Convertible</w:t>
            </w:r>
          </w:p>
        </w:tc>
        <w:tc>
          <w:tcPr>
            <w:tcW w:w="200" w:type="dxa"/>
            <w:vAlign w:val="bottom"/>
          </w:tcPr>
          <w:p>
            <w:pPr>
              <w:spacing w:after="0"/>
              <w:rPr>
                <w:sz w:val="13"/>
                <w:szCs w:val="13"/>
                <w:color w:val="auto"/>
              </w:rPr>
            </w:pPr>
          </w:p>
        </w:tc>
        <w:tc>
          <w:tcPr>
            <w:tcW w:w="102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9"/>
              </w:rPr>
              <w:t>Total</w:t>
            </w:r>
          </w:p>
        </w:tc>
      </w:tr>
      <w:tr>
        <w:trPr>
          <w:trHeight w:val="157"/>
        </w:trPr>
        <w:tc>
          <w:tcPr>
            <w:tcW w:w="11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2"/>
              </w:rPr>
              <w:t>Preferred</w:t>
            </w:r>
          </w:p>
        </w:tc>
        <w:tc>
          <w:tcPr>
            <w:tcW w:w="200" w:type="dxa"/>
            <w:vAlign w:val="bottom"/>
          </w:tcPr>
          <w:p>
            <w:pPr>
              <w:spacing w:after="0"/>
              <w:rPr>
                <w:sz w:val="13"/>
                <w:szCs w:val="13"/>
                <w:color w:val="auto"/>
              </w:rPr>
            </w:pPr>
          </w:p>
        </w:tc>
        <w:tc>
          <w:tcPr>
            <w:tcW w:w="1020" w:type="dxa"/>
            <w:vAlign w:val="bottom"/>
            <w:gridSpan w:val="2"/>
          </w:tcPr>
          <w:p>
            <w:pPr>
              <w:jc w:val="center"/>
              <w:ind w:right="20"/>
              <w:spacing w:after="0" w:line="157" w:lineRule="exact"/>
              <w:rPr>
                <w:sz w:val="20"/>
                <w:szCs w:val="20"/>
                <w:color w:val="auto"/>
              </w:rPr>
            </w:pPr>
            <w:r>
              <w:rPr>
                <w:rFonts w:ascii="Arial" w:cs="Arial" w:eastAsia="Arial" w:hAnsi="Arial"/>
                <w:sz w:val="15"/>
                <w:szCs w:val="15"/>
                <w:b w:val="1"/>
                <w:bCs w:val="1"/>
                <w:color w:val="auto"/>
                <w:w w:val="88"/>
              </w:rPr>
              <w:t>Purchase</w:t>
            </w:r>
          </w:p>
        </w:tc>
      </w:tr>
      <w:tr>
        <w:trPr>
          <w:trHeight w:val="180"/>
        </w:trPr>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Stock</w:t>
            </w:r>
          </w:p>
        </w:tc>
        <w:tc>
          <w:tcPr>
            <w:tcW w:w="20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7"/>
              </w:rPr>
              <w:t>Price</w:t>
            </w:r>
          </w:p>
        </w:tc>
      </w:tr>
      <w:tr>
        <w:trPr>
          <w:trHeight w:val="208"/>
        </w:trPr>
        <w:tc>
          <w:tcPr>
            <w:tcW w:w="98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rPr>
              <w:t>26,727,064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Arial" w:cs="Arial" w:eastAsia="Arial" w:hAnsi="Arial"/>
                <w:sz w:val="19"/>
                <w:szCs w:val="19"/>
                <w:color w:val="auto"/>
                <w:w w:val="88"/>
              </w:rPr>
              <w:t>$ 99,999,978</w:t>
            </w:r>
          </w:p>
        </w:tc>
        <w:tc>
          <w:tcPr>
            <w:tcW w:w="20" w:type="dxa"/>
            <w:vAlign w:val="bottom"/>
          </w:tcPr>
          <w:p>
            <w:pPr>
              <w:spacing w:after="0"/>
              <w:rPr>
                <w:sz w:val="18"/>
                <w:szCs w:val="18"/>
                <w:color w:val="auto"/>
              </w:rPr>
            </w:pPr>
          </w:p>
        </w:tc>
      </w:tr>
      <w:tr>
        <w:trPr>
          <w:trHeight w:val="241"/>
        </w:trPr>
        <w:tc>
          <w:tcPr>
            <w:tcW w:w="1180" w:type="dxa"/>
            <w:vAlign w:val="bottom"/>
            <w:gridSpan w:val="2"/>
          </w:tcPr>
          <w:p>
            <w:pPr>
              <w:jc w:val="right"/>
              <w:ind w:right="200"/>
              <w:spacing w:after="0"/>
              <w:rPr>
                <w:sz w:val="20"/>
                <w:szCs w:val="20"/>
                <w:color w:val="auto"/>
              </w:rPr>
            </w:pPr>
            <w:r>
              <w:rPr>
                <w:rFonts w:ascii="Arial" w:cs="Arial" w:eastAsia="Arial" w:hAnsi="Arial"/>
                <w:sz w:val="19"/>
                <w:szCs w:val="19"/>
                <w:color w:val="auto"/>
              </w:rPr>
              <w:t>2,850,724</w:t>
            </w:r>
          </w:p>
        </w:tc>
        <w:tc>
          <w:tcPr>
            <w:tcW w:w="1220" w:type="dxa"/>
            <w:vAlign w:val="bottom"/>
            <w:gridSpan w:val="3"/>
          </w:tcPr>
          <w:p>
            <w:pPr>
              <w:jc w:val="right"/>
              <w:ind w:right="20"/>
              <w:spacing w:after="0"/>
              <w:rPr>
                <w:sz w:val="20"/>
                <w:szCs w:val="20"/>
                <w:color w:val="auto"/>
              </w:rPr>
            </w:pPr>
            <w:r>
              <w:rPr>
                <w:rFonts w:ascii="Arial" w:cs="Arial" w:eastAsia="Arial" w:hAnsi="Arial"/>
                <w:sz w:val="19"/>
                <w:szCs w:val="19"/>
                <w:color w:val="auto"/>
              </w:rPr>
              <w:t>$ 10,666,055</w:t>
            </w:r>
          </w:p>
        </w:tc>
      </w:tr>
    </w:tbl>
    <w:p>
      <w:pPr>
        <w:spacing w:after="0" w:line="186" w:lineRule="exact"/>
        <w:rPr>
          <w:sz w:val="20"/>
          <w:szCs w:val="20"/>
          <w:color w:val="auto"/>
        </w:rPr>
      </w:pPr>
    </w:p>
    <w:p>
      <w:pPr>
        <w:sectPr>
          <w:pgSz w:w="12240" w:h="15840" w:orient="portrait"/>
          <w:cols w:equalWidth="0" w:num="2">
            <w:col w:w="8640" w:space="720"/>
            <w:col w:w="2440"/>
          </w:cols>
          <w:pgMar w:left="120" w:top="336" w:right="320" w:bottom="1440" w:gutter="0" w:footer="0" w:header="0"/>
          <w:type w:val="continuous"/>
        </w:sectPr>
      </w:pPr>
    </w:p>
    <w:p>
      <w:pPr>
        <w:jc w:val="both"/>
        <w:ind w:left="640" w:right="20" w:hanging="461"/>
        <w:spacing w:after="0" w:line="255" w:lineRule="auto"/>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Carl Eschenbach, a member of our board of directors, is a General Partner at Sequoia Capital.</w:t>
      </w:r>
    </w:p>
    <w:p>
      <w:pPr>
        <w:spacing w:after="0" w:line="9" w:lineRule="exact"/>
        <w:rPr>
          <w:rFonts w:ascii="Arial" w:cs="Arial" w:eastAsia="Arial" w:hAnsi="Arial"/>
          <w:sz w:val="19"/>
          <w:szCs w:val="19"/>
          <w:color w:val="auto"/>
        </w:rPr>
      </w:pPr>
    </w:p>
    <w:p>
      <w:pPr>
        <w:ind w:left="640" w:hanging="461"/>
        <w:spacing w:after="0"/>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Santiago Subotovsky, a member of our board of directors, is a General Partner at Emergence Capital Partners.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Transactions with Digital Mobile Venture Limited</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Common Stock Transfer Agreement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106"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105</w:t>
      </w:r>
    </w:p>
    <w:p>
      <w:pPr>
        <w:sectPr>
          <w:pgSz w:w="12240" w:h="15840" w:orient="portrait"/>
          <w:cols w:equalWidth="0" w:num="1">
            <w:col w:w="11800"/>
          </w:cols>
          <w:pgMar w:left="120" w:top="336" w:right="320" w:bottom="1440" w:gutter="0" w:footer="0" w:header="0"/>
          <w:type w:val="continuous"/>
        </w:sectPr>
      </w:pPr>
    </w:p>
    <w:bookmarkStart w:id="110" w:name="page111"/>
    <w:bookmarkEnd w:id="11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Preferred Stock Repurchase</w:t>
      </w:r>
    </w:p>
    <w:p>
      <w:pPr>
        <w:spacing w:after="0" w:line="12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Partnership Agreement</w:t>
      </w:r>
    </w:p>
    <w:p>
      <w:pPr>
        <w:spacing w:after="0" w:line="12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Investors’ Rights Agreement</w:t>
      </w:r>
    </w:p>
    <w:p>
      <w:pPr>
        <w:spacing w:after="0" w:line="130"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In connection with this offering, the holders of up to 209,268,532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Right of First Refusal</w:t>
      </w:r>
    </w:p>
    <w:p>
      <w:pPr>
        <w:spacing w:after="0" w:line="130" w:lineRule="exact"/>
        <w:rPr>
          <w:sz w:val="20"/>
          <w:szCs w:val="20"/>
          <w:color w:val="auto"/>
        </w:rPr>
      </w:pPr>
    </w:p>
    <w:p>
      <w:pPr>
        <w:ind w:left="180" w:right="120" w:firstLine="465"/>
        <w:spacing w:after="0" w:line="289" w:lineRule="auto"/>
        <w:rPr>
          <w:sz w:val="20"/>
          <w:szCs w:val="20"/>
          <w:color w:val="auto"/>
        </w:rPr>
      </w:pPr>
      <w:r>
        <w:rPr>
          <w:rFonts w:ascii="Arial" w:cs="Arial" w:eastAsia="Arial" w:hAnsi="Arial"/>
          <w:sz w:val="17"/>
          <w:szCs w:val="17"/>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Loan to Executive Officer</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Transactions with Veeva Systems Inc.</w:t>
      </w:r>
    </w:p>
    <w:p>
      <w:pPr>
        <w:spacing w:after="0" w:line="13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In September 2016, we entered into a service agreement with Veeva Systems Inc. (Veeva), a cloud-based business solutions company. The chief executive officer of Veeva serves as one of our directors. Revenue recognized from services provided to Veeva was $0.3 million and $1.4 million for the fiscal years ended January 31, 2017 and 2018, respectively.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106</w:t>
      </w:r>
    </w:p>
    <w:p>
      <w:pPr>
        <w:sectPr>
          <w:pgSz w:w="12240" w:h="15840" w:orient="portrait"/>
          <w:cols w:equalWidth="0" w:num="1">
            <w:col w:w="11820"/>
          </w:cols>
          <w:pgMar w:left="120" w:top="336" w:right="300" w:bottom="1440" w:gutter="0" w:footer="0" w:header="0"/>
        </w:sectPr>
      </w:pPr>
    </w:p>
    <w:bookmarkStart w:id="111" w:name="page112"/>
    <w:bookmarkEnd w:id="11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Indemnification Agreements</w:t>
      </w:r>
    </w:p>
    <w:p>
      <w:pPr>
        <w:spacing w:after="0" w:line="13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Policies and Procedures for Related Person Transactions</w:t>
      </w:r>
    </w:p>
    <w:p>
      <w:pPr>
        <w:spacing w:after="0" w:line="130" w:lineRule="exact"/>
        <w:rPr>
          <w:sz w:val="20"/>
          <w:szCs w:val="20"/>
          <w:color w:val="auto"/>
        </w:rPr>
      </w:pPr>
    </w:p>
    <w:p>
      <w:pPr>
        <w:ind w:left="180" w:right="60" w:firstLine="465"/>
        <w:spacing w:after="0" w:line="269" w:lineRule="auto"/>
        <w:rPr>
          <w:sz w:val="20"/>
          <w:szCs w:val="20"/>
          <w:color w:val="auto"/>
        </w:rPr>
      </w:pPr>
      <w:r>
        <w:rPr>
          <w:rFonts w:ascii="Arial" w:cs="Arial" w:eastAsia="Arial" w:hAnsi="Arial"/>
          <w:sz w:val="18"/>
          <w:szCs w:val="18"/>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107</w:t>
      </w:r>
    </w:p>
    <w:p>
      <w:pPr>
        <w:sectPr>
          <w:pgSz w:w="12240" w:h="15840" w:orient="portrait"/>
          <w:cols w:equalWidth="0" w:num="1">
            <w:col w:w="11800"/>
          </w:cols>
          <w:pgMar w:left="120" w:top="337" w:right="320" w:bottom="1440" w:gutter="0" w:footer="0" w:header="0"/>
        </w:sectPr>
      </w:pPr>
    </w:p>
    <w:bookmarkStart w:id="112" w:name="page113"/>
    <w:bookmarkEnd w:id="11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PRINCIPAL AND SELLING STOCKHOLDERS</w:t>
      </w:r>
    </w:p>
    <w:p>
      <w:pPr>
        <w:spacing w:after="0" w:line="130" w:lineRule="exact"/>
        <w:rPr>
          <w:sz w:val="20"/>
          <w:szCs w:val="20"/>
          <w:color w:val="auto"/>
        </w:rPr>
      </w:pPr>
    </w:p>
    <w:p>
      <w:pPr>
        <w:ind w:left="180" w:right="180" w:firstLine="465"/>
        <w:spacing w:after="0" w:line="263" w:lineRule="auto"/>
        <w:rPr>
          <w:sz w:val="20"/>
          <w:szCs w:val="20"/>
          <w:color w:val="auto"/>
        </w:rPr>
      </w:pPr>
      <w:r>
        <w:rPr>
          <w:rFonts w:ascii="Arial" w:cs="Arial" w:eastAsia="Arial" w:hAnsi="Arial"/>
          <w:sz w:val="19"/>
          <w:szCs w:val="19"/>
          <w:color w:val="auto"/>
        </w:rPr>
        <w:t>The following table sets forth information with respect to the beneficial ownership of our capital stock as of December 31, 2018, and as adjusted to reflect the sale of our Class A common stock offered by us in this offering assuming no exercise of the underwriters’ option to purchase additional shares, for:</w:t>
      </w:r>
    </w:p>
    <w:p>
      <w:pPr>
        <w:spacing w:after="0" w:line="95" w:lineRule="exact"/>
        <w:rPr>
          <w:sz w:val="20"/>
          <w:szCs w:val="20"/>
          <w:color w:val="auto"/>
        </w:rPr>
      </w:pPr>
    </w:p>
    <w:p>
      <w:pPr>
        <w:ind w:left="1100" w:hanging="188"/>
        <w:spacing w:after="0"/>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of our named executive officers;</w:t>
      </w:r>
    </w:p>
    <w:p>
      <w:pPr>
        <w:spacing w:after="0" w:line="138" w:lineRule="exact"/>
        <w:rPr>
          <w:rFonts w:ascii="Arial" w:cs="Arial" w:eastAsia="Arial" w:hAnsi="Arial"/>
          <w:sz w:val="19"/>
          <w:szCs w:val="19"/>
          <w:color w:val="auto"/>
        </w:rPr>
      </w:pPr>
    </w:p>
    <w:p>
      <w:pPr>
        <w:ind w:left="1100" w:hanging="188"/>
        <w:spacing w:after="0"/>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of our directors;</w:t>
      </w:r>
    </w:p>
    <w:p>
      <w:pPr>
        <w:spacing w:after="0" w:line="138" w:lineRule="exact"/>
        <w:rPr>
          <w:rFonts w:ascii="Arial" w:cs="Arial" w:eastAsia="Arial" w:hAnsi="Arial"/>
          <w:sz w:val="19"/>
          <w:szCs w:val="19"/>
          <w:color w:val="auto"/>
        </w:rPr>
      </w:pPr>
    </w:p>
    <w:p>
      <w:pPr>
        <w:ind w:left="1100" w:hanging="188"/>
        <w:spacing w:after="0"/>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all of our executive officers and directors as a group;</w:t>
      </w:r>
    </w:p>
    <w:p>
      <w:pPr>
        <w:spacing w:after="0" w:line="138" w:lineRule="exact"/>
        <w:rPr>
          <w:rFonts w:ascii="Arial" w:cs="Arial" w:eastAsia="Arial" w:hAnsi="Arial"/>
          <w:sz w:val="19"/>
          <w:szCs w:val="19"/>
          <w:color w:val="auto"/>
        </w:rPr>
      </w:pPr>
    </w:p>
    <w:p>
      <w:pPr>
        <w:ind w:left="1100" w:hanging="188"/>
        <w:spacing w:after="0"/>
        <w:tabs>
          <w:tab w:leader="none" w:pos="11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61" w:lineRule="exact"/>
        <w:rPr>
          <w:rFonts w:ascii="Arial" w:cs="Arial" w:eastAsia="Arial" w:hAnsi="Arial"/>
          <w:sz w:val="17"/>
          <w:szCs w:val="17"/>
          <w:color w:val="auto"/>
        </w:rPr>
      </w:pPr>
    </w:p>
    <w:p>
      <w:pPr>
        <w:ind w:left="1100" w:hanging="188"/>
        <w:spacing w:after="0"/>
        <w:tabs>
          <w:tab w:leader="none" w:pos="11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each of the selling stockholders.</w:t>
      </w:r>
    </w:p>
    <w:p>
      <w:pPr>
        <w:spacing w:after="0" w:line="23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98" w:lineRule="exact"/>
        <w:rPr>
          <w:sz w:val="20"/>
          <w:szCs w:val="20"/>
          <w:color w:val="auto"/>
        </w:rPr>
      </w:pPr>
    </w:p>
    <w:p>
      <w:pPr>
        <w:ind w:left="180" w:right="120" w:firstLine="465"/>
        <w:spacing w:after="0" w:line="288" w:lineRule="auto"/>
        <w:rPr>
          <w:sz w:val="20"/>
          <w:szCs w:val="20"/>
          <w:color w:val="auto"/>
        </w:rPr>
      </w:pPr>
      <w:r>
        <w:rPr>
          <w:rFonts w:ascii="Arial" w:cs="Arial" w:eastAsia="Arial" w:hAnsi="Arial"/>
          <w:sz w:val="17"/>
          <w:szCs w:val="17"/>
          <w:color w:val="auto"/>
        </w:rPr>
        <w:t>Applicable percentage ownership before the offering is based on no shares of Class A common stock and 242,618,755 shares of Class B common stock outstanding as of December 31, 2018, assuming the automatic conversion of all outstanding shares of preferred stock into shares of Class B</w:t>
      </w:r>
    </w:p>
    <w:p>
      <w:pPr>
        <w:ind w:left="180" w:right="220"/>
        <w:spacing w:after="0" w:line="264" w:lineRule="auto"/>
        <w:rPr>
          <w:sz w:val="20"/>
          <w:szCs w:val="20"/>
          <w:color w:val="auto"/>
        </w:rPr>
      </w:pPr>
      <w:r>
        <w:rPr>
          <w:rFonts w:ascii="Arial" w:cs="Arial" w:eastAsia="Arial" w:hAnsi="Arial"/>
          <w:sz w:val="18"/>
          <w:szCs w:val="18"/>
          <w:color w:val="auto"/>
        </w:rPr>
        <w:t>common stock upon the completion of this offering. Applicable percentage ownership after the offering is based on shares of Class A common stock and shares of Class B common stock outstanding immediately after the completion of this offering, assuming no exercise by</w:t>
      </w:r>
    </w:p>
    <w:p>
      <w:pPr>
        <w:spacing w:after="0" w:line="1" w:lineRule="exact"/>
        <w:rPr>
          <w:sz w:val="20"/>
          <w:szCs w:val="20"/>
          <w:color w:val="auto"/>
        </w:rPr>
      </w:pPr>
    </w:p>
    <w:p>
      <w:pPr>
        <w:ind w:left="180" w:right="20"/>
        <w:spacing w:after="0" w:line="254" w:lineRule="auto"/>
        <w:rPr>
          <w:sz w:val="20"/>
          <w:szCs w:val="20"/>
          <w:color w:val="auto"/>
        </w:rPr>
      </w:pPr>
      <w:r>
        <w:rPr>
          <w:rFonts w:ascii="Arial" w:cs="Arial" w:eastAsia="Arial" w:hAnsi="Arial"/>
          <w:sz w:val="19"/>
          <w:szCs w:val="19"/>
          <w:color w:val="auto"/>
        </w:rPr>
        <w:t>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December 31, 2018. However, except as described above, we did not deem such shares outstanding for the purpose of computing the percentage ownership of any other person.</w:t>
      </w:r>
    </w:p>
    <w:p>
      <w:pPr>
        <w:spacing w:after="0" w:line="203" w:lineRule="exact"/>
        <w:rPr>
          <w:sz w:val="20"/>
          <w:szCs w:val="20"/>
          <w:color w:val="auto"/>
        </w:rPr>
      </w:pPr>
    </w:p>
    <w:p>
      <w:pPr>
        <w:ind w:left="180" w:right="180" w:firstLine="465"/>
        <w:spacing w:after="0" w:line="275" w:lineRule="auto"/>
        <w:rPr>
          <w:sz w:val="20"/>
          <w:szCs w:val="20"/>
          <w:color w:val="auto"/>
        </w:rPr>
      </w:pPr>
      <w:r>
        <w:rPr>
          <w:rFonts w:ascii="Arial" w:cs="Arial" w:eastAsia="Arial" w:hAnsi="Arial"/>
          <w:sz w:val="19"/>
          <w:szCs w:val="19"/>
          <w:color w:val="auto"/>
        </w:rPr>
        <w:t>Unless otherwise indicated, the address of each beneficial owner listed below is c/o Zoom Video Communications, Inc., 55 Almaden Boulevard, 6</w:t>
      </w:r>
      <w:r>
        <w:rPr>
          <w:rFonts w:ascii="Arial" w:cs="Arial" w:eastAsia="Arial" w:hAnsi="Arial"/>
          <w:sz w:val="16"/>
          <w:szCs w:val="16"/>
          <w:color w:val="auto"/>
        </w:rPr>
        <w:t>th</w:t>
      </w:r>
      <w:r>
        <w:rPr>
          <w:rFonts w:ascii="Arial" w:cs="Arial" w:eastAsia="Arial" w:hAnsi="Arial"/>
          <w:sz w:val="19"/>
          <w:szCs w:val="19"/>
          <w:color w:val="auto"/>
        </w:rPr>
        <w:t xml:space="preserve"> Floor, San Jose, California 95113.</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108</w:t>
      </w:r>
    </w:p>
    <w:p>
      <w:pPr>
        <w:sectPr>
          <w:pgSz w:w="12240" w:h="15840" w:orient="portrait"/>
          <w:cols w:equalWidth="0" w:num="1">
            <w:col w:w="11820"/>
          </w:cols>
          <w:pgMar w:left="120" w:top="336" w:right="300"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2240" w:h="15840" w:orient="portrait"/>
          <w:cols w:equalWidth="0" w:num="1">
            <w:col w:w="11800"/>
          </w:cols>
          <w:pgMar w:left="120" w:top="336" w:right="320" w:bottom="1440" w:gutter="0" w:footer="0" w:header="0"/>
        </w:sectPr>
      </w:pPr>
    </w:p>
    <w:p>
      <w:pPr>
        <w:spacing w:after="0" w:line="200" w:lineRule="exact"/>
        <w:rPr>
          <w:sz w:val="20"/>
          <w:szCs w:val="20"/>
          <w:color w:val="auto"/>
        </w:rPr>
      </w:pP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160" w:type="dxa"/>
            <w:vAlign w:val="bottom"/>
          </w:tcPr>
          <w:p>
            <w:pPr>
              <w:spacing w:after="0"/>
              <w:rPr>
                <w:sz w:val="15"/>
                <w:szCs w:val="15"/>
                <w:color w:val="auto"/>
              </w:rPr>
            </w:pPr>
          </w:p>
        </w:tc>
        <w:tc>
          <w:tcPr>
            <w:tcW w:w="3860" w:type="dxa"/>
            <w:vAlign w:val="bottom"/>
            <w:gridSpan w:val="11"/>
          </w:tcPr>
          <w:p>
            <w:pPr>
              <w:ind w:left="360"/>
              <w:spacing w:after="0"/>
              <w:rPr>
                <w:sz w:val="20"/>
                <w:szCs w:val="20"/>
                <w:color w:val="auto"/>
              </w:rPr>
            </w:pPr>
            <w:r>
              <w:rPr>
                <w:rFonts w:ascii="Arial" w:cs="Arial" w:eastAsia="Arial" w:hAnsi="Arial"/>
                <w:sz w:val="15"/>
                <w:szCs w:val="15"/>
                <w:b w:val="1"/>
                <w:bCs w:val="1"/>
                <w:color w:val="auto"/>
              </w:rPr>
              <w:t>Shares Beneficially Owned Prior to Offering</w:t>
            </w:r>
          </w:p>
        </w:tc>
        <w:tc>
          <w:tcPr>
            <w:tcW w:w="4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9"/>
              </w:rPr>
              <w:t># of</w:t>
            </w:r>
          </w:p>
        </w:tc>
        <w:tc>
          <w:tcPr>
            <w:tcW w:w="0" w:type="dxa"/>
            <w:vAlign w:val="bottom"/>
          </w:tcPr>
          <w:p>
            <w:pPr>
              <w:spacing w:after="0"/>
              <w:rPr>
                <w:sz w:val="1"/>
                <w:szCs w:val="1"/>
                <w:color w:val="auto"/>
              </w:rPr>
            </w:pPr>
          </w:p>
        </w:tc>
      </w:tr>
      <w:tr>
        <w:trPr>
          <w:trHeight w:val="137"/>
        </w:trPr>
        <w:tc>
          <w:tcPr>
            <w:tcW w:w="4160" w:type="dxa"/>
            <w:vAlign w:val="bottom"/>
          </w:tcPr>
          <w:p>
            <w:pPr>
              <w:spacing w:after="0"/>
              <w:rPr>
                <w:sz w:val="11"/>
                <w:szCs w:val="11"/>
                <w:color w:val="auto"/>
              </w:rPr>
            </w:pPr>
          </w:p>
        </w:tc>
        <w:tc>
          <w:tcPr>
            <w:tcW w:w="740" w:type="dxa"/>
            <w:vAlign w:val="bottom"/>
            <w:tcBorders>
              <w:top w:val="single" w:sz="8" w:color="auto"/>
            </w:tcBorders>
            <w:gridSpan w:val="3"/>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A</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rPr>
              <w:t>% of</w:t>
            </w: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220" w:type="dxa"/>
            <w:vAlign w:val="bottom"/>
            <w:gridSpan w:val="5"/>
          </w:tcPr>
          <w:p>
            <w:pPr>
              <w:jc w:val="center"/>
              <w:ind w:right="260"/>
              <w:spacing w:after="0" w:line="157" w:lineRule="exact"/>
              <w:rPr>
                <w:sz w:val="20"/>
                <w:szCs w:val="20"/>
                <w:color w:val="auto"/>
              </w:rPr>
            </w:pPr>
            <w:r>
              <w:rPr>
                <w:rFonts w:ascii="Arial" w:cs="Arial" w:eastAsia="Arial" w:hAnsi="Arial"/>
                <w:sz w:val="15"/>
                <w:szCs w:val="15"/>
                <w:b w:val="1"/>
                <w:bCs w:val="1"/>
                <w:color w:val="auto"/>
                <w:w w:val="92"/>
              </w:rPr>
              <w:t>Common</w:t>
            </w:r>
          </w:p>
        </w:tc>
        <w:tc>
          <w:tcPr>
            <w:tcW w:w="1960" w:type="dxa"/>
            <w:vAlign w:val="bottom"/>
            <w:gridSpan w:val="4"/>
          </w:tcPr>
          <w:p>
            <w:pPr>
              <w:jc w:val="right"/>
              <w:ind w:right="620"/>
              <w:spacing w:after="0" w:line="157" w:lineRule="exact"/>
              <w:rPr>
                <w:sz w:val="20"/>
                <w:szCs w:val="20"/>
                <w:color w:val="auto"/>
              </w:rPr>
            </w:pPr>
            <w:r>
              <w:rPr>
                <w:rFonts w:ascii="Arial" w:cs="Arial" w:eastAsia="Arial" w:hAnsi="Arial"/>
                <w:sz w:val="15"/>
                <w:szCs w:val="15"/>
                <w:b w:val="1"/>
                <w:bCs w:val="1"/>
                <w:color w:val="auto"/>
              </w:rPr>
              <w:t>Class B Common</w:t>
            </w:r>
          </w:p>
        </w:tc>
        <w:tc>
          <w:tcPr>
            <w:tcW w:w="68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89"/>
              </w:rPr>
              <w:t>Total</w:t>
            </w:r>
          </w:p>
        </w:tc>
        <w:tc>
          <w:tcPr>
            <w:tcW w:w="46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3"/>
              </w:rPr>
              <w:t>Shares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740" w:type="dxa"/>
            <w:vAlign w:val="bottom"/>
            <w:tcBorders>
              <w:bottom w:val="single" w:sz="8" w:color="auto"/>
            </w:tcBorders>
            <w:gridSpan w:val="3"/>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200"/>
              <w:spacing w:after="0" w:line="172" w:lineRule="exact"/>
              <w:rPr>
                <w:sz w:val="20"/>
                <w:szCs w:val="20"/>
                <w:color w:val="auto"/>
              </w:rPr>
            </w:pPr>
            <w:r>
              <w:rPr>
                <w:rFonts w:ascii="Arial" w:cs="Arial" w:eastAsia="Arial" w:hAnsi="Arial"/>
                <w:sz w:val="15"/>
                <w:szCs w:val="15"/>
                <w:b w:val="1"/>
                <w:bCs w:val="1"/>
                <w:color w:val="auto"/>
              </w:rPr>
              <w:t>Stock</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center"/>
              <w:ind w:right="240"/>
              <w:spacing w:after="0" w:line="172" w:lineRule="exact"/>
              <w:rPr>
                <w:sz w:val="20"/>
                <w:szCs w:val="20"/>
                <w:color w:val="auto"/>
              </w:rPr>
            </w:pPr>
            <w:r>
              <w:rPr>
                <w:rFonts w:ascii="Arial" w:cs="Arial" w:eastAsia="Arial" w:hAnsi="Arial"/>
                <w:sz w:val="15"/>
                <w:szCs w:val="15"/>
                <w:b w:val="1"/>
                <w:bCs w:val="1"/>
                <w:color w:val="auto"/>
                <w:w w:val="94"/>
              </w:rPr>
              <w:t>Voting</w:t>
            </w:r>
          </w:p>
        </w:tc>
        <w:tc>
          <w:tcPr>
            <w:tcW w:w="46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w w:val="84"/>
              </w:rPr>
              <w:t>being</w:t>
            </w:r>
          </w:p>
        </w:tc>
        <w:tc>
          <w:tcPr>
            <w:tcW w:w="0" w:type="dxa"/>
            <w:vAlign w:val="bottom"/>
          </w:tcPr>
          <w:p>
            <w:pPr>
              <w:spacing w:after="0"/>
              <w:rPr>
                <w:sz w:val="1"/>
                <w:szCs w:val="1"/>
                <w:color w:val="auto"/>
              </w:rPr>
            </w:pPr>
          </w:p>
        </w:tc>
      </w:tr>
      <w:tr>
        <w:trPr>
          <w:trHeight w:val="151"/>
        </w:trPr>
        <w:tc>
          <w:tcPr>
            <w:tcW w:w="4160" w:type="dxa"/>
            <w:vAlign w:val="bottom"/>
          </w:tcPr>
          <w:p>
            <w:pPr>
              <w:spacing w:after="0" w:line="151" w:lineRule="exact"/>
              <w:rPr>
                <w:sz w:val="20"/>
                <w:szCs w:val="20"/>
                <w:color w:val="auto"/>
              </w:rPr>
            </w:pPr>
            <w:r>
              <w:rPr>
                <w:rFonts w:ascii="Arial" w:cs="Arial" w:eastAsia="Arial" w:hAnsi="Arial"/>
                <w:sz w:val="15"/>
                <w:szCs w:val="15"/>
                <w:b w:val="1"/>
                <w:bCs w:val="1"/>
                <w:color w:val="auto"/>
              </w:rPr>
              <w:t>Name of Beneficial Owner</w:t>
            </w:r>
          </w:p>
        </w:tc>
        <w:tc>
          <w:tcPr>
            <w:tcW w:w="740" w:type="dxa"/>
            <w:vAlign w:val="bottom"/>
            <w:gridSpan w:val="3"/>
          </w:tcPr>
          <w:p>
            <w:pPr>
              <w:spacing w:after="0" w:line="151"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1160" w:type="dxa"/>
            <w:vAlign w:val="bottom"/>
            <w:gridSpan w:val="2"/>
          </w:tcPr>
          <w:p>
            <w:pPr>
              <w:jc w:val="right"/>
              <w:ind w:right="480"/>
              <w:spacing w:after="0" w:line="151" w:lineRule="exact"/>
              <w:rPr>
                <w:sz w:val="20"/>
                <w:szCs w:val="20"/>
                <w:color w:val="auto"/>
              </w:rPr>
            </w:pPr>
            <w:r>
              <w:rPr>
                <w:rFonts w:ascii="Arial" w:cs="Arial" w:eastAsia="Arial" w:hAnsi="Arial"/>
                <w:sz w:val="15"/>
                <w:szCs w:val="15"/>
                <w:b w:val="1"/>
                <w:bCs w:val="1"/>
                <w:color w:val="auto"/>
              </w:rPr>
              <w:t>Shares</w:t>
            </w:r>
          </w:p>
        </w:tc>
        <w:tc>
          <w:tcPr>
            <w:tcW w:w="400" w:type="dxa"/>
            <w:vAlign w:val="bottom"/>
          </w:tcPr>
          <w:p>
            <w:pPr>
              <w:jc w:val="right"/>
              <w:ind w:right="26"/>
              <w:spacing w:after="0" w:line="151" w:lineRule="exact"/>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3"/>
                <w:szCs w:val="13"/>
                <w:color w:val="auto"/>
              </w:rPr>
            </w:pPr>
          </w:p>
        </w:tc>
        <w:tc>
          <w:tcPr>
            <w:tcW w:w="68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88"/>
              </w:rPr>
              <w:t>Power</w:t>
            </w:r>
          </w:p>
        </w:tc>
        <w:tc>
          <w:tcPr>
            <w:tcW w:w="4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2"/>
              </w:rPr>
              <w:t>Sold</w:t>
            </w:r>
          </w:p>
        </w:tc>
        <w:tc>
          <w:tcPr>
            <w:tcW w:w="0" w:type="dxa"/>
            <w:vAlign w:val="bottom"/>
          </w:tcPr>
          <w:p>
            <w:pPr>
              <w:spacing w:after="0"/>
              <w:rPr>
                <w:sz w:val="1"/>
                <w:szCs w:val="1"/>
                <w:color w:val="auto"/>
              </w:rPr>
            </w:pPr>
          </w:p>
        </w:tc>
      </w:tr>
      <w:tr>
        <w:trPr>
          <w:trHeight w:val="208"/>
        </w:trPr>
        <w:tc>
          <w:tcPr>
            <w:tcW w:w="4160" w:type="dxa"/>
            <w:vAlign w:val="bottom"/>
          </w:tcPr>
          <w:p>
            <w:pPr>
              <w:spacing w:after="0" w:line="208" w:lineRule="exact"/>
              <w:rPr>
                <w:sz w:val="20"/>
                <w:szCs w:val="20"/>
                <w:color w:val="auto"/>
              </w:rPr>
            </w:pPr>
            <w:r>
              <w:rPr>
                <w:rFonts w:ascii="Arial" w:cs="Arial" w:eastAsia="Arial" w:hAnsi="Arial"/>
                <w:sz w:val="19"/>
                <w:szCs w:val="19"/>
                <w:b w:val="1"/>
                <w:bCs w:val="1"/>
                <w:i w:val="1"/>
                <w:iCs w:val="1"/>
                <w:color w:val="auto"/>
              </w:rPr>
              <w:t>5% Stockholders</w:t>
            </w: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9"/>
                <w:szCs w:val="19"/>
                <w:color w:val="auto"/>
              </w:rPr>
              <w:t>Entities affiliated with Emergence Capital</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9"/>
                <w:szCs w:val="19"/>
                <w:color w:val="auto"/>
              </w:rPr>
              <w:t>Partners</w:t>
            </w: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30,400,851</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12.5%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Entities affiliated with Sequoia Capital</w:t>
            </w:r>
            <w:r>
              <w:rPr>
                <w:rFonts w:ascii="Arial" w:cs="Arial" w:eastAsia="Arial" w:hAnsi="Arial"/>
                <w:sz w:val="16"/>
                <w:szCs w:val="16"/>
                <w:color w:val="auto"/>
              </w:rPr>
              <w:t>(2)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27,614,576</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11.4%</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Digital Mobile Venture Ltd.</w:t>
            </w:r>
            <w:r>
              <w:rPr>
                <w:rFonts w:ascii="Arial" w:cs="Arial" w:eastAsia="Arial" w:hAnsi="Arial"/>
                <w:sz w:val="16"/>
                <w:szCs w:val="16"/>
                <w:color w:val="auto"/>
              </w:rPr>
              <w:t>(3)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23,773,356</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9.8%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9"/>
                <w:szCs w:val="19"/>
                <w:color w:val="auto"/>
              </w:rPr>
              <w:t>Bucantini Enterprises Limited</w:t>
            </w:r>
            <w:r>
              <w:rPr>
                <w:rFonts w:ascii="Arial" w:cs="Arial" w:eastAsia="Arial" w:hAnsi="Arial"/>
                <w:sz w:val="16"/>
                <w:szCs w:val="16"/>
                <w:color w:val="auto"/>
              </w:rPr>
              <w:t>(4)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14,715,641</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6.1%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9"/>
                <w:szCs w:val="19"/>
                <w:b w:val="1"/>
                <w:bCs w:val="1"/>
                <w:i w:val="1"/>
                <w:iCs w:val="1"/>
                <w:color w:val="auto"/>
              </w:rPr>
              <w:t>Directors and Named Executive Officers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Eric S. Yuan</w:t>
            </w:r>
            <w:r>
              <w:rPr>
                <w:rFonts w:ascii="Arial" w:cs="Arial" w:eastAsia="Arial" w:hAnsi="Arial"/>
                <w:sz w:val="16"/>
                <w:szCs w:val="16"/>
                <w:color w:val="auto"/>
              </w:rPr>
              <w:t>(5)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53,499,219</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22.0%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Jonathan Chadwick</w:t>
            </w:r>
            <w:r>
              <w:rPr>
                <w:rFonts w:ascii="Arial" w:cs="Arial" w:eastAsia="Arial" w:hAnsi="Arial"/>
                <w:sz w:val="16"/>
                <w:szCs w:val="16"/>
                <w:color w:val="auto"/>
              </w:rPr>
              <w:t>(6)</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400,000</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Carl Eschenbach</w:t>
            </w:r>
            <w:r>
              <w:rPr>
                <w:rFonts w:ascii="Arial" w:cs="Arial" w:eastAsia="Arial" w:hAnsi="Arial"/>
                <w:sz w:val="16"/>
                <w:szCs w:val="16"/>
                <w:color w:val="auto"/>
              </w:rPr>
              <w:t>(7)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Peter Gassner</w:t>
            </w:r>
            <w:r>
              <w:rPr>
                <w:rFonts w:ascii="Arial" w:cs="Arial" w:eastAsia="Arial" w:hAnsi="Arial"/>
                <w:sz w:val="16"/>
                <w:szCs w:val="16"/>
                <w:color w:val="auto"/>
              </w:rPr>
              <w:t>(8)</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1,022,312</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Kimberly L. Hammonds</w:t>
            </w:r>
            <w:r>
              <w:rPr>
                <w:rFonts w:ascii="Arial" w:cs="Arial" w:eastAsia="Arial" w:hAnsi="Arial"/>
                <w:sz w:val="16"/>
                <w:szCs w:val="16"/>
                <w:color w:val="auto"/>
              </w:rPr>
              <w:t>(9)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166,797</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Dan Scheinman</w:t>
            </w: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2,846,372</w:t>
            </w:r>
          </w:p>
        </w:tc>
        <w:tc>
          <w:tcPr>
            <w:tcW w:w="26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Santiago Subotovsky</w:t>
            </w:r>
            <w:r>
              <w:rPr>
                <w:rFonts w:ascii="Arial" w:cs="Arial" w:eastAsia="Arial" w:hAnsi="Arial"/>
                <w:sz w:val="16"/>
                <w:szCs w:val="16"/>
                <w:color w:val="auto"/>
              </w:rPr>
              <w:t>(11)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30,400,851</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12.5%</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Bart Swanson</w:t>
            </w:r>
            <w:r>
              <w:rPr>
                <w:rFonts w:ascii="Arial" w:cs="Arial" w:eastAsia="Arial" w:hAnsi="Arial"/>
                <w:sz w:val="16"/>
                <w:szCs w:val="16"/>
                <w:color w:val="auto"/>
              </w:rPr>
              <w:t>(12)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130,556</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9"/>
                <w:szCs w:val="19"/>
                <w:color w:val="auto"/>
              </w:rPr>
              <w:t>Janine Pelosi</w:t>
            </w:r>
            <w:r>
              <w:rPr>
                <w:rFonts w:ascii="Arial" w:cs="Arial" w:eastAsia="Arial" w:hAnsi="Arial"/>
                <w:sz w:val="16"/>
                <w:szCs w:val="16"/>
                <w:color w:val="auto"/>
              </w:rPr>
              <w:t>(13)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457,291</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9"/>
                <w:szCs w:val="19"/>
                <w:color w:val="auto"/>
              </w:rPr>
              <w:t>Aparna Bawa</w:t>
            </w:r>
            <w:r>
              <w:rPr>
                <w:rFonts w:ascii="Arial" w:cs="Arial" w:eastAsia="Arial" w:hAnsi="Arial"/>
                <w:sz w:val="16"/>
                <w:szCs w:val="16"/>
                <w:color w:val="auto"/>
              </w:rPr>
              <w:t>(14)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360,000</w:t>
            </w: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9"/>
                <w:szCs w:val="19"/>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9"/>
                <w:szCs w:val="19"/>
                <w:color w:val="auto"/>
              </w:rPr>
              <w:t>All directors and executive officers as a group</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80"/>
              <w:spacing w:after="0"/>
              <w:rPr>
                <w:sz w:val="20"/>
                <w:szCs w:val="20"/>
                <w:color w:val="auto"/>
              </w:rPr>
            </w:pPr>
            <w:r>
              <w:rPr>
                <w:rFonts w:ascii="Arial" w:cs="Arial" w:eastAsia="Arial" w:hAnsi="Arial"/>
                <w:sz w:val="19"/>
                <w:szCs w:val="19"/>
                <w:color w:val="auto"/>
              </w:rPr>
              <w:t>(10 persons)</w:t>
            </w:r>
            <w:r>
              <w:rPr>
                <w:rFonts w:ascii="Arial" w:cs="Arial" w:eastAsia="Arial" w:hAnsi="Arial"/>
                <w:sz w:val="16"/>
                <w:szCs w:val="16"/>
                <w:color w:val="auto"/>
              </w:rPr>
              <w:t>(15)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9"/>
                <w:szCs w:val="19"/>
                <w:color w:val="auto"/>
                <w:w w:val="92"/>
              </w:rPr>
              <w:t>89,283,398</w:t>
            </w:r>
          </w:p>
        </w:tc>
        <w:tc>
          <w:tcPr>
            <w:tcW w:w="800" w:type="dxa"/>
            <w:vAlign w:val="bottom"/>
            <w:gridSpan w:val="2"/>
          </w:tcPr>
          <w:p>
            <w:pPr>
              <w:jc w:val="right"/>
              <w:ind w:right="240"/>
              <w:spacing w:after="0"/>
              <w:rPr>
                <w:sz w:val="20"/>
                <w:szCs w:val="20"/>
                <w:color w:val="auto"/>
              </w:rPr>
            </w:pPr>
            <w:r>
              <w:rPr>
                <w:rFonts w:ascii="Arial" w:cs="Arial" w:eastAsia="Arial" w:hAnsi="Arial"/>
                <w:sz w:val="19"/>
                <w:szCs w:val="19"/>
                <w:color w:val="auto"/>
              </w:rPr>
              <w:t>36.7%</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r>
              <w:rPr>
                <w:rFonts w:ascii="Arial" w:cs="Arial" w:eastAsia="Arial" w:hAnsi="Arial"/>
                <w:sz w:val="19"/>
                <w:szCs w:val="19"/>
                <w:b w:val="1"/>
                <w:bCs w:val="1"/>
                <w:i w:val="1"/>
                <w:iCs w:val="1"/>
                <w:color w:val="auto"/>
              </w:rPr>
              <w:t>Other Selling Stockholders: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-2905760</wp:posOffset>
            </wp:positionV>
            <wp:extent cx="7389495" cy="1536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89495" cy="15367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-2461895</wp:posOffset>
            </wp:positionV>
            <wp:extent cx="7389495" cy="144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-2172335</wp:posOffset>
            </wp:positionV>
            <wp:extent cx="7389495"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-1882140</wp:posOffset>
            </wp:positionV>
            <wp:extent cx="7389495"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-1592580</wp:posOffset>
            </wp:positionV>
            <wp:extent cx="7389495"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-1303020</wp:posOffset>
            </wp:positionV>
            <wp:extent cx="7389495" cy="14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-1012825</wp:posOffset>
            </wp:positionV>
            <wp:extent cx="7389495" cy="1447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-723265</wp:posOffset>
            </wp:positionV>
            <wp:extent cx="7389495" cy="144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8949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-433070</wp:posOffset>
            </wp:positionV>
            <wp:extent cx="7389495" cy="289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89495" cy="28956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Shares Beneficially Owned After</w:t>
      </w:r>
    </w:p>
    <w:p>
      <w:pPr>
        <w:jc w:val="center"/>
        <w:ind w:right="40"/>
        <w:spacing w:after="0" w:line="228" w:lineRule="auto"/>
        <w:rPr>
          <w:sz w:val="20"/>
          <w:szCs w:val="20"/>
          <w:color w:val="auto"/>
        </w:rPr>
      </w:pPr>
      <w:r>
        <w:rPr>
          <w:rFonts w:ascii="Arial" w:cs="Arial" w:eastAsia="Arial" w:hAnsi="Arial"/>
          <w:sz w:val="15"/>
          <w:szCs w:val="15"/>
          <w:b w:val="1"/>
          <w:bCs w:val="1"/>
          <w:color w:val="auto"/>
        </w:rPr>
        <w:t>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740" w:type="dxa"/>
            <w:vAlign w:val="bottom"/>
            <w:tcBorders>
              <w:top w:val="single" w:sz="8" w:color="auto"/>
            </w:tcBorders>
            <w:gridSpan w:val="2"/>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A</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left="144"/>
              <w:spacing w:after="0" w:line="137" w:lineRule="exact"/>
              <w:rPr>
                <w:sz w:val="20"/>
                <w:szCs w:val="20"/>
                <w:color w:val="auto"/>
              </w:rPr>
            </w:pPr>
            <w:r>
              <w:rPr>
                <w:rFonts w:ascii="Arial" w:cs="Arial" w:eastAsia="Arial" w:hAnsi="Arial"/>
                <w:sz w:val="15"/>
                <w:szCs w:val="15"/>
                <w:b w:val="1"/>
                <w:bCs w:val="1"/>
                <w:color w:val="auto"/>
                <w:w w:val="87"/>
              </w:rPr>
              <w:t>Class B</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5"/>
                <w:szCs w:val="15"/>
                <w:b w:val="1"/>
                <w:bCs w:val="1"/>
                <w:color w:val="auto"/>
              </w:rPr>
              <w:t>% of</w:t>
            </w:r>
          </w:p>
        </w:tc>
      </w:tr>
      <w:tr>
        <w:trPr>
          <w:trHeight w:val="157"/>
        </w:trPr>
        <w:tc>
          <w:tcPr>
            <w:tcW w:w="1220" w:type="dxa"/>
            <w:vAlign w:val="bottom"/>
            <w:gridSpan w:val="4"/>
          </w:tcPr>
          <w:p>
            <w:pPr>
              <w:jc w:val="center"/>
              <w:ind w:right="260"/>
              <w:spacing w:after="0" w:line="157" w:lineRule="exact"/>
              <w:rPr>
                <w:sz w:val="20"/>
                <w:szCs w:val="20"/>
                <w:color w:val="auto"/>
              </w:rPr>
            </w:pPr>
            <w:r>
              <w:rPr>
                <w:rFonts w:ascii="Arial" w:cs="Arial" w:eastAsia="Arial" w:hAnsi="Arial"/>
                <w:sz w:val="15"/>
                <w:szCs w:val="15"/>
                <w:b w:val="1"/>
                <w:bCs w:val="1"/>
                <w:color w:val="auto"/>
                <w:w w:val="92"/>
              </w:rPr>
              <w:t>Common</w:t>
            </w:r>
          </w:p>
        </w:tc>
        <w:tc>
          <w:tcPr>
            <w:tcW w:w="960" w:type="dxa"/>
            <w:vAlign w:val="bottom"/>
            <w:gridSpan w:val="3"/>
          </w:tcPr>
          <w:p>
            <w:pPr>
              <w:jc w:val="center"/>
              <w:spacing w:after="0" w:line="157" w:lineRule="exact"/>
              <w:rPr>
                <w:sz w:val="20"/>
                <w:szCs w:val="20"/>
                <w:color w:val="auto"/>
              </w:rPr>
            </w:pPr>
            <w:r>
              <w:rPr>
                <w:rFonts w:ascii="Arial" w:cs="Arial" w:eastAsia="Arial" w:hAnsi="Arial"/>
                <w:sz w:val="15"/>
                <w:szCs w:val="15"/>
                <w:b w:val="1"/>
                <w:bCs w:val="1"/>
                <w:color w:val="auto"/>
                <w:w w:val="92"/>
              </w:rPr>
              <w:t>Common</w:t>
            </w:r>
          </w:p>
        </w:tc>
        <w:tc>
          <w:tcPr>
            <w:tcW w:w="260" w:type="dxa"/>
            <w:vAlign w:val="bottom"/>
          </w:tcPr>
          <w:p>
            <w:pPr>
              <w:spacing w:after="0"/>
              <w:rPr>
                <w:sz w:val="13"/>
                <w:szCs w:val="13"/>
                <w:color w:val="auto"/>
              </w:rPr>
            </w:pPr>
          </w:p>
        </w:tc>
        <w:tc>
          <w:tcPr>
            <w:tcW w:w="42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4"/>
              </w:rPr>
              <w:t>Total</w:t>
            </w:r>
          </w:p>
        </w:tc>
      </w:tr>
      <w:tr>
        <w:trPr>
          <w:trHeight w:val="171"/>
        </w:trPr>
        <w:tc>
          <w:tcPr>
            <w:tcW w:w="740" w:type="dxa"/>
            <w:vAlign w:val="bottom"/>
            <w:tcBorders>
              <w:bottom w:val="single" w:sz="8" w:color="auto"/>
            </w:tcBorders>
            <w:gridSpan w:val="2"/>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left="144"/>
              <w:spacing w:after="0" w:line="172"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center"/>
              <w:spacing w:after="0" w:line="172" w:lineRule="exact"/>
              <w:rPr>
                <w:sz w:val="20"/>
                <w:szCs w:val="20"/>
                <w:color w:val="auto"/>
              </w:rPr>
            </w:pPr>
            <w:r>
              <w:rPr>
                <w:rFonts w:ascii="Arial" w:cs="Arial" w:eastAsia="Arial" w:hAnsi="Arial"/>
                <w:sz w:val="15"/>
                <w:szCs w:val="15"/>
                <w:b w:val="1"/>
                <w:bCs w:val="1"/>
                <w:color w:val="auto"/>
                <w:w w:val="89"/>
              </w:rPr>
              <w:t>Voting</w:t>
            </w:r>
          </w:p>
        </w:tc>
      </w:tr>
      <w:tr>
        <w:trPr>
          <w:trHeight w:val="151"/>
        </w:trPr>
        <w:tc>
          <w:tcPr>
            <w:tcW w:w="740" w:type="dxa"/>
            <w:vAlign w:val="bottom"/>
            <w:gridSpan w:val="2"/>
          </w:tcPr>
          <w:p>
            <w:pPr>
              <w:ind w:left="20"/>
              <w:spacing w:after="0" w:line="151"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74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Shares</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3"/>
                <w:szCs w:val="13"/>
                <w:color w:val="auto"/>
              </w:rPr>
            </w:pPr>
          </w:p>
        </w:tc>
        <w:tc>
          <w:tcPr>
            <w:tcW w:w="4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3"/>
              </w:rPr>
              <w:t>Power</w:t>
            </w:r>
          </w:p>
        </w:tc>
      </w:tr>
      <w:tr>
        <w:trPr>
          <w:trHeight w:val="20"/>
        </w:trPr>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bl>
    <w:p>
      <w:pPr>
        <w:spacing w:after="0" w:line="4748" w:lineRule="exact"/>
        <w:rPr>
          <w:sz w:val="20"/>
          <w:szCs w:val="20"/>
          <w:color w:val="auto"/>
        </w:rPr>
      </w:pPr>
    </w:p>
    <w:p>
      <w:pPr>
        <w:sectPr>
          <w:pgSz w:w="12240" w:h="15840" w:orient="portrait"/>
          <w:cols w:equalWidth="0" w:num="2">
            <w:col w:w="8660" w:space="240"/>
            <w:col w:w="2900"/>
          </w:cols>
          <w:pgMar w:left="120" w:top="336" w:right="320" w:bottom="1440" w:gutter="0" w:footer="0" w:header="0"/>
          <w:type w:val="continuous"/>
        </w:sectPr>
      </w:pPr>
    </w:p>
    <w:p>
      <w:pPr>
        <w:ind w:left="640" w:hanging="461"/>
        <w:spacing w:after="0"/>
        <w:tabs>
          <w:tab w:leader="none" w:pos="6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Represents beneficial ownership of less than 1%.</w:t>
      </w:r>
    </w:p>
    <w:p>
      <w:pPr>
        <w:spacing w:after="0" w:line="23" w:lineRule="exact"/>
        <w:rPr>
          <w:sz w:val="20"/>
          <w:szCs w:val="20"/>
          <w:color w:val="auto"/>
        </w:rPr>
      </w:pPr>
    </w:p>
    <w:p>
      <w:pPr>
        <w:ind w:left="640" w:hanging="461"/>
        <w:spacing w:after="0" w:line="280"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Consists of (i) 26,908,848 shares held of record by Emergence Capital Partners III, L.P. (Emergence), (ii) 3,277,836 shares held of record by EZP Opportunity, L.P. (EZP) and (iii) 214,167 Shares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ind w:left="640" w:right="100" w:hanging="461"/>
        <w:spacing w:after="0" w:line="268" w:lineRule="auto"/>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6,672,044 shares of record held by Sequoia Capital Global Growth Fund II, L.P. (SC GGFII); (ii) 82,704 shares of record held by Sequoia Capital Global Growth II Principals Fund, L.P. (SC GGFII PF); (iii) 194,538 shares of record held by Sequoia Capital U.S. Growth Fund V, LP (SC US GFV); (iv) 19,402,643 shares held of record by Sequoia Capital U.S. Growth Fund VII, LP (SC US GFVII); and (v) 1,262,647 shares held of record by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109</w:t>
      </w:r>
    </w:p>
    <w:p>
      <w:pPr>
        <w:sectPr>
          <w:pgSz w:w="12240" w:h="15840" w:orient="portrait"/>
          <w:cols w:equalWidth="0" w:num="1">
            <w:col w:w="11800"/>
          </w:cols>
          <w:pgMar w:left="120" w:top="336" w:right="320" w:bottom="1440" w:gutter="0" w:footer="0" w:header="0"/>
          <w:type w:val="continuous"/>
        </w:sectPr>
      </w:pPr>
    </w:p>
    <w:bookmarkStart w:id="114" w:name="page115"/>
    <w:bookmarkEnd w:id="11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right="20"/>
        <w:spacing w:after="0" w:line="267" w:lineRule="auto"/>
        <w:rPr>
          <w:sz w:val="20"/>
          <w:szCs w:val="20"/>
          <w:color w:val="auto"/>
        </w:rPr>
      </w:pPr>
      <w:r>
        <w:rPr>
          <w:rFonts w:ascii="Arial" w:cs="Arial" w:eastAsia="Arial" w:hAnsi="Arial"/>
          <w:sz w:val="18"/>
          <w:szCs w:val="18"/>
          <w:color w:val="auto"/>
        </w:rPr>
        <w:t>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3" w:lineRule="exact"/>
        <w:rPr>
          <w:sz w:val="20"/>
          <w:szCs w:val="20"/>
          <w:color w:val="auto"/>
        </w:rPr>
      </w:pPr>
    </w:p>
    <w:p>
      <w:pPr>
        <w:jc w:val="both"/>
        <w:ind w:left="64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23,773,356 shares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9"/>
          <w:szCs w:val="19"/>
          <w:color w:val="auto"/>
        </w:rPr>
      </w:pPr>
    </w:p>
    <w:p>
      <w:pPr>
        <w:jc w:val="both"/>
        <w:ind w:left="640" w:right="12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14,715,641 shares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9"/>
          <w:szCs w:val="19"/>
          <w:color w:val="auto"/>
        </w:rPr>
      </w:pPr>
    </w:p>
    <w:p>
      <w:pPr>
        <w:ind w:left="640" w:right="8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47,156,864 shares held of record by Mr. Yuan, (ii) 5,940,000 shares held of record by 2018 Yuan’s Children’s Irrevocable Trust, for which Mr. Yuan shares voting and investment control with respect to such shares, (iii) 4,000 shares held pursuant to the proxies described below and (iv) 398,355 shares subject to options exercisable within 60 days of December 31, 2018, of which 52,084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w:t>
      </w:r>
    </w:p>
    <w:p>
      <w:pPr>
        <w:spacing w:after="0" w:line="4" w:lineRule="exact"/>
        <w:rPr>
          <w:rFonts w:ascii="Arial" w:cs="Arial" w:eastAsia="Arial" w:hAnsi="Arial"/>
          <w:sz w:val="19"/>
          <w:szCs w:val="19"/>
          <w:color w:val="auto"/>
        </w:rPr>
      </w:pPr>
    </w:p>
    <w:p>
      <w:pPr>
        <w:ind w:left="640" w:right="24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400,000 shares held of record by Mr. Chadwick, of which 275,000 are subject to repurchase by us at the original issue price as of December 31, 2018.</w:t>
      </w:r>
    </w:p>
    <w:p>
      <w:pPr>
        <w:spacing w:after="0" w:line="1" w:lineRule="exact"/>
        <w:rPr>
          <w:rFonts w:ascii="Arial" w:cs="Arial" w:eastAsia="Arial" w:hAnsi="Arial"/>
          <w:sz w:val="19"/>
          <w:szCs w:val="19"/>
          <w:color w:val="auto"/>
        </w:rPr>
      </w:pPr>
    </w:p>
    <w:p>
      <w:pPr>
        <w:ind w:left="640" w:right="800" w:hanging="461"/>
        <w:spacing w:after="0" w:line="264"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Eschenbach, a member of our board of directors, is a general partner at Sequoia Capital Operations, LLC. Mr. Eschenbach disclaims beneficial ownership of all shares held by the Sequoia Capital entities referred to in footnote 2 above.</w:t>
      </w:r>
    </w:p>
    <w:p>
      <w:pPr>
        <w:ind w:left="640" w:hanging="461"/>
        <w:spacing w:after="0"/>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1,022,312 shares of restricted stock held of record by Mr. Gassner, which vest on October 28, 2019.</w:t>
      </w:r>
    </w:p>
    <w:p>
      <w:pPr>
        <w:spacing w:after="0" w:line="9" w:lineRule="exact"/>
        <w:rPr>
          <w:rFonts w:ascii="Arial" w:cs="Arial" w:eastAsia="Arial" w:hAnsi="Arial"/>
          <w:sz w:val="19"/>
          <w:szCs w:val="19"/>
          <w:color w:val="auto"/>
        </w:rPr>
      </w:pPr>
    </w:p>
    <w:p>
      <w:pPr>
        <w:ind w:left="640" w:right="94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16,797 shares held of record by Ms. Hammonds and (ii) 150,000 shares subject to options exercisable within 60 days of December 31, 2018, of which 15,625 are vested as of such date.</w:t>
      </w:r>
    </w:p>
    <w:p>
      <w:pPr>
        <w:spacing w:after="0" w:line="1" w:lineRule="exact"/>
        <w:rPr>
          <w:rFonts w:ascii="Arial" w:cs="Arial" w:eastAsia="Arial" w:hAnsi="Arial"/>
          <w:sz w:val="19"/>
          <w:szCs w:val="19"/>
          <w:color w:val="auto"/>
        </w:rPr>
      </w:pPr>
    </w:p>
    <w:p>
      <w:pPr>
        <w:ind w:left="640" w:hanging="461"/>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1,056,960 shares held of record by Dan &amp; Zoe Scheinman Trust Dated 2/23/01, for which Mr. Scheinman serves as trustee,</w:t>
      </w:r>
    </w:p>
    <w:p>
      <w:pPr>
        <w:spacing w:after="0" w:line="21" w:lineRule="exact"/>
        <w:rPr>
          <w:rFonts w:ascii="Arial" w:cs="Arial" w:eastAsia="Arial" w:hAnsi="Arial"/>
          <w:sz w:val="18"/>
          <w:szCs w:val="18"/>
          <w:color w:val="auto"/>
        </w:rPr>
      </w:pPr>
    </w:p>
    <w:p>
      <w:pPr>
        <w:ind w:left="640" w:right="100"/>
        <w:spacing w:after="0" w:line="250" w:lineRule="auto"/>
        <w:rPr>
          <w:rFonts w:ascii="Arial" w:cs="Arial" w:eastAsia="Arial" w:hAnsi="Arial"/>
          <w:sz w:val="18"/>
          <w:szCs w:val="18"/>
          <w:color w:val="auto"/>
        </w:rPr>
      </w:pPr>
      <w:r>
        <w:rPr>
          <w:rFonts w:ascii="Arial" w:cs="Arial" w:eastAsia="Arial" w:hAnsi="Arial"/>
          <w:sz w:val="19"/>
          <w:szCs w:val="19"/>
          <w:color w:val="auto"/>
        </w:rPr>
        <w:t>(ii) 1,689,412 shares held of record by The 2017 Scheinman Irrevocable Trust, for which Mr. Scheinman serves as trustee and (iii) 100,000 shares subject to options exercisable within 60 days of December 31, 2018, of which 6,250 are vested as of such date.</w:t>
      </w:r>
    </w:p>
    <w:p>
      <w:pPr>
        <w:spacing w:after="0" w:line="1" w:lineRule="exact"/>
        <w:rPr>
          <w:rFonts w:ascii="Arial" w:cs="Arial" w:eastAsia="Arial" w:hAnsi="Arial"/>
          <w:sz w:val="18"/>
          <w:szCs w:val="18"/>
          <w:color w:val="auto"/>
        </w:rPr>
      </w:pPr>
    </w:p>
    <w:p>
      <w:pPr>
        <w:ind w:left="640" w:right="10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the shares listed in footnote 1 above. Mr. Subotovsky is a member of EEP III and shares voting and investment control with respect to the shares held by the Emergence Entities.</w:t>
      </w:r>
    </w:p>
    <w:p>
      <w:pPr>
        <w:spacing w:after="0" w:line="1" w:lineRule="exact"/>
        <w:rPr>
          <w:rFonts w:ascii="Arial" w:cs="Arial" w:eastAsia="Arial" w:hAnsi="Arial"/>
          <w:sz w:val="19"/>
          <w:szCs w:val="19"/>
          <w:color w:val="auto"/>
        </w:rPr>
      </w:pPr>
    </w:p>
    <w:p>
      <w:pPr>
        <w:ind w:left="640" w:right="6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44,648 shares held of record by Beyond Merits Limited, for which Mr. Swanson is a director and shareholder and shares voting and investment control with respect to such shares, and (ii) 85,908 shares held of record by Mr. Swanson.</w:t>
      </w:r>
    </w:p>
    <w:p>
      <w:pPr>
        <w:spacing w:after="0" w:line="1" w:lineRule="exact"/>
        <w:rPr>
          <w:rFonts w:ascii="Arial" w:cs="Arial" w:eastAsia="Arial" w:hAnsi="Arial"/>
          <w:sz w:val="19"/>
          <w:szCs w:val="19"/>
          <w:color w:val="auto"/>
        </w:rPr>
      </w:pPr>
    </w:p>
    <w:p>
      <w:pPr>
        <w:ind w:left="640" w:right="16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333,333 shares held of record by Ms. Pelosi and (ii) 123,958 shares subject to options exercisable within 60 days of December 31, 2018, all of which are vested as of such date.</w:t>
      </w:r>
    </w:p>
    <w:p>
      <w:pPr>
        <w:spacing w:after="0" w:line="1" w:lineRule="exact"/>
        <w:rPr>
          <w:rFonts w:ascii="Arial" w:cs="Arial" w:eastAsia="Arial" w:hAnsi="Arial"/>
          <w:sz w:val="19"/>
          <w:szCs w:val="19"/>
          <w:color w:val="auto"/>
        </w:rPr>
      </w:pPr>
    </w:p>
    <w:p>
      <w:pPr>
        <w:ind w:left="640" w:right="1000" w:hanging="461"/>
        <w:spacing w:after="0" w:line="250"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360,000 shares held of record by Ms. Bawa, all of which are subject to repurchase by us at the original issue price as of December 31, 2018.</w:t>
      </w:r>
    </w:p>
    <w:p>
      <w:pPr>
        <w:spacing w:after="0" w:line="1" w:lineRule="exact"/>
        <w:rPr>
          <w:rFonts w:ascii="Arial" w:cs="Arial" w:eastAsia="Arial" w:hAnsi="Arial"/>
          <w:sz w:val="19"/>
          <w:szCs w:val="19"/>
          <w:color w:val="auto"/>
        </w:rPr>
      </w:pPr>
    </w:p>
    <w:p>
      <w:pPr>
        <w:ind w:left="640" w:right="180" w:hanging="461"/>
        <w:spacing w:after="0" w:line="255"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Consists of (i) 88,511,085 shares beneficially owned by our current executive officers and directors, of which 635,000 may be repurchased by us at the original purchase price as of December 31, 2018, and (ii) 772,313 shares subject to options exercisable within 60 days of December 31, 2018, of which 197,917 shares are vested as of such date.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110</w:t>
      </w:r>
    </w:p>
    <w:p>
      <w:pPr>
        <w:sectPr>
          <w:pgSz w:w="12240" w:h="15840" w:orient="portrait"/>
          <w:cols w:equalWidth="0" w:num="1">
            <w:col w:w="11820"/>
          </w:cols>
          <w:pgMar w:left="120" w:top="336" w:right="300" w:bottom="1440" w:gutter="0" w:footer="0" w:header="0"/>
        </w:sectPr>
      </w:pPr>
    </w:p>
    <w:bookmarkStart w:id="115" w:name="page116"/>
    <w:bookmarkEnd w:id="11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DESCRIPTION OF CAPITAL STOCK</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General</w:t>
      </w:r>
    </w:p>
    <w:p>
      <w:pPr>
        <w:spacing w:after="0" w:line="130"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204" w:lineRule="exact"/>
        <w:rPr>
          <w:sz w:val="20"/>
          <w:szCs w:val="20"/>
          <w:color w:val="auto"/>
        </w:rPr>
      </w:pPr>
    </w:p>
    <w:p>
      <w:pPr>
        <w:ind w:left="180" w:right="100" w:firstLine="465"/>
        <w:spacing w:after="0" w:line="284" w:lineRule="auto"/>
        <w:rPr>
          <w:sz w:val="20"/>
          <w:szCs w:val="20"/>
          <w:color w:val="auto"/>
        </w:rPr>
      </w:pPr>
      <w:r>
        <w:rPr>
          <w:rFonts w:ascii="Arial" w:cs="Arial" w:eastAsia="Arial" w:hAnsi="Arial"/>
          <w:sz w:val="18"/>
          <w:szCs w:val="18"/>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78"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Upon the completion of this offering, our authorized capital stock will consist of the following shares, all with a par value of $0.001 per share, of which:</w:t>
      </w:r>
    </w:p>
    <w:p>
      <w:pPr>
        <w:spacing w:after="0" w:line="84" w:lineRule="exact"/>
        <w:rPr>
          <w:sz w:val="20"/>
          <w:szCs w:val="20"/>
          <w:color w:val="auto"/>
        </w:rPr>
      </w:pPr>
    </w:p>
    <w:p>
      <w:pPr>
        <w:ind w:left="1900" w:hanging="1264"/>
        <w:spacing w:after="0"/>
        <w:tabs>
          <w:tab w:leader="none" w:pos="19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shares are designated as Class A common stock;</w:t>
      </w:r>
    </w:p>
    <w:p>
      <w:pPr>
        <w:spacing w:after="0" w:line="138" w:lineRule="exact"/>
        <w:rPr>
          <w:rFonts w:ascii="Arial" w:cs="Arial" w:eastAsia="Arial" w:hAnsi="Arial"/>
          <w:sz w:val="19"/>
          <w:szCs w:val="19"/>
          <w:color w:val="auto"/>
        </w:rPr>
      </w:pPr>
    </w:p>
    <w:p>
      <w:pPr>
        <w:ind w:left="1900" w:hanging="1264"/>
        <w:spacing w:after="0"/>
        <w:tabs>
          <w:tab w:leader="none" w:pos="19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shares are designated as Class B common stock; and</w:t>
      </w:r>
    </w:p>
    <w:p>
      <w:pPr>
        <w:spacing w:after="0" w:line="138" w:lineRule="exact"/>
        <w:rPr>
          <w:rFonts w:ascii="Arial" w:cs="Arial" w:eastAsia="Arial" w:hAnsi="Arial"/>
          <w:sz w:val="19"/>
          <w:szCs w:val="19"/>
          <w:color w:val="auto"/>
        </w:rPr>
      </w:pPr>
    </w:p>
    <w:p>
      <w:pPr>
        <w:ind w:left="1900" w:hanging="1264"/>
        <w:spacing w:after="0"/>
        <w:tabs>
          <w:tab w:leader="none" w:pos="19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shares are designated as preferred stock.</w:t>
      </w:r>
    </w:p>
    <w:p>
      <w:pPr>
        <w:spacing w:after="0" w:line="238"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As of December 31, 2018, we had 89,952,951 shares of common stock and 152,665,804 shares of preferred stock outstanding. After giving effect to the conversion of all outstanding shares of preferred stock into shares of Class B common stock immediately upon the completion of this offering, there would have been 242,618,755 shares of Class B common stock outstanding on December 31, 2018, held by 360 stockholders of record. As of December 31, 2018, after giving effect to the reclassification of our common stock to Class B common stock, we had outstanding options to acquire 34,763,488 shares of Class B common stock.</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Class A and Class B Common Stock</w:t>
      </w:r>
    </w:p>
    <w:p>
      <w:pPr>
        <w:spacing w:after="0" w:line="13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Voting Rights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175" w:lineRule="exact"/>
        <w:rPr>
          <w:sz w:val="20"/>
          <w:szCs w:val="20"/>
          <w:color w:val="auto"/>
        </w:rPr>
      </w:pPr>
    </w:p>
    <w:p>
      <w:pPr>
        <w:ind w:left="180" w:right="140" w:firstLine="465"/>
        <w:spacing w:after="0" w:line="275" w:lineRule="auto"/>
        <w:rPr>
          <w:sz w:val="20"/>
          <w:szCs w:val="20"/>
          <w:color w:val="auto"/>
        </w:rPr>
      </w:pPr>
      <w:r>
        <w:rPr>
          <w:rFonts w:ascii="Arial" w:cs="Arial" w:eastAsia="Arial" w:hAnsi="Arial"/>
          <w:sz w:val="19"/>
          <w:szCs w:val="19"/>
          <w:color w:val="auto"/>
        </w:rPr>
        <w:t>In addition, Delaware law would permit holders of Class A common stock to vote separately, as a single class, if an amendment of our certificate of incorporation would adversely affect them by altering the powers,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111</w:t>
      </w:r>
    </w:p>
    <w:p>
      <w:pPr>
        <w:sectPr>
          <w:pgSz w:w="12240" w:h="15840" w:orient="portrait"/>
          <w:cols w:equalWidth="0" w:num="1">
            <w:col w:w="11800"/>
          </w:cols>
          <w:pgMar w:left="120" w:top="336" w:right="320" w:bottom="1440" w:gutter="0" w:footer="0" w:header="0"/>
        </w:sectPr>
      </w:pPr>
    </w:p>
    <w:bookmarkStart w:id="116" w:name="page117"/>
    <w:bookmarkEnd w:id="11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0"/>
        <w:spacing w:after="0" w:line="294" w:lineRule="auto"/>
        <w:rPr>
          <w:sz w:val="20"/>
          <w:szCs w:val="20"/>
          <w:color w:val="auto"/>
        </w:rPr>
      </w:pPr>
      <w:r>
        <w:rPr>
          <w:rFonts w:ascii="Arial" w:cs="Arial" w:eastAsia="Arial" w:hAnsi="Arial"/>
          <w:sz w:val="17"/>
          <w:szCs w:val="17"/>
          <w:color w:val="auto"/>
        </w:rPr>
        <w:t>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72"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89" w:lineRule="exact"/>
        <w:rPr>
          <w:sz w:val="20"/>
          <w:szCs w:val="20"/>
          <w:color w:val="auto"/>
        </w:rPr>
      </w:pPr>
    </w:p>
    <w:p>
      <w:pPr>
        <w:ind w:left="180" w:right="280" w:firstLine="465"/>
        <w:spacing w:after="0" w:line="275" w:lineRule="auto"/>
        <w:rPr>
          <w:sz w:val="20"/>
          <w:szCs w:val="20"/>
          <w:color w:val="auto"/>
        </w:rPr>
      </w:pPr>
      <w:r>
        <w:rPr>
          <w:rFonts w:ascii="Arial" w:cs="Arial" w:eastAsia="Arial" w:hAnsi="Arial"/>
          <w:sz w:val="19"/>
          <w:szCs w:val="19"/>
          <w:color w:val="auto"/>
        </w:rPr>
        <w:t>Our amended and restated certificate of incorporation that will be in effect upon the completion of this offering will not provide for cumulative voting for the election of directors.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Dividend Rights</w:t>
      </w:r>
    </w:p>
    <w:p>
      <w:pPr>
        <w:spacing w:after="0" w:line="124"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Right to Receive Liquidation Distributions</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112</w:t>
      </w:r>
    </w:p>
    <w:p>
      <w:pPr>
        <w:sectPr>
          <w:pgSz w:w="12240" w:h="15840" w:orient="portrait"/>
          <w:cols w:equalWidth="0" w:num="1">
            <w:col w:w="11800"/>
          </w:cols>
          <w:pgMar w:left="120" w:top="336" w:right="320" w:bottom="1440" w:gutter="0" w:footer="0" w:header="0"/>
        </w:sectPr>
      </w:pPr>
    </w:p>
    <w:bookmarkStart w:id="117" w:name="page118"/>
    <w:bookmarkEnd w:id="11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Subdivisions and Combinations</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If we subdivide or combine in any manner outstanding shares of Class A common stock or Class B common stock, the outstanding shares of the other class will be subdivided or combined in the same manner.</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Conversion</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15 years after the consummation of our initial public offering, (ii) the date that Eric S. Yuan ceases providing services to us or his employment is terminated by us for cause, (iii) six months after the death or incapacity of Mr. Yuan and (iv) the date specified by the holders of a majority of the then outstanding shares of Class B common stock, voting separately as a class.</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Other Matters</w:t>
      </w:r>
    </w:p>
    <w:p>
      <w:pPr>
        <w:spacing w:after="0" w:line="12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204" w:lineRule="exact"/>
        <w:rPr>
          <w:sz w:val="20"/>
          <w:szCs w:val="20"/>
          <w:color w:val="auto"/>
        </w:rPr>
      </w:pPr>
    </w:p>
    <w:p>
      <w:pPr>
        <w:ind w:left="180" w:right="200" w:firstLine="465"/>
        <w:spacing w:after="0" w:line="263" w:lineRule="auto"/>
        <w:rPr>
          <w:sz w:val="20"/>
          <w:szCs w:val="20"/>
          <w:color w:val="auto"/>
        </w:rPr>
      </w:pPr>
      <w:r>
        <w:rPr>
          <w:rFonts w:ascii="Arial" w:cs="Arial" w:eastAsia="Arial" w:hAnsi="Arial"/>
          <w:sz w:val="19"/>
          <w:szCs w:val="19"/>
          <w:color w:val="auto"/>
        </w:rPr>
        <w:t>If holders of Class A common stock are treated the same as holders of Class B common stock with respect to the dividends and distributions, liquidation rights, change of control transactions, and subdivisions and combinations, such holders of Class A common stock will not have the right to vote on such matters separately as a single class.</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Preferred Stock</w:t>
      </w:r>
    </w:p>
    <w:p>
      <w:pPr>
        <w:spacing w:after="0" w:line="130"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As of December 31, 2018, there were 152,665,804 shares of preferred stock outstanding. Immediately upon the completion of this offering, each outstanding share of preferred stock will convert into one share of Class B common stock.</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the completion of this offering, our board of directors may, without further action by our stockholders, fix the rights, preferences, privileges</w:t>
      </w:r>
    </w:p>
    <w:p>
      <w:pPr>
        <w:spacing w:after="0" w:line="46" w:lineRule="exact"/>
        <w:rPr>
          <w:sz w:val="20"/>
          <w:szCs w:val="20"/>
          <w:color w:val="auto"/>
        </w:rPr>
      </w:pPr>
    </w:p>
    <w:p>
      <w:pPr>
        <w:ind w:left="180" w:right="40"/>
        <w:spacing w:after="0" w:line="268" w:lineRule="auto"/>
        <w:rPr>
          <w:sz w:val="20"/>
          <w:szCs w:val="20"/>
          <w:color w:val="auto"/>
        </w:rPr>
      </w:pPr>
      <w:r>
        <w:rPr>
          <w:rFonts w:ascii="Arial" w:cs="Arial" w:eastAsia="Arial" w:hAnsi="Arial"/>
          <w:sz w:val="18"/>
          <w:szCs w:val="18"/>
          <w:color w:val="auto"/>
        </w:rPr>
        <w:t>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Options</w:t>
      </w:r>
    </w:p>
    <w:p>
      <w:pPr>
        <w:spacing w:after="0" w:line="130"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As of December 31, 2018, we had outstanding options under our equity compensation plans to purchase an aggregate of 34,763,488 shares of our Class B common stock, with a weighted-average exercise price of $1.16 per share.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113</w:t>
      </w:r>
    </w:p>
    <w:p>
      <w:pPr>
        <w:sectPr>
          <w:pgSz w:w="12240" w:h="15840" w:orient="portrait"/>
          <w:cols w:equalWidth="0" w:num="1">
            <w:col w:w="11800"/>
          </w:cols>
          <w:pgMar w:left="120" w:top="336" w:right="320" w:bottom="1440" w:gutter="0" w:footer="0" w:header="0"/>
        </w:sectPr>
      </w:pPr>
    </w:p>
    <w:bookmarkStart w:id="118" w:name="page119"/>
    <w:bookmarkEnd w:id="11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ind w:left="180" w:right="40" w:firstLine="465"/>
        <w:spacing w:after="0" w:line="274"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88" w:lineRule="exact"/>
        <w:rPr>
          <w:sz w:val="20"/>
          <w:szCs w:val="20"/>
          <w:color w:val="auto"/>
        </w:rPr>
      </w:pPr>
    </w:p>
    <w:p>
      <w:pPr>
        <w:ind w:left="180" w:right="20" w:firstLine="465"/>
        <w:spacing w:after="0" w:line="277"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Demand Registration Rights</w:t>
      </w:r>
    </w:p>
    <w:p>
      <w:pPr>
        <w:spacing w:after="0" w:line="124" w:lineRule="exact"/>
        <w:rPr>
          <w:sz w:val="20"/>
          <w:szCs w:val="20"/>
          <w:color w:val="auto"/>
        </w:rPr>
      </w:pPr>
    </w:p>
    <w:p>
      <w:pPr>
        <w:ind w:left="180" w:right="20" w:firstLine="465"/>
        <w:spacing w:after="0" w:line="259" w:lineRule="auto"/>
        <w:rPr>
          <w:sz w:val="20"/>
          <w:szCs w:val="20"/>
          <w:color w:val="auto"/>
        </w:rPr>
      </w:pPr>
      <w:r>
        <w:rPr>
          <w:rFonts w:ascii="Arial" w:cs="Arial" w:eastAsia="Arial" w:hAnsi="Arial"/>
          <w:sz w:val="19"/>
          <w:szCs w:val="19"/>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Piggyback Registration Rights</w:t>
      </w:r>
    </w:p>
    <w:p>
      <w:pPr>
        <w:spacing w:after="0" w:line="124" w:lineRule="exact"/>
        <w:rPr>
          <w:sz w:val="20"/>
          <w:szCs w:val="20"/>
          <w:color w:val="auto"/>
        </w:rPr>
      </w:pPr>
    </w:p>
    <w:p>
      <w:pPr>
        <w:ind w:left="180" w:right="20" w:firstLine="465"/>
        <w:spacing w:after="0" w:line="282" w:lineRule="auto"/>
        <w:rPr>
          <w:sz w:val="20"/>
          <w:szCs w:val="20"/>
          <w:color w:val="auto"/>
        </w:rPr>
      </w:pPr>
      <w:r>
        <w:rPr>
          <w:rFonts w:ascii="Arial" w:cs="Arial" w:eastAsia="Arial" w:hAnsi="Arial"/>
          <w:sz w:val="17"/>
          <w:szCs w:val="17"/>
          <w:color w:val="auto"/>
        </w:rPr>
        <w:t>In connection with this offering, the holders of an aggregate of 209,268,532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w:t>
      </w:r>
    </w:p>
    <w:p>
      <w:pPr>
        <w:spacing w:after="0" w:line="4" w:lineRule="exact"/>
        <w:rPr>
          <w:sz w:val="20"/>
          <w:szCs w:val="20"/>
          <w:color w:val="auto"/>
        </w:rPr>
      </w:pPr>
    </w:p>
    <w:p>
      <w:pPr>
        <w:ind w:left="180" w:right="100" w:hanging="1"/>
        <w:spacing w:after="0" w:line="255" w:lineRule="auto"/>
        <w:tabs>
          <w:tab w:leader="none" w:pos="513" w:val="left"/>
        </w:tabs>
        <w:numPr>
          <w:ilvl w:val="0"/>
          <w:numId w:val="79"/>
        </w:numPr>
        <w:rPr>
          <w:rFonts w:ascii="Arial" w:cs="Arial" w:eastAsia="Arial" w:hAnsi="Arial"/>
          <w:sz w:val="19"/>
          <w:szCs w:val="19"/>
          <w:color w:val="auto"/>
        </w:rPr>
      </w:pPr>
      <w:r>
        <w:rPr>
          <w:rFonts w:ascii="Arial" w:cs="Arial" w:eastAsia="Arial" w:hAnsi="Arial"/>
          <w:sz w:val="19"/>
          <w:szCs w:val="19"/>
          <w:color w:val="auto"/>
        </w:rPr>
        <w:t>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317"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Form S-3 Registration Rights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30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Anti-Takeover Effects of Delaware Law and Our Certificate of Incorporation and Bylaws</w:t>
      </w:r>
    </w:p>
    <w:p>
      <w:pPr>
        <w:spacing w:after="0" w:line="130"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Some provisions of Delaware law, our amended and restated certificate of incorporation and our amended and restated bylaws contain or will contain provisions that could make the following transactions more difficult: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114</w:t>
      </w:r>
    </w:p>
    <w:p>
      <w:pPr>
        <w:sectPr>
          <w:pgSz w:w="12240" w:h="15840" w:orient="portrait"/>
          <w:cols w:equalWidth="0" w:num="1">
            <w:col w:w="11800"/>
          </w:cols>
          <w:pgMar w:left="120" w:top="336" w:right="320" w:bottom="1440" w:gutter="0" w:footer="0" w:header="0"/>
        </w:sectPr>
      </w:pPr>
    </w:p>
    <w:bookmarkStart w:id="119" w:name="page120"/>
    <w:bookmarkEnd w:id="11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jc w:val="both"/>
        <w:ind w:left="180" w:right="80"/>
        <w:spacing w:after="0" w:line="259" w:lineRule="auto"/>
        <w:rPr>
          <w:sz w:val="20"/>
          <w:szCs w:val="20"/>
          <w:color w:val="auto"/>
        </w:rPr>
      </w:pPr>
      <w:r>
        <w:rPr>
          <w:rFonts w:ascii="Arial" w:cs="Arial" w:eastAsia="Arial" w:hAnsi="Arial"/>
          <w:sz w:val="19"/>
          <w:szCs w:val="19"/>
          <w:color w:val="auto"/>
        </w:rPr>
        <w:t>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98" w:lineRule="exact"/>
        <w:rPr>
          <w:sz w:val="20"/>
          <w:szCs w:val="20"/>
          <w:color w:val="auto"/>
        </w:rPr>
      </w:pPr>
    </w:p>
    <w:p>
      <w:pPr>
        <w:ind w:left="180" w:firstLine="465"/>
        <w:spacing w:after="0" w:line="298"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Dual Class Stock</w:t>
      </w:r>
    </w:p>
    <w:p>
      <w:pPr>
        <w:spacing w:after="0" w:line="124" w:lineRule="exact"/>
        <w:rPr>
          <w:sz w:val="20"/>
          <w:szCs w:val="20"/>
          <w:color w:val="auto"/>
        </w:rPr>
      </w:pPr>
    </w:p>
    <w:p>
      <w:pPr>
        <w:jc w:val="both"/>
        <w:ind w:left="180" w:right="220" w:firstLine="465"/>
        <w:spacing w:after="0" w:line="259" w:lineRule="auto"/>
        <w:rPr>
          <w:sz w:val="20"/>
          <w:szCs w:val="20"/>
          <w:color w:val="auto"/>
        </w:rPr>
      </w:pPr>
      <w:r>
        <w:rPr>
          <w:rFonts w:ascii="Arial" w:cs="Arial" w:eastAsia="Arial" w:hAnsi="Arial"/>
          <w:sz w:val="19"/>
          <w:szCs w:val="19"/>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Stockholder Meetings</w:t>
      </w:r>
    </w:p>
    <w:p>
      <w:pPr>
        <w:spacing w:after="0" w:line="124" w:lineRule="exact"/>
        <w:rPr>
          <w:sz w:val="20"/>
          <w:szCs w:val="20"/>
          <w:color w:val="auto"/>
        </w:rPr>
      </w:pPr>
    </w:p>
    <w:p>
      <w:pPr>
        <w:ind w:left="180" w:right="480" w:firstLine="465"/>
        <w:spacing w:after="0" w:line="275" w:lineRule="auto"/>
        <w:rPr>
          <w:sz w:val="20"/>
          <w:szCs w:val="20"/>
          <w:color w:val="auto"/>
        </w:rPr>
      </w:pPr>
      <w:r>
        <w:rPr>
          <w:rFonts w:ascii="Arial" w:cs="Arial" w:eastAsia="Arial" w:hAnsi="Arial"/>
          <w:sz w:val="19"/>
          <w:szCs w:val="19"/>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Requirements for Advance Notification of Stockholder Nominations and Proposals</w:t>
      </w:r>
    </w:p>
    <w:p>
      <w:pPr>
        <w:spacing w:after="0" w:line="124" w:lineRule="exact"/>
        <w:rPr>
          <w:sz w:val="20"/>
          <w:szCs w:val="20"/>
          <w:color w:val="auto"/>
        </w:rPr>
      </w:pPr>
    </w:p>
    <w:p>
      <w:pPr>
        <w:ind w:left="180" w:right="560" w:firstLine="465"/>
        <w:spacing w:after="0" w:line="263" w:lineRule="auto"/>
        <w:rPr>
          <w:sz w:val="20"/>
          <w:szCs w:val="20"/>
          <w:color w:val="auto"/>
        </w:rPr>
      </w:pPr>
      <w:r>
        <w:rPr>
          <w:rFonts w:ascii="Arial" w:cs="Arial" w:eastAsia="Arial" w:hAnsi="Arial"/>
          <w:sz w:val="19"/>
          <w:szCs w:val="19"/>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Elimination of Stockholder Action by Written Consent</w:t>
      </w:r>
    </w:p>
    <w:p>
      <w:pPr>
        <w:spacing w:after="0" w:line="124" w:lineRule="exact"/>
        <w:rPr>
          <w:sz w:val="20"/>
          <w:szCs w:val="20"/>
          <w:color w:val="auto"/>
        </w:rPr>
      </w:pPr>
    </w:p>
    <w:p>
      <w:pPr>
        <w:ind w:left="180" w:right="200" w:firstLine="465"/>
        <w:spacing w:after="0" w:line="275" w:lineRule="auto"/>
        <w:rPr>
          <w:sz w:val="20"/>
          <w:szCs w:val="20"/>
          <w:color w:val="auto"/>
        </w:rPr>
      </w:pPr>
      <w:r>
        <w:rPr>
          <w:rFonts w:ascii="Arial" w:cs="Arial" w:eastAsia="Arial" w:hAnsi="Arial"/>
          <w:sz w:val="19"/>
          <w:szCs w:val="19"/>
          <w:color w:val="auto"/>
        </w:rPr>
        <w:t>Our amended and restated certificate of incorporation and amended and restated bylaws will eliminate the right of stockholders to act by written consent without a meeting.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Staggered Board</w:t>
      </w:r>
    </w:p>
    <w:p>
      <w:pPr>
        <w:spacing w:after="0" w:line="124"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Removal of Directors</w:t>
      </w:r>
    </w:p>
    <w:p>
      <w:pPr>
        <w:spacing w:after="0" w:line="124" w:lineRule="exact"/>
        <w:rPr>
          <w:sz w:val="20"/>
          <w:szCs w:val="20"/>
          <w:color w:val="auto"/>
        </w:rPr>
      </w:pPr>
    </w:p>
    <w:p>
      <w:pPr>
        <w:jc w:val="both"/>
        <w:ind w:left="180" w:right="180" w:firstLine="465"/>
        <w:spacing w:after="0" w:line="263" w:lineRule="auto"/>
        <w:rPr>
          <w:sz w:val="20"/>
          <w:szCs w:val="20"/>
          <w:color w:val="auto"/>
        </w:rPr>
      </w:pPr>
      <w:r>
        <w:rPr>
          <w:rFonts w:ascii="Arial" w:cs="Arial" w:eastAsia="Arial" w:hAnsi="Arial"/>
          <w:sz w:val="19"/>
          <w:szCs w:val="19"/>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115</w:t>
      </w:r>
    </w:p>
    <w:p>
      <w:pPr>
        <w:sectPr>
          <w:pgSz w:w="12240" w:h="15840" w:orient="portrait"/>
          <w:cols w:equalWidth="0" w:num="1">
            <w:col w:w="11800"/>
          </w:cols>
          <w:pgMar w:left="120" w:top="336" w:right="320" w:bottom="1440" w:gutter="0" w:footer="0" w:header="0"/>
        </w:sectPr>
      </w:pPr>
    </w:p>
    <w:bookmarkStart w:id="120" w:name="page121"/>
    <w:bookmarkEnd w:id="12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Stockholders Not Entitled to Cumulative Voting</w:t>
      </w:r>
    </w:p>
    <w:p>
      <w:pPr>
        <w:spacing w:after="0" w:line="124" w:lineRule="exact"/>
        <w:rPr>
          <w:sz w:val="20"/>
          <w:szCs w:val="20"/>
          <w:color w:val="auto"/>
        </w:rPr>
      </w:pPr>
    </w:p>
    <w:p>
      <w:pPr>
        <w:jc w:val="both"/>
        <w:ind w:left="180" w:firstLine="465"/>
        <w:spacing w:after="0" w:line="263" w:lineRule="auto"/>
        <w:rPr>
          <w:sz w:val="20"/>
          <w:szCs w:val="20"/>
          <w:color w:val="auto"/>
        </w:rPr>
      </w:pPr>
      <w:r>
        <w:rPr>
          <w:rFonts w:ascii="Arial" w:cs="Arial" w:eastAsia="Arial" w:hAnsi="Arial"/>
          <w:sz w:val="19"/>
          <w:szCs w:val="19"/>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Delaware Anti-Takeover Statute</w:t>
      </w:r>
    </w:p>
    <w:p>
      <w:pPr>
        <w:spacing w:after="0" w:line="124" w:lineRule="exact"/>
        <w:rPr>
          <w:sz w:val="20"/>
          <w:szCs w:val="20"/>
          <w:color w:val="auto"/>
        </w:rPr>
      </w:pPr>
    </w:p>
    <w:p>
      <w:pPr>
        <w:ind w:left="180" w:right="100" w:firstLine="465"/>
        <w:spacing w:after="0" w:line="289"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Choice of Forum</w:t>
      </w:r>
    </w:p>
    <w:p>
      <w:pPr>
        <w:spacing w:after="0" w:line="124" w:lineRule="exact"/>
        <w:rPr>
          <w:sz w:val="20"/>
          <w:szCs w:val="20"/>
          <w:color w:val="auto"/>
        </w:rPr>
      </w:pPr>
    </w:p>
    <w:p>
      <w:pPr>
        <w:ind w:left="180" w:right="60" w:firstLine="465"/>
        <w:spacing w:after="0" w:line="285"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Amendment of Charter Provisions</w:t>
      </w:r>
    </w:p>
    <w:p>
      <w:pPr>
        <w:spacing w:after="0" w:line="124" w:lineRule="exact"/>
        <w:rPr>
          <w:sz w:val="20"/>
          <w:szCs w:val="20"/>
          <w:color w:val="auto"/>
        </w:rPr>
      </w:pPr>
    </w:p>
    <w:p>
      <w:pPr>
        <w:ind w:left="180" w:right="400" w:firstLine="465"/>
        <w:spacing w:after="0" w:line="275"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84" w:lineRule="exact"/>
        <w:rPr>
          <w:sz w:val="20"/>
          <w:szCs w:val="20"/>
          <w:color w:val="auto"/>
        </w:rPr>
      </w:pPr>
    </w:p>
    <w:p>
      <w:pPr>
        <w:ind w:left="180" w:right="60" w:firstLine="465"/>
        <w:spacing w:after="0" w:line="256" w:lineRule="auto"/>
        <w:rPr>
          <w:sz w:val="20"/>
          <w:szCs w:val="20"/>
          <w:color w:val="auto"/>
        </w:rPr>
      </w:pPr>
      <w:r>
        <w:rPr>
          <w:rFonts w:ascii="Arial" w:cs="Arial" w:eastAsia="Arial" w:hAnsi="Arial"/>
          <w:sz w:val="19"/>
          <w:szCs w:val="19"/>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116</w:t>
      </w:r>
    </w:p>
    <w:p>
      <w:pPr>
        <w:sectPr>
          <w:pgSz w:w="12240" w:h="15840" w:orient="portrait"/>
          <w:cols w:equalWidth="0" w:num="1">
            <w:col w:w="11800"/>
          </w:cols>
          <w:pgMar w:left="120" w:top="336" w:right="320" w:bottom="1440" w:gutter="0" w:footer="0" w:header="0"/>
        </w:sectPr>
      </w:pPr>
    </w:p>
    <w:bookmarkStart w:id="121" w:name="page122"/>
    <w:bookmarkEnd w:id="12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Transfer Agent and Registrar</w:t>
      </w:r>
    </w:p>
    <w:p>
      <w:pPr>
        <w:spacing w:after="0" w:line="130" w:lineRule="exact"/>
        <w:rPr>
          <w:sz w:val="20"/>
          <w:szCs w:val="20"/>
          <w:color w:val="auto"/>
        </w:rPr>
      </w:pPr>
    </w:p>
    <w:p>
      <w:pPr>
        <w:ind w:left="640"/>
        <w:spacing w:after="0"/>
        <w:tabs>
          <w:tab w:leader="none" w:pos="9060" w:val="left"/>
        </w:tabs>
        <w:rPr>
          <w:sz w:val="20"/>
          <w:szCs w:val="20"/>
          <w:color w:val="auto"/>
        </w:rPr>
      </w:pPr>
      <w:r>
        <w:rPr>
          <w:rFonts w:ascii="Arial" w:cs="Arial" w:eastAsia="Arial" w:hAnsi="Arial"/>
          <w:sz w:val="19"/>
          <w:szCs w:val="19"/>
          <w:color w:val="auto"/>
        </w:rPr>
        <w:t>The transfer agent and registrar for our Class A common stock and Class B common stock will be</w:t>
      </w:r>
      <w:r>
        <w:rPr>
          <w:sz w:val="20"/>
          <w:szCs w:val="20"/>
          <w:color w:val="auto"/>
        </w:rPr>
        <w:tab/>
      </w:r>
      <w:r>
        <w:rPr>
          <w:rFonts w:ascii="Arial" w:cs="Arial" w:eastAsia="Arial" w:hAnsi="Arial"/>
          <w:sz w:val="14"/>
          <w:szCs w:val="14"/>
          <w:color w:val="auto"/>
        </w:rPr>
        <w:t>.</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Exchange Listing</w:t>
      </w:r>
    </w:p>
    <w:p>
      <w:pPr>
        <w:spacing w:after="0" w:line="130"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Our Class A common stock is currently not listed on any securities exchange. We intend to apply to have our Class A common stock listed on The Nasdaq Global Select Market under the symbol “ZM.”</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117</w:t>
      </w:r>
    </w:p>
    <w:p>
      <w:pPr>
        <w:sectPr>
          <w:pgSz w:w="12240" w:h="15840" w:orient="portrait"/>
          <w:cols w:equalWidth="0" w:num="1">
            <w:col w:w="11760"/>
          </w:cols>
          <w:pgMar w:left="120" w:top="336" w:right="360" w:bottom="1440" w:gutter="0" w:footer="0" w:header="0"/>
        </w:sectPr>
      </w:pPr>
    </w:p>
    <w:bookmarkStart w:id="122" w:name="page123"/>
    <w:bookmarkEnd w:id="12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SHARES ELIGIBLE FOR FUTURE SALE</w:t>
      </w:r>
    </w:p>
    <w:p>
      <w:pPr>
        <w:spacing w:after="0" w:line="244" w:lineRule="exact"/>
        <w:rPr>
          <w:sz w:val="20"/>
          <w:szCs w:val="20"/>
          <w:color w:val="auto"/>
        </w:rPr>
      </w:pPr>
    </w:p>
    <w:p>
      <w:pPr>
        <w:ind w:left="180" w:right="80" w:firstLine="465"/>
        <w:spacing w:after="0" w:line="288" w:lineRule="auto"/>
        <w:rPr>
          <w:sz w:val="20"/>
          <w:szCs w:val="20"/>
          <w:color w:val="auto"/>
        </w:rPr>
      </w:pPr>
      <w:r>
        <w:rPr>
          <w:rFonts w:ascii="Arial" w:cs="Arial" w:eastAsia="Arial" w:hAnsi="Arial"/>
          <w:sz w:val="17"/>
          <w:szCs w:val="17"/>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w:t>
      </w:r>
    </w:p>
    <w:p>
      <w:pPr>
        <w:ind w:left="180" w:right="140"/>
        <w:spacing w:after="0" w:line="261" w:lineRule="auto"/>
        <w:rPr>
          <w:sz w:val="20"/>
          <w:szCs w:val="20"/>
          <w:color w:val="auto"/>
        </w:rPr>
      </w:pPr>
      <w:r>
        <w:rPr>
          <w:rFonts w:ascii="Arial" w:cs="Arial" w:eastAsia="Arial" w:hAnsi="Arial"/>
          <w:sz w:val="19"/>
          <w:szCs w:val="19"/>
          <w:color w:val="auto"/>
        </w:rPr>
        <w:t>we intend to apply to have our Class A common stock listed on , we cannot assure you that there will be an active public market for our Class A common stock.</w:t>
      </w:r>
    </w:p>
    <w:p>
      <w:pPr>
        <w:spacing w:after="0" w:line="196" w:lineRule="exact"/>
        <w:rPr>
          <w:sz w:val="20"/>
          <w:szCs w:val="20"/>
          <w:color w:val="auto"/>
        </w:rPr>
      </w:pPr>
    </w:p>
    <w:p>
      <w:pPr>
        <w:jc w:val="both"/>
        <w:ind w:left="180" w:firstLine="465"/>
        <w:spacing w:after="0" w:line="285" w:lineRule="auto"/>
        <w:rPr>
          <w:sz w:val="20"/>
          <w:szCs w:val="20"/>
          <w:color w:val="auto"/>
        </w:rPr>
      </w:pPr>
      <w:r>
        <w:rPr>
          <w:rFonts w:ascii="Arial" w:cs="Arial" w:eastAsia="Arial" w:hAnsi="Arial"/>
          <w:sz w:val="17"/>
          <w:szCs w:val="17"/>
          <w:color w:val="auto"/>
        </w:rPr>
        <w:t>Following the completion of this offering, based on the number of shares of our Class A common stock and Class B common stock outstanding as of December 31, 2018 and assuming (i) the issuance of shares of Class A common stock in this offering, (ii) the conversion of all outstanding shares of our convertible preferred stock into 152,665,804 shares of Class B common stock, which will automatically occur immediately prior to the completion</w:t>
      </w:r>
    </w:p>
    <w:p>
      <w:pPr>
        <w:spacing w:after="0" w:line="1" w:lineRule="exact"/>
        <w:rPr>
          <w:sz w:val="20"/>
          <w:szCs w:val="20"/>
          <w:color w:val="auto"/>
        </w:rPr>
      </w:pPr>
    </w:p>
    <w:p>
      <w:pPr>
        <w:ind w:left="180" w:right="20"/>
        <w:spacing w:after="0" w:line="255" w:lineRule="auto"/>
        <w:rPr>
          <w:sz w:val="20"/>
          <w:szCs w:val="20"/>
          <w:color w:val="auto"/>
        </w:rPr>
      </w:pPr>
      <w:r>
        <w:rPr>
          <w:rFonts w:ascii="Arial" w:cs="Arial" w:eastAsia="Arial" w:hAnsi="Arial"/>
          <w:sz w:val="19"/>
          <w:szCs w:val="19"/>
          <w:color w:val="auto"/>
        </w:rPr>
        <w:t>of the offering, (iii) the conversion of shares of Class B common stock into Class A common stock upon the sale of such shares by the selling stockholders and (iv) no exercise of the underwriters’ over-allotment option, we will have outstanding an aggregate of approximately shares of Class A common stock and shares of Class B common stock.</w:t>
      </w:r>
    </w:p>
    <w:p>
      <w:pPr>
        <w:spacing w:after="0" w:line="203" w:lineRule="exact"/>
        <w:rPr>
          <w:sz w:val="20"/>
          <w:szCs w:val="20"/>
          <w:color w:val="auto"/>
        </w:rPr>
      </w:pPr>
    </w:p>
    <w:p>
      <w:pPr>
        <w:ind w:left="180" w:firstLine="465"/>
        <w:spacing w:after="0" w:line="308" w:lineRule="auto"/>
        <w:rPr>
          <w:sz w:val="20"/>
          <w:szCs w:val="20"/>
          <w:color w:val="auto"/>
        </w:rPr>
      </w:pPr>
      <w:r>
        <w:rPr>
          <w:rFonts w:ascii="Arial" w:cs="Arial" w:eastAsia="Arial" w:hAnsi="Arial"/>
          <w:sz w:val="17"/>
          <w:szCs w:val="17"/>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60"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85"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In addition, of the 34,763,488 shares of our Class B common stock that were subject to stock options outstanding as of December 31, 2018, of which options to purchase 18,809,227 shares of Class B common stock were vested as of such date, upon exercise, these shares will be eligible for sale subject to the lock–up agreements described below and Rules 144 and 701 under the Securities Act.</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Lock-Up Agreements and Market Standoff Provisions</w:t>
      </w:r>
    </w:p>
    <w:p>
      <w:pPr>
        <w:spacing w:after="0" w:line="130" w:lineRule="exact"/>
        <w:rPr>
          <w:sz w:val="20"/>
          <w:szCs w:val="20"/>
          <w:color w:val="auto"/>
        </w:rPr>
      </w:pPr>
    </w:p>
    <w:p>
      <w:pPr>
        <w:ind w:left="180" w:right="180" w:firstLine="465"/>
        <w:spacing w:after="0" w:line="254" w:lineRule="auto"/>
        <w:rPr>
          <w:sz w:val="20"/>
          <w:szCs w:val="20"/>
          <w:color w:val="auto"/>
        </w:rPr>
      </w:pPr>
      <w:r>
        <w:rPr>
          <w:rFonts w:ascii="Arial" w:cs="Arial" w:eastAsia="Arial" w:hAnsi="Arial"/>
          <w:sz w:val="19"/>
          <w:szCs w:val="19"/>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204"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84" w:lineRule="exact"/>
        <w:rPr>
          <w:sz w:val="20"/>
          <w:szCs w:val="20"/>
          <w:color w:val="auto"/>
        </w:rPr>
      </w:pPr>
    </w:p>
    <w:p>
      <w:pPr>
        <w:ind w:left="180" w:right="100" w:firstLine="465"/>
        <w:spacing w:after="0" w:line="275" w:lineRule="auto"/>
        <w:rPr>
          <w:sz w:val="20"/>
          <w:szCs w:val="20"/>
          <w:color w:val="auto"/>
        </w:rPr>
      </w:pPr>
      <w:r>
        <w:rPr>
          <w:rFonts w:ascii="Arial" w:cs="Arial" w:eastAsia="Arial" w:hAnsi="Arial"/>
          <w:sz w:val="19"/>
          <w:szCs w:val="19"/>
          <w:color w:val="auto"/>
        </w:rPr>
        <w:t>Upon the expiration of the lock-up period, substantially all of the shares subject to such lock-up restrictions will become eligible for sale, subject to the limitations discussed below.</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118</w:t>
      </w:r>
    </w:p>
    <w:p>
      <w:pPr>
        <w:sectPr>
          <w:pgSz w:w="12240" w:h="15840" w:orient="portrait"/>
          <w:cols w:equalWidth="0" w:num="1">
            <w:col w:w="11760"/>
          </w:cols>
          <w:pgMar w:left="120" w:top="336" w:right="360" w:bottom="1440" w:gutter="0" w:footer="0" w:header="0"/>
        </w:sectPr>
      </w:pPr>
    </w:p>
    <w:bookmarkStart w:id="123" w:name="page124"/>
    <w:bookmarkEnd w:id="12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144</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Affiliate Resales of Restricted Securities</w:t>
      </w:r>
    </w:p>
    <w:p>
      <w:pPr>
        <w:spacing w:after="0" w:line="23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2240" w:h="15840" w:orient="portrait"/>
          <w:cols w:equalWidth="0" w:num="1">
            <w:col w:w="11800"/>
          </w:cols>
          <w:pgMar w:left="120" w:top="336" w:right="320" w:bottom="1440" w:gutter="0" w:footer="0" w:header="0"/>
        </w:sectPr>
      </w:pPr>
    </w:p>
    <w:p>
      <w:pPr>
        <w:spacing w:after="0" w:line="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shares immediately</w:t>
      </w:r>
    </w:p>
    <w:p>
      <w:pPr>
        <w:spacing w:after="0" w:line="389" w:lineRule="exact"/>
        <w:rPr>
          <w:sz w:val="20"/>
          <w:szCs w:val="20"/>
          <w:color w:val="auto"/>
        </w:rPr>
      </w:pPr>
    </w:p>
    <w:p>
      <w:pPr>
        <w:sectPr>
          <w:pgSz w:w="12240" w:h="15840" w:orient="portrait"/>
          <w:cols w:equalWidth="0" w:num="3">
            <w:col w:w="700" w:space="400"/>
            <w:col w:w="8340" w:space="720"/>
            <w:col w:w="1640"/>
          </w:cols>
          <w:pgMar w:left="120" w:top="336" w:right="320" w:bottom="1440" w:gutter="0" w:footer="0" w:header="0"/>
          <w:type w:val="continuous"/>
        </w:sect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9"/>
          <w:szCs w:val="19"/>
          <w:color w:val="auto"/>
        </w:rPr>
        <w:t>the average weekly trading volume in our Class A common stock on notice on Form 144 with respect to such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during the four calendar weeks preceding the filing of a</w:t>
      </w:r>
    </w:p>
    <w:p>
      <w:pPr>
        <w:spacing w:after="0" w:line="489" w:lineRule="exact"/>
        <w:rPr>
          <w:sz w:val="20"/>
          <w:szCs w:val="20"/>
          <w:color w:val="auto"/>
        </w:rPr>
      </w:pPr>
    </w:p>
    <w:p>
      <w:pPr>
        <w:sectPr>
          <w:pgSz w:w="12240" w:h="15840" w:orient="portrait"/>
          <w:cols w:equalWidth="0" w:num="3">
            <w:col w:w="700" w:space="400"/>
            <w:col w:w="5320" w:space="720"/>
            <w:col w:w="4660"/>
          </w:cols>
          <w:pgMar w:left="120" w:top="336" w:right="320" w:bottom="1440" w:gutter="0" w:footer="0" w:header="0"/>
          <w:type w:val="continuous"/>
        </w:sectPr>
      </w:pPr>
    </w:p>
    <w:p>
      <w:pPr>
        <w:ind w:left="180" w:right="260" w:firstLine="465"/>
        <w:spacing w:after="0" w:line="288" w:lineRule="auto"/>
        <w:rPr>
          <w:sz w:val="20"/>
          <w:szCs w:val="20"/>
          <w:color w:val="auto"/>
        </w:rPr>
      </w:pPr>
      <w:r>
        <w:rPr>
          <w:rFonts w:ascii="Arial" w:cs="Arial" w:eastAsia="Arial" w:hAnsi="Arial"/>
          <w:sz w:val="17"/>
          <w:szCs w:val="17"/>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ind w:left="180" w:right="200"/>
        <w:spacing w:after="0" w:line="261" w:lineRule="auto"/>
        <w:rPr>
          <w:sz w:val="20"/>
          <w:szCs w:val="20"/>
          <w:color w:val="auto"/>
        </w:rPr>
      </w:pPr>
      <w:r>
        <w:rPr>
          <w:rFonts w:ascii="Arial" w:cs="Arial" w:eastAsia="Arial" w:hAnsi="Arial"/>
          <w:sz w:val="19"/>
          <w:szCs w:val="19"/>
          <w:color w:val="auto"/>
        </w:rPr>
        <w:t>seller must file a notice on Form 144 with the Securities and Exchange Commission and concurrently with either the placing of a sale order with the broker or the execution of a sale directly with a market maker.</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Non-Affiliate Resales of Restricted Securities</w:t>
      </w:r>
    </w:p>
    <w:p>
      <w:pPr>
        <w:spacing w:after="0" w:line="124"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Non-affiliate resales are not subject to the manner of sale, volume limitation or notice filing provisions of Rule 144.</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Rule 701</w:t>
      </w:r>
    </w:p>
    <w:p>
      <w:pPr>
        <w:spacing w:after="0" w:line="130"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Form S-8 Registration Statement</w:t>
      </w:r>
    </w:p>
    <w:p>
      <w:pPr>
        <w:spacing w:after="0" w:line="130" w:lineRule="exact"/>
        <w:rPr>
          <w:sz w:val="20"/>
          <w:szCs w:val="20"/>
          <w:color w:val="auto"/>
        </w:rPr>
      </w:pPr>
    </w:p>
    <w:p>
      <w:pPr>
        <w:ind w:left="180" w:right="120" w:firstLine="465"/>
        <w:spacing w:after="0" w:line="256" w:lineRule="auto"/>
        <w:rPr>
          <w:sz w:val="20"/>
          <w:szCs w:val="20"/>
          <w:color w:val="auto"/>
        </w:rPr>
      </w:pPr>
      <w:r>
        <w:rPr>
          <w:rFonts w:ascii="Arial" w:cs="Arial" w:eastAsia="Arial" w:hAnsi="Arial"/>
          <w:sz w:val="19"/>
          <w:szCs w:val="19"/>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119</w:t>
      </w:r>
    </w:p>
    <w:p>
      <w:pPr>
        <w:sectPr>
          <w:pgSz w:w="12240" w:h="15840" w:orient="portrait"/>
          <w:cols w:equalWidth="0" w:num="1">
            <w:col w:w="11800"/>
          </w:cols>
          <w:pgMar w:left="120" w:top="336" w:right="320" w:bottom="1440" w:gutter="0" w:footer="0" w:header="0"/>
          <w:type w:val="continuous"/>
        </w:sectPr>
      </w:pPr>
    </w:p>
    <w:bookmarkStart w:id="124" w:name="page125"/>
    <w:bookmarkEnd w:id="12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Registration Rights</w:t>
      </w:r>
    </w:p>
    <w:p>
      <w:pPr>
        <w:spacing w:after="0" w:line="130" w:lineRule="exact"/>
        <w:rPr>
          <w:sz w:val="20"/>
          <w:szCs w:val="20"/>
          <w:color w:val="auto"/>
        </w:rPr>
      </w:pPr>
    </w:p>
    <w:p>
      <w:pPr>
        <w:ind w:left="180" w:firstLine="465"/>
        <w:spacing w:after="0" w:line="271" w:lineRule="auto"/>
        <w:rPr>
          <w:sz w:val="20"/>
          <w:szCs w:val="20"/>
          <w:color w:val="auto"/>
        </w:rPr>
      </w:pPr>
      <w:r>
        <w:rPr>
          <w:rFonts w:ascii="Arial" w:cs="Arial" w:eastAsia="Arial" w:hAnsi="Arial"/>
          <w:sz w:val="18"/>
          <w:szCs w:val="18"/>
          <w:color w:val="auto"/>
        </w:rPr>
        <w:t>As of December 31, 2018, holders of up to 209,268,532 shares of our Class B common stock, which includes all of the shares of Class B common stock issuable upon the automatic conversion of our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120</w:t>
      </w:r>
    </w:p>
    <w:p>
      <w:pPr>
        <w:sectPr>
          <w:pgSz w:w="12240" w:h="15840" w:orient="portrait"/>
          <w:cols w:equalWidth="0" w:num="1">
            <w:col w:w="11780"/>
          </w:cols>
          <w:pgMar w:left="120" w:top="336" w:right="340" w:bottom="1440" w:gutter="0" w:footer="0" w:header="0"/>
        </w:sectPr>
      </w:pPr>
    </w:p>
    <w:bookmarkStart w:id="125" w:name="page126"/>
    <w:bookmarkEnd w:id="12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MATERIAL U.S. FEDERAL INCOME TAX CONSEQUENCES TO NON-U.S. HOLDERS OF OUR CLASS A COMMON STOCK</w:t>
      </w:r>
    </w:p>
    <w:p>
      <w:pPr>
        <w:spacing w:after="0" w:line="24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04" w:lineRule="exact"/>
        <w:rPr>
          <w:sz w:val="20"/>
          <w:szCs w:val="20"/>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certain former citizens or long-term residents of the United States;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partnerships or other pass-through entities (and investors therein);</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“controlled foreign corporations”;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“passive foreign investment companies”;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corporations that accumulate earnings to avoid U.S. federal income tax;</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banks, financial institutions, investment funds, insurance companies, brokers, dealers or traders in securities;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tax-exempt organizations and governmental organizations;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tax-qualified retirement plans;</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persons subject to special tax accounting rules under Section 451(b) of the Code;</w:t>
      </w:r>
    </w:p>
    <w:p>
      <w:pPr>
        <w:spacing w:after="0" w:line="138" w:lineRule="exact"/>
        <w:rPr>
          <w:rFonts w:ascii="Arial" w:cs="Arial" w:eastAsia="Arial" w:hAnsi="Arial"/>
          <w:sz w:val="19"/>
          <w:szCs w:val="19"/>
          <w:color w:val="auto"/>
        </w:rPr>
      </w:pPr>
    </w:p>
    <w:p>
      <w:pPr>
        <w:ind w:left="1100" w:right="1040" w:hanging="464"/>
        <w:spacing w:after="0" w:line="275" w:lineRule="auto"/>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persons who hold or receive our Class A common stock pursuant to the exercise of any employee stock option or otherwise as compensation;</w:t>
      </w:r>
    </w:p>
    <w:p>
      <w:pPr>
        <w:spacing w:after="0" w:line="84" w:lineRule="exact"/>
        <w:rPr>
          <w:rFonts w:ascii="Arial" w:cs="Arial" w:eastAsia="Arial" w:hAnsi="Arial"/>
          <w:sz w:val="19"/>
          <w:szCs w:val="19"/>
          <w:color w:val="auto"/>
        </w:rPr>
      </w:pPr>
    </w:p>
    <w:p>
      <w:pPr>
        <w:ind w:left="1100" w:right="120" w:hanging="464"/>
        <w:spacing w:after="0" w:line="275" w:lineRule="auto"/>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“qualified foreign pension funds” as defined in Section 897(l)(2) of the Code and entities all of the interests of which are held by qualified foreign pension funds;</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persons that own, or have owned, actually or constructively, more than 5% of our Class A common stock;</w:t>
      </w:r>
    </w:p>
    <w:p>
      <w:pPr>
        <w:spacing w:after="0" w:line="138" w:lineRule="exact"/>
        <w:rPr>
          <w:rFonts w:ascii="Arial" w:cs="Arial" w:eastAsia="Arial" w:hAnsi="Arial"/>
          <w:sz w:val="19"/>
          <w:szCs w:val="19"/>
          <w:color w:val="auto"/>
        </w:rPr>
      </w:pPr>
    </w:p>
    <w:p>
      <w:pPr>
        <w:ind w:left="1100" w:hanging="464"/>
        <w:spacing w:after="0"/>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persons who have elected to mark securities to market; and</w:t>
      </w:r>
    </w:p>
    <w:p>
      <w:pPr>
        <w:spacing w:after="0" w:line="138" w:lineRule="exact"/>
        <w:rPr>
          <w:rFonts w:ascii="Arial" w:cs="Arial" w:eastAsia="Arial" w:hAnsi="Arial"/>
          <w:sz w:val="19"/>
          <w:szCs w:val="19"/>
          <w:color w:val="auto"/>
        </w:rPr>
      </w:pPr>
    </w:p>
    <w:p>
      <w:pPr>
        <w:ind w:left="1100" w:right="220" w:hanging="464"/>
        <w:spacing w:after="0" w:line="275" w:lineRule="auto"/>
        <w:tabs>
          <w:tab w:leader="none" w:pos="11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persons holding our Class A common stock as part of a hedging or conversion transaction or straddle, or a constructive sale, or other risk reduction strategy or integrated investment.</w:t>
      </w:r>
    </w:p>
    <w:p>
      <w:pPr>
        <w:spacing w:after="0" w:line="184" w:lineRule="exact"/>
        <w:rPr>
          <w:sz w:val="20"/>
          <w:szCs w:val="20"/>
          <w:color w:val="auto"/>
        </w:rPr>
      </w:pPr>
    </w:p>
    <w:p>
      <w:pPr>
        <w:ind w:left="180" w:right="420" w:firstLine="465"/>
        <w:spacing w:after="0" w:line="275" w:lineRule="auto"/>
        <w:rPr>
          <w:sz w:val="20"/>
          <w:szCs w:val="20"/>
          <w:color w:val="auto"/>
        </w:rPr>
      </w:pPr>
      <w:r>
        <w:rPr>
          <w:rFonts w:ascii="Arial" w:cs="Arial" w:eastAsia="Arial" w:hAnsi="Arial"/>
          <w:sz w:val="19"/>
          <w:szCs w:val="19"/>
          <w:color w:val="auto"/>
        </w:rPr>
        <w:t>If an entity or arrangement that is classified as a partnership for U.S. federal income tax purposes holds our Class A common stock, the U.S. federal income tax treatment of a partner in the partnership will generally</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121</w:t>
      </w:r>
    </w:p>
    <w:p>
      <w:pPr>
        <w:sectPr>
          <w:pgSz w:w="12240" w:h="15840" w:orient="portrait"/>
          <w:cols w:equalWidth="0" w:num="1">
            <w:col w:w="11720"/>
          </w:cols>
          <w:pgMar w:left="120" w:top="336" w:right="400" w:bottom="1440" w:gutter="0" w:footer="0" w:header="0"/>
        </w:sectPr>
      </w:pPr>
    </w:p>
    <w:bookmarkStart w:id="126" w:name="page127"/>
    <w:bookmarkEnd w:id="12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260"/>
        <w:spacing w:after="0" w:line="263" w:lineRule="auto"/>
        <w:rPr>
          <w:sz w:val="20"/>
          <w:szCs w:val="20"/>
          <w:color w:val="auto"/>
        </w:rPr>
      </w:pPr>
      <w:r>
        <w:rPr>
          <w:rFonts w:ascii="Arial" w:cs="Arial" w:eastAsia="Arial" w:hAnsi="Arial"/>
          <w:sz w:val="19"/>
          <w:szCs w:val="19"/>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8" w:lineRule="exact"/>
        <w:rPr>
          <w:sz w:val="20"/>
          <w:szCs w:val="20"/>
          <w:color w:val="auto"/>
        </w:rPr>
      </w:pPr>
    </w:p>
    <w:p>
      <w:pPr>
        <w:ind w:left="180" w:firstLine="465"/>
        <w:spacing w:after="0" w:line="255" w:lineRule="auto"/>
        <w:rPr>
          <w:sz w:val="20"/>
          <w:szCs w:val="20"/>
          <w:color w:val="auto"/>
        </w:rPr>
      </w:pPr>
      <w:r>
        <w:rPr>
          <w:rFonts w:ascii="Arial" w:cs="Arial" w:eastAsia="Arial" w:hAnsi="Arial"/>
          <w:sz w:val="19"/>
          <w:szCs w:val="19"/>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Definition of Non-U.S. Holder</w:t>
      </w:r>
    </w:p>
    <w:p>
      <w:pPr>
        <w:spacing w:after="0" w:line="130" w:lineRule="exact"/>
        <w:rPr>
          <w:sz w:val="20"/>
          <w:szCs w:val="20"/>
          <w:color w:val="auto"/>
        </w:rPr>
      </w:pPr>
    </w:p>
    <w:p>
      <w:pPr>
        <w:ind w:left="180" w:right="360" w:firstLine="465"/>
        <w:spacing w:after="0" w:line="263" w:lineRule="auto"/>
        <w:rPr>
          <w:sz w:val="20"/>
          <w:szCs w:val="20"/>
          <w:color w:val="auto"/>
        </w:rPr>
      </w:pPr>
      <w:r>
        <w:rPr>
          <w:rFonts w:ascii="Arial" w:cs="Arial" w:eastAsia="Arial" w:hAnsi="Arial"/>
          <w:sz w:val="19"/>
          <w:szCs w:val="19"/>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95" w:lineRule="exact"/>
        <w:rPr>
          <w:sz w:val="20"/>
          <w:szCs w:val="20"/>
          <w:color w:val="auto"/>
        </w:rPr>
      </w:pPr>
    </w:p>
    <w:p>
      <w:pPr>
        <w:ind w:left="1100" w:hanging="464"/>
        <w:spacing w:after="0"/>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 individual who is a citizen or resident of the United States;</w:t>
      </w:r>
    </w:p>
    <w:p>
      <w:pPr>
        <w:spacing w:after="0" w:line="138" w:lineRule="exact"/>
        <w:rPr>
          <w:rFonts w:ascii="Arial" w:cs="Arial" w:eastAsia="Arial" w:hAnsi="Arial"/>
          <w:sz w:val="19"/>
          <w:szCs w:val="19"/>
          <w:color w:val="auto"/>
        </w:rPr>
      </w:pPr>
    </w:p>
    <w:p>
      <w:pPr>
        <w:ind w:left="1100" w:right="100" w:hanging="464"/>
        <w:spacing w:after="0" w:line="275" w:lineRule="auto"/>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corporation (or any entity treated as a corporation for U.S. federal income tax purposes) created or organized under the laws of the United States, any state thereof or the District of Columbia;</w:t>
      </w:r>
    </w:p>
    <w:p>
      <w:pPr>
        <w:spacing w:after="0" w:line="84" w:lineRule="exact"/>
        <w:rPr>
          <w:rFonts w:ascii="Arial" w:cs="Arial" w:eastAsia="Arial" w:hAnsi="Arial"/>
          <w:sz w:val="19"/>
          <w:szCs w:val="19"/>
          <w:color w:val="auto"/>
        </w:rPr>
      </w:pPr>
    </w:p>
    <w:p>
      <w:pPr>
        <w:ind w:left="1100" w:hanging="464"/>
        <w:spacing w:after="0"/>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 regardless of its source; or</w:t>
      </w:r>
    </w:p>
    <w:p>
      <w:pPr>
        <w:spacing w:after="0" w:line="138" w:lineRule="exact"/>
        <w:rPr>
          <w:rFonts w:ascii="Arial" w:cs="Arial" w:eastAsia="Arial" w:hAnsi="Arial"/>
          <w:sz w:val="19"/>
          <w:szCs w:val="19"/>
          <w:color w:val="auto"/>
        </w:rPr>
      </w:pPr>
    </w:p>
    <w:p>
      <w:pPr>
        <w:ind w:left="1100" w:right="120" w:hanging="464"/>
        <w:spacing w:after="0" w:line="263" w:lineRule="auto"/>
        <w:tabs>
          <w:tab w:leader="none" w:pos="11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Distributions on Our Class A Common Stock</w:t>
      </w:r>
    </w:p>
    <w:p>
      <w:pPr>
        <w:spacing w:after="0" w:line="130" w:lineRule="exact"/>
        <w:rPr>
          <w:sz w:val="20"/>
          <w:szCs w:val="20"/>
          <w:color w:val="auto"/>
        </w:rPr>
      </w:pPr>
    </w:p>
    <w:p>
      <w:pPr>
        <w:ind w:left="180" w:right="180" w:firstLine="465"/>
        <w:spacing w:after="0" w:line="289"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78" w:lineRule="exact"/>
        <w:rPr>
          <w:sz w:val="20"/>
          <w:szCs w:val="20"/>
          <w:color w:val="auto"/>
        </w:rPr>
      </w:pPr>
    </w:p>
    <w:p>
      <w:pPr>
        <w:ind w:left="180" w:right="100" w:firstLine="465"/>
        <w:spacing w:after="0" w:line="270"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122</w:t>
      </w:r>
    </w:p>
    <w:p>
      <w:pPr>
        <w:sectPr>
          <w:pgSz w:w="12240" w:h="15840" w:orient="portrait"/>
          <w:cols w:equalWidth="0" w:num="1">
            <w:col w:w="11800"/>
          </w:cols>
          <w:pgMar w:left="120" w:top="337" w:right="320" w:bottom="1440" w:gutter="0" w:footer="0" w:header="0"/>
        </w:sectPr>
      </w:pPr>
    </w:p>
    <w:bookmarkStart w:id="127" w:name="page128"/>
    <w:bookmarkEnd w:id="12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60" w:firstLine="465"/>
        <w:spacing w:after="0" w:line="256" w:lineRule="auto"/>
        <w:rPr>
          <w:sz w:val="20"/>
          <w:szCs w:val="20"/>
          <w:color w:val="auto"/>
        </w:rPr>
      </w:pPr>
      <w:r>
        <w:rPr>
          <w:rFonts w:ascii="Arial" w:cs="Arial" w:eastAsia="Arial" w:hAnsi="Arial"/>
          <w:sz w:val="19"/>
          <w:szCs w:val="19"/>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4" w:lineRule="exact"/>
        <w:rPr>
          <w:sz w:val="20"/>
          <w:szCs w:val="20"/>
          <w:color w:val="auto"/>
        </w:rPr>
      </w:pPr>
    </w:p>
    <w:p>
      <w:pPr>
        <w:ind w:left="180" w:right="200" w:firstLine="465"/>
        <w:spacing w:after="0" w:line="277" w:lineRule="auto"/>
        <w:rPr>
          <w:sz w:val="20"/>
          <w:szCs w:val="20"/>
          <w:color w:val="auto"/>
        </w:rPr>
      </w:pPr>
      <w:r>
        <w:rPr>
          <w:rFonts w:ascii="Arial" w:cs="Arial" w:eastAsia="Arial" w:hAnsi="Arial"/>
          <w:sz w:val="18"/>
          <w:szCs w:val="18"/>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5"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Non-U.S. holders should consult their tax advisors regarding any applicable income tax treaties that may provide for different rules.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Gain on Disposition of Our Class A Common Stock</w:t>
      </w:r>
    </w:p>
    <w:p>
      <w:pPr>
        <w:spacing w:after="0" w:line="130" w:lineRule="exact"/>
        <w:rPr>
          <w:sz w:val="20"/>
          <w:szCs w:val="20"/>
          <w:color w:val="auto"/>
        </w:rPr>
      </w:pPr>
    </w:p>
    <w:p>
      <w:pPr>
        <w:ind w:left="180" w:right="60" w:firstLine="465"/>
        <w:spacing w:after="0" w:line="275" w:lineRule="auto"/>
        <w:rPr>
          <w:sz w:val="20"/>
          <w:szCs w:val="20"/>
          <w:color w:val="auto"/>
        </w:rPr>
      </w:pPr>
      <w:r>
        <w:rPr>
          <w:rFonts w:ascii="Arial" w:cs="Arial" w:eastAsia="Arial" w:hAnsi="Arial"/>
          <w:sz w:val="19"/>
          <w:szCs w:val="19"/>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84" w:lineRule="exact"/>
        <w:rPr>
          <w:sz w:val="20"/>
          <w:szCs w:val="20"/>
          <w:color w:val="auto"/>
        </w:rPr>
      </w:pPr>
    </w:p>
    <w:p>
      <w:pPr>
        <w:ind w:left="1100" w:right="420" w:hanging="464"/>
        <w:spacing w:after="0" w:line="263" w:lineRule="auto"/>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94" w:lineRule="exact"/>
        <w:rPr>
          <w:rFonts w:ascii="Arial" w:cs="Arial" w:eastAsia="Arial" w:hAnsi="Arial"/>
          <w:sz w:val="19"/>
          <w:szCs w:val="19"/>
          <w:color w:val="auto"/>
        </w:rPr>
      </w:pPr>
    </w:p>
    <w:p>
      <w:pPr>
        <w:ind w:left="1100" w:right="680" w:hanging="464"/>
        <w:spacing w:after="0" w:line="275" w:lineRule="auto"/>
        <w:tabs>
          <w:tab w:leader="none" w:pos="11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non-U.S. holder is a nonresident alien individual present in the United States for 183 days or more during the taxable year of the disposition and certain other requirements are met; or</w:t>
      </w:r>
    </w:p>
    <w:p>
      <w:pPr>
        <w:spacing w:after="0" w:line="84" w:lineRule="exact"/>
        <w:rPr>
          <w:rFonts w:ascii="Arial" w:cs="Arial" w:eastAsia="Arial" w:hAnsi="Arial"/>
          <w:sz w:val="19"/>
          <w:szCs w:val="19"/>
          <w:color w:val="auto"/>
        </w:rPr>
      </w:pPr>
    </w:p>
    <w:p>
      <w:pPr>
        <w:ind w:left="1100" w:right="40" w:hanging="464"/>
        <w:spacing w:after="0" w:line="277" w:lineRule="auto"/>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85" w:lineRule="exact"/>
        <w:rPr>
          <w:sz w:val="20"/>
          <w:szCs w:val="20"/>
          <w:color w:val="auto"/>
        </w:rPr>
      </w:pPr>
    </w:p>
    <w:p>
      <w:pPr>
        <w:jc w:val="both"/>
        <w:ind w:left="180" w:firstLine="465"/>
        <w:spacing w:after="0" w:line="284"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78" w:lineRule="exact"/>
        <w:rPr>
          <w:sz w:val="20"/>
          <w:szCs w:val="20"/>
          <w:color w:val="auto"/>
        </w:rPr>
      </w:pPr>
    </w:p>
    <w:p>
      <w:pPr>
        <w:ind w:left="180" w:right="120" w:firstLine="465"/>
        <w:spacing w:after="0" w:line="255" w:lineRule="auto"/>
        <w:rPr>
          <w:sz w:val="20"/>
          <w:szCs w:val="20"/>
          <w:color w:val="auto"/>
        </w:rPr>
      </w:pPr>
      <w:r>
        <w:rPr>
          <w:rFonts w:ascii="Arial" w:cs="Arial" w:eastAsia="Arial" w:hAnsi="Arial"/>
          <w:sz w:val="19"/>
          <w:szCs w:val="19"/>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123</w:t>
      </w:r>
    </w:p>
    <w:p>
      <w:pPr>
        <w:sectPr>
          <w:pgSz w:w="12240" w:h="15840" w:orient="portrait"/>
          <w:cols w:equalWidth="0" w:num="1">
            <w:col w:w="11800"/>
          </w:cols>
          <w:pgMar w:left="120" w:top="336" w:right="320" w:bottom="1440" w:gutter="0" w:footer="0" w:header="0"/>
        </w:sectPr>
      </w:pPr>
    </w:p>
    <w:bookmarkStart w:id="128" w:name="page129"/>
    <w:bookmarkEnd w:id="12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80"/>
        <w:spacing w:after="0" w:line="256" w:lineRule="auto"/>
        <w:rPr>
          <w:sz w:val="20"/>
          <w:szCs w:val="20"/>
          <w:color w:val="auto"/>
        </w:rPr>
      </w:pPr>
      <w:r>
        <w:rPr>
          <w:rFonts w:ascii="Arial" w:cs="Arial" w:eastAsia="Arial" w:hAnsi="Arial"/>
          <w:sz w:val="19"/>
          <w:szCs w:val="19"/>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Information Reporting and Backup Withholding</w:t>
      </w:r>
    </w:p>
    <w:p>
      <w:pPr>
        <w:spacing w:after="0" w:line="130" w:lineRule="exact"/>
        <w:rPr>
          <w:sz w:val="20"/>
          <w:szCs w:val="20"/>
          <w:color w:val="auto"/>
        </w:rPr>
      </w:pPr>
    </w:p>
    <w:p>
      <w:pPr>
        <w:ind w:left="180" w:right="120" w:firstLine="465"/>
        <w:spacing w:after="0" w:line="287"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78"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Withholding on Foreign Entities</w:t>
      </w:r>
    </w:p>
    <w:p>
      <w:pPr>
        <w:spacing w:after="0" w:line="130"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FATCA will also apply to gross proceeds from sales or other dispositions of our Class A common stock after December 31, 2018.</w:t>
      </w:r>
    </w:p>
    <w:p>
      <w:pPr>
        <w:spacing w:after="0" w:line="181"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Prospective investors are encouraged to consult with their own tax advisors regarding the possible implications of FATCA on their investment in our Class A common stock.</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124</w:t>
      </w:r>
    </w:p>
    <w:p>
      <w:pPr>
        <w:sectPr>
          <w:pgSz w:w="12240" w:h="15840" w:orient="portrait"/>
          <w:cols w:equalWidth="0" w:num="1">
            <w:col w:w="11800"/>
          </w:cols>
          <w:pgMar w:left="120" w:top="336" w:right="320" w:bottom="1440" w:gutter="0" w:footer="0" w:header="0"/>
        </w:sectPr>
      </w:pPr>
    </w:p>
    <w:bookmarkStart w:id="129" w:name="page130"/>
    <w:bookmarkEnd w:id="12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UNDERWRITERS</w:t>
      </w:r>
    </w:p>
    <w:p>
      <w:pPr>
        <w:spacing w:after="0" w:line="244" w:lineRule="exact"/>
        <w:rPr>
          <w:sz w:val="20"/>
          <w:szCs w:val="20"/>
          <w:color w:val="auto"/>
        </w:rPr>
      </w:pPr>
    </w:p>
    <w:p>
      <w:pPr>
        <w:ind w:left="180" w:right="120" w:firstLine="465"/>
        <w:spacing w:after="0" w:line="28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ectPr>
          <w:pgSz w:w="12240" w:h="15840" w:orient="portrait"/>
          <w:cols w:equalWidth="0" w:num="1">
            <w:col w:w="11820"/>
          </w:cols>
          <w:pgMar w:left="120" w:top="336" w:right="300" w:bottom="1440" w:gutter="0" w:footer="0" w:header="0"/>
        </w:sectPr>
      </w:pPr>
    </w:p>
    <w:p>
      <w:pPr>
        <w:spacing w:after="0" w:line="354" w:lineRule="exact"/>
        <w:rPr>
          <w:sz w:val="20"/>
          <w:szCs w:val="20"/>
          <w:color w:val="auto"/>
        </w:rPr>
      </w:pPr>
    </w:p>
    <w:p>
      <w:pPr>
        <w:ind w:left="5100"/>
        <w:spacing w:after="0"/>
        <w:rPr>
          <w:sz w:val="20"/>
          <w:szCs w:val="20"/>
          <w:color w:val="auto"/>
        </w:rPr>
      </w:pPr>
      <w:r>
        <w:rPr>
          <w:rFonts w:ascii="Arial" w:cs="Arial" w:eastAsia="Arial" w:hAnsi="Arial"/>
          <w:sz w:val="13"/>
          <w:szCs w:val="13"/>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28575</wp:posOffset>
            </wp:positionV>
            <wp:extent cx="5542280" cy="144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720"/>
        <w:spacing w:after="0"/>
        <w:rPr>
          <w:sz w:val="20"/>
          <w:szCs w:val="20"/>
          <w:color w:val="auto"/>
        </w:rPr>
      </w:pPr>
      <w:r>
        <w:rPr>
          <w:rFonts w:ascii="Arial" w:cs="Arial" w:eastAsia="Arial" w:hAnsi="Arial"/>
          <w:sz w:val="13"/>
          <w:szCs w:val="13"/>
          <w:b w:val="1"/>
          <w:bCs w:val="1"/>
          <w:color w:val="auto"/>
        </w:rPr>
        <w:t>Number of</w:t>
      </w:r>
    </w:p>
    <w:p>
      <w:pPr>
        <w:spacing w:after="0" w:line="23" w:lineRule="exact"/>
        <w:rPr>
          <w:sz w:val="20"/>
          <w:szCs w:val="20"/>
          <w:color w:val="auto"/>
        </w:rPr>
      </w:pPr>
    </w:p>
    <w:p>
      <w:pPr>
        <w:jc w:val="center"/>
        <w:ind w:right="1720"/>
        <w:spacing w:after="0"/>
        <w:rPr>
          <w:sz w:val="20"/>
          <w:szCs w:val="20"/>
          <w:color w:val="auto"/>
        </w:rPr>
      </w:pPr>
      <w:r>
        <w:rPr>
          <w:rFonts w:ascii="Arial" w:cs="Arial" w:eastAsia="Arial" w:hAnsi="Arial"/>
          <w:sz w:val="15"/>
          <w:szCs w:val="1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4527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spacing w:after="0" w:line="7" w:lineRule="exact"/>
        <w:rPr>
          <w:sz w:val="20"/>
          <w:szCs w:val="20"/>
          <w:color w:val="auto"/>
        </w:rPr>
      </w:pPr>
    </w:p>
    <w:p>
      <w:pPr>
        <w:sectPr>
          <w:pgSz w:w="12240" w:h="15840" w:orient="portrait"/>
          <w:cols w:equalWidth="0" w:num="2">
            <w:col w:w="8680" w:space="720"/>
            <w:col w:w="2420"/>
          </w:cols>
          <w:pgMar w:left="120" w:top="336" w:right="300" w:bottom="1440" w:gutter="0" w:footer="0" w:header="0"/>
          <w:type w:val="continuous"/>
        </w:sectPr>
      </w:pPr>
    </w:p>
    <w:p>
      <w:pPr>
        <w:ind w:left="1640"/>
        <w:spacing w:after="0"/>
        <w:rPr>
          <w:sz w:val="20"/>
          <w:szCs w:val="20"/>
          <w:color w:val="auto"/>
        </w:rPr>
      </w:pPr>
      <w:r>
        <w:rPr>
          <w:rFonts w:ascii="Arial" w:cs="Arial" w:eastAsia="Arial" w:hAnsi="Arial"/>
          <w:sz w:val="19"/>
          <w:szCs w:val="19"/>
          <w:color w:val="auto"/>
        </w:rPr>
        <w:t>Morgan Stanley &amp; Co. LLC</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J. P. Morgan Securities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Credit Suisse Securities (USA)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2990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42280" cy="299085"/>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9"/>
          <w:szCs w:val="19"/>
          <w:color w:val="auto"/>
        </w:rPr>
        <w:t>Incorporated</w:t>
      </w:r>
    </w:p>
    <w:p>
      <w:pPr>
        <w:spacing w:after="0" w:line="11"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RBC Capital Markets, LLC</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JMP Securities LLC</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Piper Jaffray &amp; Co.</w:t>
      </w:r>
    </w:p>
    <w:p>
      <w:pPr>
        <w:spacing w:after="0" w:line="10"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-137160</wp:posOffset>
            </wp:positionV>
            <wp:extent cx="5542280" cy="144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42280" cy="14478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9"/>
          <w:szCs w:val="19"/>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6985</wp:posOffset>
            </wp:positionV>
            <wp:extent cx="679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450" cy="8890"/>
                    </a:xfrm>
                    <a:prstGeom prst="rect">
                      <a:avLst/>
                    </a:prstGeom>
                    <a:noFill/>
                  </pic:spPr>
                </pic:pic>
              </a:graphicData>
            </a:graphic>
          </wp:anchor>
        </w:drawing>
      </w:r>
    </w:p>
    <w:p>
      <w:pPr>
        <w:spacing w:after="0" w:line="5"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-128905</wp:posOffset>
            </wp:positionV>
            <wp:extent cx="5542280" cy="1720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42280" cy="172085"/>
                    </a:xfrm>
                    <a:prstGeom prst="rect">
                      <a:avLst/>
                    </a:prstGeom>
                    <a:noFill/>
                  </pic:spPr>
                </pic:pic>
              </a:graphicData>
            </a:graphic>
          </wp:anchor>
        </w:drawing>
      </w:r>
    </w:p>
    <w:p>
      <w:pPr>
        <w:spacing w:after="0" w:line="275"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207" w:lineRule="exact"/>
        <w:rPr>
          <w:sz w:val="20"/>
          <w:szCs w:val="20"/>
          <w:color w:val="auto"/>
        </w:rPr>
      </w:pPr>
    </w:p>
    <w:p>
      <w:pPr>
        <w:jc w:val="both"/>
        <w:ind w:left="180" w:right="380" w:firstLine="465"/>
        <w:spacing w:after="0" w:line="263" w:lineRule="auto"/>
        <w:rPr>
          <w:sz w:val="20"/>
          <w:szCs w:val="20"/>
          <w:color w:val="auto"/>
        </w:rPr>
      </w:pPr>
      <w:r>
        <w:rPr>
          <w:rFonts w:ascii="Arial" w:cs="Arial" w:eastAsia="Arial" w:hAnsi="Arial"/>
          <w:sz w:val="19"/>
          <w:szCs w:val="19"/>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the selling stockholders have granted to the underwriters an option, exercisable for 30 days from the date of this prospectus, to purchase</w:t>
      </w:r>
    </w:p>
    <w:p>
      <w:pPr>
        <w:spacing w:after="0" w:line="46" w:lineRule="exact"/>
        <w:rPr>
          <w:sz w:val="20"/>
          <w:szCs w:val="20"/>
          <w:color w:val="auto"/>
        </w:rPr>
      </w:pPr>
    </w:p>
    <w:p>
      <w:pPr>
        <w:ind w:left="180" w:right="20"/>
        <w:spacing w:after="0" w:line="252" w:lineRule="auto"/>
        <w:rPr>
          <w:sz w:val="20"/>
          <w:szCs w:val="20"/>
          <w:color w:val="auto"/>
        </w:rPr>
      </w:pPr>
      <w:r>
        <w:rPr>
          <w:rFonts w:ascii="Arial" w:cs="Arial" w:eastAsia="Arial" w:hAnsi="Arial"/>
          <w:sz w:val="19"/>
          <w:szCs w:val="19"/>
          <w:color w:val="auto"/>
        </w:rPr>
        <w:t>up to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125</w:t>
      </w:r>
    </w:p>
    <w:p>
      <w:pPr>
        <w:sectPr>
          <w:pgSz w:w="12240" w:h="15840" w:orient="portrait"/>
          <w:cols w:equalWidth="0" w:num="1">
            <w:col w:w="11820"/>
          </w:cols>
          <w:pgMar w:left="120" w:top="336" w:right="300" w:bottom="1440" w:gutter="0" w:footer="0" w:header="0"/>
          <w:type w:val="continuous"/>
        </w:sectPr>
      </w:pPr>
    </w:p>
    <w:bookmarkStart w:id="130" w:name="page131"/>
    <w:bookmarkEnd w:id="13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60" w:firstLine="465"/>
        <w:spacing w:after="0" w:line="336"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2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Per Share</w:t>
            </w:r>
          </w:p>
        </w:tc>
        <w:tc>
          <w:tcPr>
            <w:tcW w:w="760" w:type="dxa"/>
            <w:vAlign w:val="bottom"/>
          </w:tcPr>
          <w:p>
            <w:pPr>
              <w:spacing w:after="0"/>
              <w:rPr>
                <w:sz w:val="15"/>
                <w:szCs w:val="15"/>
                <w:color w:val="auto"/>
              </w:rPr>
            </w:pPr>
          </w:p>
        </w:tc>
        <w:tc>
          <w:tcPr>
            <w:tcW w:w="1420" w:type="dxa"/>
            <w:vAlign w:val="bottom"/>
            <w:gridSpan w:val="3"/>
          </w:tcPr>
          <w:p>
            <w:pPr>
              <w:ind w:left="1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1"/>
        </w:trPr>
        <w:tc>
          <w:tcPr>
            <w:tcW w:w="82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6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b w:val="1"/>
                <w:bCs w:val="1"/>
                <w:color w:val="auto"/>
                <w:w w:val="86"/>
              </w:rPr>
              <w:t>No Exercise</w:t>
            </w:r>
          </w:p>
        </w:tc>
        <w:tc>
          <w:tcPr>
            <w:tcW w:w="5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b w:val="1"/>
                <w:bCs w:val="1"/>
                <w:color w:val="auto"/>
                <w:w w:val="90"/>
              </w:rPr>
              <w:t>Full Exercise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color w:val="auto"/>
              </w:rPr>
              <w:t>Public offering price</w:t>
            </w:r>
          </w:p>
        </w:tc>
        <w:tc>
          <w:tcPr>
            <w:tcW w:w="74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5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tcPr>
          <w:p>
            <w:pPr>
              <w:spacing w:after="0"/>
              <w:rPr>
                <w:sz w:val="20"/>
                <w:szCs w:val="20"/>
                <w:color w:val="auto"/>
              </w:rPr>
            </w:pPr>
            <w:r>
              <w:rPr>
                <w:rFonts w:ascii="Arial" w:cs="Arial" w:eastAsia="Arial" w:hAnsi="Arial"/>
                <w:sz w:val="19"/>
                <w:szCs w:val="19"/>
                <w:color w:val="auto"/>
              </w:rPr>
              <w:t>Underwriting discounts and commissions to be paid by:</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Us</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tcPr>
          <w:p>
            <w:pPr>
              <w:ind w:left="380"/>
              <w:spacing w:after="0"/>
              <w:rPr>
                <w:sz w:val="20"/>
                <w:szCs w:val="20"/>
                <w:color w:val="auto"/>
              </w:rPr>
            </w:pPr>
            <w:r>
              <w:rPr>
                <w:rFonts w:ascii="Arial" w:cs="Arial" w:eastAsia="Arial" w:hAnsi="Arial"/>
                <w:sz w:val="19"/>
                <w:szCs w:val="19"/>
                <w:color w:val="auto"/>
              </w:rPr>
              <w:t>The selling stockholders</w:t>
            </w:r>
          </w:p>
        </w:tc>
        <w:tc>
          <w:tcPr>
            <w:tcW w:w="740" w:type="dxa"/>
            <w:vAlign w:val="bottom"/>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9"/>
                <w:szCs w:val="19"/>
                <w:color w:val="auto"/>
              </w:rPr>
              <w:t>$</w:t>
            </w:r>
          </w:p>
        </w:tc>
        <w:tc>
          <w:tcPr>
            <w:tcW w:w="1360" w:type="dxa"/>
            <w:vAlign w:val="bottom"/>
            <w:gridSpan w:val="2"/>
          </w:tcPr>
          <w:p>
            <w:pPr>
              <w:ind w:left="5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spacing w:after="0"/>
              <w:rPr>
                <w:sz w:val="20"/>
                <w:szCs w:val="20"/>
                <w:color w:val="auto"/>
              </w:rPr>
            </w:pPr>
            <w:r>
              <w:rPr>
                <w:rFonts w:ascii="Arial" w:cs="Arial" w:eastAsia="Arial" w:hAnsi="Arial"/>
                <w:sz w:val="19"/>
                <w:szCs w:val="19"/>
                <w:color w:val="auto"/>
              </w:rPr>
              <w:t>Proceeds, before expenses, to us</w:t>
            </w:r>
          </w:p>
        </w:tc>
        <w:tc>
          <w:tcPr>
            <w:tcW w:w="740" w:type="dxa"/>
            <w:vAlign w:val="bottom"/>
            <w:shd w:val="clear" w:color="auto" w:fill="CCEEFF"/>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20" w:type="dxa"/>
            <w:vAlign w:val="bottom"/>
          </w:tcPr>
          <w:p>
            <w:pPr>
              <w:spacing w:after="0"/>
              <w:rPr>
                <w:sz w:val="20"/>
                <w:szCs w:val="20"/>
                <w:color w:val="auto"/>
              </w:rPr>
            </w:pPr>
            <w:r>
              <w:rPr>
                <w:rFonts w:ascii="Arial" w:cs="Arial" w:eastAsia="Arial" w:hAnsi="Arial"/>
                <w:sz w:val="19"/>
                <w:szCs w:val="19"/>
                <w:color w:val="auto"/>
              </w:rPr>
              <w:t>Proceeds, before expenses, to the selling stockholders</w:t>
            </w:r>
          </w:p>
        </w:tc>
        <w:tc>
          <w:tcPr>
            <w:tcW w:w="740" w:type="dxa"/>
            <w:vAlign w:val="bottom"/>
          </w:tcPr>
          <w:p>
            <w:pPr>
              <w:jc w:val="right"/>
              <w:ind w:right="548"/>
              <w:spacing w:after="0"/>
              <w:rPr>
                <w:sz w:val="20"/>
                <w:szCs w:val="20"/>
                <w:color w:val="auto"/>
              </w:rPr>
            </w:pPr>
            <w:r>
              <w:rPr>
                <w:rFonts w:ascii="Arial" w:cs="Arial" w:eastAsia="Arial" w:hAnsi="Arial"/>
                <w:sz w:val="19"/>
                <w:szCs w:val="19"/>
                <w:color w:val="auto"/>
                <w:w w:val="75"/>
              </w:rPr>
              <w:t>$</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9"/>
                <w:szCs w:val="19"/>
                <w:color w:val="auto"/>
              </w:rPr>
              <w:t>$</w:t>
            </w:r>
          </w:p>
        </w:tc>
        <w:tc>
          <w:tcPr>
            <w:tcW w:w="1360" w:type="dxa"/>
            <w:vAlign w:val="bottom"/>
            <w:gridSpan w:val="2"/>
          </w:tcPr>
          <w:p>
            <w:pPr>
              <w:ind w:left="5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10220" w:type="dxa"/>
            <w:vAlign w:val="bottom"/>
            <w:gridSpan w:val="4"/>
          </w:tcPr>
          <w:p>
            <w:pPr>
              <w:ind w:left="460"/>
              <w:spacing w:after="0"/>
              <w:rPr>
                <w:sz w:val="20"/>
                <w:szCs w:val="20"/>
                <w:color w:val="auto"/>
              </w:rPr>
            </w:pPr>
            <w:r>
              <w:rPr>
                <w:rFonts w:ascii="Arial" w:cs="Arial" w:eastAsia="Arial" w:hAnsi="Arial"/>
                <w:sz w:val="19"/>
                <w:szCs w:val="19"/>
                <w:color w:val="auto"/>
                <w:w w:val="91"/>
              </w:rPr>
              <w:t>The estimated offering expenses payable by us, exclusive of the underwriting discounts and commissions, are approximately $</w:t>
            </w:r>
          </w:p>
        </w:tc>
        <w:tc>
          <w:tcPr>
            <w:tcW w:w="1420" w:type="dxa"/>
            <w:vAlign w:val="bottom"/>
            <w:gridSpan w:val="3"/>
          </w:tcPr>
          <w:p>
            <w:pPr>
              <w:ind w:left="240"/>
              <w:spacing w:after="0"/>
              <w:rPr>
                <w:sz w:val="20"/>
                <w:szCs w:val="20"/>
                <w:color w:val="auto"/>
              </w:rPr>
            </w:pPr>
            <w:r>
              <w:rPr>
                <w:rFonts w:ascii="Arial" w:cs="Arial" w:eastAsia="Arial" w:hAnsi="Arial"/>
                <w:sz w:val="19"/>
                <w:szCs w:val="19"/>
                <w:color w:val="auto"/>
              </w:rPr>
              <w:t>. We have</w:t>
            </w: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7"/>
          <w:szCs w:val="17"/>
          <w:color w:val="auto"/>
        </w:rPr>
        <w:t>agreed to reimburse the underwriters for expenses relating to clearance of this offering with the Financial Industry Regulatory Authority (FINRA) up to</w:t>
      </w:r>
    </w:p>
    <w:p>
      <w:pPr>
        <w:spacing w:after="0" w:line="33" w:lineRule="exact"/>
        <w:rPr>
          <w:sz w:val="20"/>
          <w:szCs w:val="20"/>
          <w:color w:val="auto"/>
        </w:rPr>
      </w:pPr>
    </w:p>
    <w:p>
      <w:pPr>
        <w:ind w:left="660" w:hanging="481"/>
        <w:spacing w:after="0"/>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w:t>
      </w:r>
    </w:p>
    <w:p>
      <w:pPr>
        <w:spacing w:after="0" w:line="225"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The underwriters have informed us that they do not intend sales to discretionary accounts to exceed 5% of the total number of shares of Class A common stock offered by them.</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submit an application to list our Class A common stock on The Nasdaq Global Select Market under the trading symbol ZM.</w:t>
      </w:r>
    </w:p>
    <w:p>
      <w:pPr>
        <w:spacing w:after="0" w:line="249" w:lineRule="exact"/>
        <w:rPr>
          <w:sz w:val="20"/>
          <w:szCs w:val="20"/>
          <w:color w:val="auto"/>
        </w:rPr>
      </w:pPr>
    </w:p>
    <w:p>
      <w:pPr>
        <w:jc w:val="both"/>
        <w:ind w:left="180" w:right="300" w:firstLine="465"/>
        <w:spacing w:after="0" w:line="263" w:lineRule="auto"/>
        <w:rPr>
          <w:sz w:val="20"/>
          <w:szCs w:val="20"/>
          <w:color w:val="auto"/>
        </w:rPr>
      </w:pPr>
      <w:r>
        <w:rPr>
          <w:rFonts w:ascii="Arial" w:cs="Arial" w:eastAsia="Arial" w:hAnsi="Arial"/>
          <w:sz w:val="19"/>
          <w:szCs w:val="19"/>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95" w:lineRule="exact"/>
        <w:rPr>
          <w:sz w:val="20"/>
          <w:szCs w:val="20"/>
          <w:color w:val="auto"/>
        </w:rPr>
      </w:pPr>
    </w:p>
    <w:p>
      <w:pPr>
        <w:ind w:left="1100" w:right="60" w:hanging="464"/>
        <w:spacing w:after="0" w:line="308" w:lineRule="auto"/>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60" w:lineRule="exact"/>
        <w:rPr>
          <w:rFonts w:ascii="Arial" w:cs="Arial" w:eastAsia="Arial" w:hAnsi="Arial"/>
          <w:sz w:val="17"/>
          <w:szCs w:val="17"/>
          <w:color w:val="auto"/>
        </w:rPr>
      </w:pPr>
    </w:p>
    <w:p>
      <w:pPr>
        <w:ind w:left="1100" w:right="160" w:hanging="464"/>
        <w:spacing w:after="0" w:line="275"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file any registration statement with the Securities and Exchange Commission relating to the offering of any shares of common stock or any securities convertible into or exercisable or exchangeable for common stock; or</w:t>
      </w:r>
    </w:p>
    <w:p>
      <w:pPr>
        <w:spacing w:after="0" w:line="84" w:lineRule="exact"/>
        <w:rPr>
          <w:rFonts w:ascii="Arial" w:cs="Arial" w:eastAsia="Arial" w:hAnsi="Arial"/>
          <w:sz w:val="19"/>
          <w:szCs w:val="19"/>
          <w:color w:val="auto"/>
        </w:rPr>
      </w:pPr>
    </w:p>
    <w:p>
      <w:pPr>
        <w:ind w:left="1100" w:right="280" w:hanging="464"/>
        <w:spacing w:after="0" w:line="275" w:lineRule="auto"/>
        <w:tabs>
          <w:tab w:leader="none" w:pos="11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enter into any swap or other arrangement that transfers to another, in whole or in part, any of the economic consequences of ownership of the common stock.</w:t>
      </w:r>
    </w:p>
    <w:p>
      <w:pPr>
        <w:spacing w:after="0" w:line="184" w:lineRule="exact"/>
        <w:rPr>
          <w:sz w:val="20"/>
          <w:szCs w:val="20"/>
          <w:color w:val="auto"/>
        </w:rPr>
      </w:pPr>
    </w:p>
    <w:p>
      <w:pPr>
        <w:ind w:left="180" w:right="380" w:firstLine="465"/>
        <w:spacing w:after="0" w:line="256" w:lineRule="auto"/>
        <w:rPr>
          <w:sz w:val="20"/>
          <w:szCs w:val="20"/>
          <w:color w:val="auto"/>
        </w:rPr>
      </w:pPr>
      <w:r>
        <w:rPr>
          <w:rFonts w:ascii="Arial" w:cs="Arial" w:eastAsia="Arial" w:hAnsi="Arial"/>
          <w:sz w:val="19"/>
          <w:szCs w:val="19"/>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restrictions described in the immediately preceding paragraph are subject to specified exceptions, including, without limitation, the following:</w:t>
      </w:r>
    </w:p>
    <w:p>
      <w:pPr>
        <w:spacing w:after="0" w:line="161" w:lineRule="exact"/>
        <w:rPr>
          <w:sz w:val="20"/>
          <w:szCs w:val="20"/>
          <w:color w:val="auto"/>
        </w:rPr>
      </w:pPr>
    </w:p>
    <w:p>
      <w:pPr>
        <w:ind w:left="1100" w:right="140" w:hanging="464"/>
        <w:spacing w:after="0" w:line="275" w:lineRule="auto"/>
        <w:tabs>
          <w:tab w:leader="none" w:pos="11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transfers of shares of common stock acquired in open market transactions after the completion of this offering provided that no filing under Section 16 of the Exchange Act would be required or voluntarily made;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126</w:t>
      </w:r>
    </w:p>
    <w:p>
      <w:pPr>
        <w:sectPr>
          <w:pgSz w:w="12240" w:h="15840" w:orient="portrait"/>
          <w:cols w:equalWidth="0" w:num="1">
            <w:col w:w="11820"/>
          </w:cols>
          <w:pgMar w:left="120" w:top="336" w:right="300" w:bottom="1440" w:gutter="0" w:footer="0" w:header="0"/>
        </w:sectPr>
      </w:pPr>
    </w:p>
    <w:bookmarkStart w:id="131" w:name="page132"/>
    <w:bookmarkEnd w:id="13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hanging="464"/>
        <w:spacing w:after="0"/>
        <w:tabs>
          <w:tab w:leader="none" w:pos="11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sales of shares of Class A common stock pursuant to the underwriting agreement;</w:t>
      </w:r>
    </w:p>
    <w:p>
      <w:pPr>
        <w:spacing w:after="0" w:line="138" w:lineRule="exact"/>
        <w:rPr>
          <w:rFonts w:ascii="Arial" w:cs="Arial" w:eastAsia="Arial" w:hAnsi="Arial"/>
          <w:sz w:val="19"/>
          <w:szCs w:val="19"/>
          <w:color w:val="auto"/>
        </w:rPr>
      </w:pPr>
    </w:p>
    <w:p>
      <w:pPr>
        <w:ind w:left="1100" w:right="40" w:hanging="464"/>
        <w:spacing w:after="0" w:line="277"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85" w:lineRule="exact"/>
        <w:rPr>
          <w:rFonts w:ascii="Arial" w:cs="Arial" w:eastAsia="Arial" w:hAnsi="Arial"/>
          <w:sz w:val="18"/>
          <w:szCs w:val="18"/>
          <w:color w:val="auto"/>
        </w:rPr>
      </w:pPr>
    </w:p>
    <w:p>
      <w:pPr>
        <w:ind w:left="1100" w:hanging="464"/>
        <w:spacing w:after="0" w:line="274"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87" w:lineRule="exact"/>
        <w:rPr>
          <w:rFonts w:ascii="Arial" w:cs="Arial" w:eastAsia="Arial" w:hAnsi="Arial"/>
          <w:sz w:val="18"/>
          <w:szCs w:val="18"/>
          <w:color w:val="auto"/>
        </w:rPr>
      </w:pPr>
    </w:p>
    <w:p>
      <w:pPr>
        <w:ind w:left="1100" w:hanging="464"/>
        <w:spacing w:after="0" w:line="274"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87" w:lineRule="exact"/>
        <w:rPr>
          <w:rFonts w:ascii="Arial" w:cs="Arial" w:eastAsia="Arial" w:hAnsi="Arial"/>
          <w:sz w:val="18"/>
          <w:szCs w:val="18"/>
          <w:color w:val="auto"/>
        </w:rPr>
      </w:pPr>
    </w:p>
    <w:p>
      <w:pPr>
        <w:ind w:left="1100" w:hanging="464"/>
        <w:spacing w:after="0" w:line="281" w:lineRule="auto"/>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spacing w:after="0" w:line="2" w:lineRule="exact"/>
        <w:rPr>
          <w:rFonts w:ascii="Arial" w:cs="Arial" w:eastAsia="Arial" w:hAnsi="Arial"/>
          <w:sz w:val="17"/>
          <w:szCs w:val="17"/>
          <w:color w:val="auto"/>
        </w:rPr>
      </w:pPr>
    </w:p>
    <w:p>
      <w:pPr>
        <w:ind w:left="1100" w:right="60"/>
        <w:spacing w:after="0" w:line="289" w:lineRule="auto"/>
        <w:rPr>
          <w:rFonts w:ascii="Arial" w:cs="Arial" w:eastAsia="Arial" w:hAnsi="Arial"/>
          <w:sz w:val="17"/>
          <w:szCs w:val="17"/>
          <w:color w:val="auto"/>
        </w:rPr>
      </w:pPr>
      <w:r>
        <w:rPr>
          <w:rFonts w:ascii="Arial" w:cs="Arial" w:eastAsia="Arial" w:hAnsi="Arial"/>
          <w:sz w:val="18"/>
          <w:szCs w:val="18"/>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73" w:lineRule="exact"/>
        <w:rPr>
          <w:rFonts w:ascii="Arial" w:cs="Arial" w:eastAsia="Arial" w:hAnsi="Arial"/>
          <w:sz w:val="17"/>
          <w:szCs w:val="17"/>
          <w:color w:val="auto"/>
        </w:rPr>
      </w:pPr>
    </w:p>
    <w:p>
      <w:pPr>
        <w:ind w:left="1100" w:right="80" w:hanging="464"/>
        <w:spacing w:after="0" w:line="284"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127</w:t>
      </w:r>
    </w:p>
    <w:p>
      <w:pPr>
        <w:sectPr>
          <w:pgSz w:w="12240" w:h="15840" w:orient="portrait"/>
          <w:cols w:equalWidth="0" w:num="1">
            <w:col w:w="11800"/>
          </w:cols>
          <w:pgMar w:left="120" w:top="336" w:right="320" w:bottom="1440" w:gutter="0" w:footer="0" w:header="0"/>
        </w:sectPr>
      </w:pPr>
    </w:p>
    <w:bookmarkStart w:id="132" w:name="page133"/>
    <w:bookmarkEnd w:id="13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85" w:lineRule="exact"/>
        <w:rPr>
          <w:sz w:val="20"/>
          <w:szCs w:val="20"/>
          <w:color w:val="auto"/>
        </w:rPr>
      </w:pPr>
    </w:p>
    <w:p>
      <w:pPr>
        <w:ind w:left="1100" w:right="40" w:hanging="464"/>
        <w:spacing w:after="0" w:line="255" w:lineRule="auto"/>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104" w:lineRule="exact"/>
        <w:rPr>
          <w:rFonts w:ascii="Arial" w:cs="Arial" w:eastAsia="Arial" w:hAnsi="Arial"/>
          <w:sz w:val="19"/>
          <w:szCs w:val="19"/>
          <w:color w:val="auto"/>
        </w:rPr>
      </w:pPr>
    </w:p>
    <w:p>
      <w:pPr>
        <w:ind w:left="1100" w:right="20" w:hanging="464"/>
        <w:spacing w:after="0" w:line="256" w:lineRule="auto"/>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103" w:lineRule="exact"/>
        <w:rPr>
          <w:rFonts w:ascii="Arial" w:cs="Arial" w:eastAsia="Arial" w:hAnsi="Arial"/>
          <w:sz w:val="19"/>
          <w:szCs w:val="19"/>
          <w:color w:val="auto"/>
        </w:rPr>
      </w:pPr>
    </w:p>
    <w:p>
      <w:pPr>
        <w:ind w:left="1100" w:hanging="464"/>
        <w:spacing w:after="0" w:line="256" w:lineRule="auto"/>
        <w:tabs>
          <w:tab w:leader="none" w:pos="11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w:t>
      </w:r>
    </w:p>
    <w:p>
      <w:pPr>
        <w:spacing w:after="0" w:line="138" w:lineRule="exact"/>
        <w:rPr>
          <w:sz w:val="20"/>
          <w:szCs w:val="20"/>
          <w:color w:val="auto"/>
        </w:rPr>
      </w:pPr>
    </w:p>
    <w:p>
      <w:pPr>
        <w:ind w:left="1100" w:right="120" w:hanging="464"/>
        <w:spacing w:after="0" w:line="275" w:lineRule="auto"/>
        <w:tabs>
          <w:tab w:leader="none" w:pos="11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case of any transfer or distribution pursuant to the third through fifth bullets above, each donee, trustee, distributee or transferee shall sign and deliver a lock-up letter agreement; and</w:t>
      </w:r>
    </w:p>
    <w:p>
      <w:pPr>
        <w:spacing w:after="0" w:line="84" w:lineRule="exact"/>
        <w:rPr>
          <w:rFonts w:ascii="Arial" w:cs="Arial" w:eastAsia="Arial" w:hAnsi="Arial"/>
          <w:sz w:val="19"/>
          <w:szCs w:val="19"/>
          <w:color w:val="auto"/>
        </w:rPr>
      </w:pPr>
    </w:p>
    <w:p>
      <w:pPr>
        <w:ind w:left="1100" w:right="200" w:hanging="464"/>
        <w:spacing w:after="0" w:line="263" w:lineRule="auto"/>
        <w:tabs>
          <w:tab w:leader="none" w:pos="11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94" w:lineRule="exact"/>
        <w:rPr>
          <w:sz w:val="20"/>
          <w:szCs w:val="20"/>
          <w:color w:val="auto"/>
        </w:rPr>
      </w:pPr>
    </w:p>
    <w:p>
      <w:pPr>
        <w:ind w:left="180" w:right="20" w:firstLine="465"/>
        <w:spacing w:after="0" w:line="254" w:lineRule="auto"/>
        <w:rPr>
          <w:sz w:val="20"/>
          <w:szCs w:val="20"/>
          <w:color w:val="auto"/>
        </w:rPr>
      </w:pPr>
      <w:r>
        <w:rPr>
          <w:rFonts w:ascii="Arial" w:cs="Arial" w:eastAsia="Arial" w:hAnsi="Arial"/>
          <w:sz w:val="19"/>
          <w:szCs w:val="19"/>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207" w:lineRule="exact"/>
        <w:rPr>
          <w:sz w:val="20"/>
          <w:szCs w:val="20"/>
          <w:color w:val="auto"/>
        </w:rPr>
      </w:pPr>
    </w:p>
    <w:p>
      <w:pPr>
        <w:ind w:left="180" w:right="220" w:firstLine="465"/>
        <w:spacing w:after="0" w:line="256" w:lineRule="auto"/>
        <w:rPr>
          <w:sz w:val="20"/>
          <w:szCs w:val="20"/>
          <w:color w:val="auto"/>
        </w:rPr>
      </w:pPr>
      <w:r>
        <w:rPr>
          <w:rFonts w:ascii="Arial" w:cs="Arial" w:eastAsia="Arial" w:hAnsi="Arial"/>
          <w:sz w:val="19"/>
          <w:szCs w:val="19"/>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128</w:t>
      </w:r>
    </w:p>
    <w:p>
      <w:pPr>
        <w:sectPr>
          <w:pgSz w:w="12240" w:h="15840" w:orient="portrait"/>
          <w:cols w:equalWidth="0" w:num="1">
            <w:col w:w="11800"/>
          </w:cols>
          <w:pgMar w:left="120" w:top="337" w:right="320" w:bottom="1440" w:gutter="0" w:footer="0" w:header="0"/>
        </w:sectPr>
      </w:pPr>
    </w:p>
    <w:bookmarkStart w:id="133" w:name="page134"/>
    <w:bookmarkEnd w:id="13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line="288" w:lineRule="auto"/>
        <w:rPr>
          <w:sz w:val="20"/>
          <w:szCs w:val="20"/>
          <w:color w:val="auto"/>
        </w:rPr>
      </w:pPr>
      <w:r>
        <w:rPr>
          <w:rFonts w:ascii="Arial" w:cs="Arial" w:eastAsia="Arial" w:hAnsi="Arial"/>
          <w:sz w:val="17"/>
          <w:szCs w:val="17"/>
          <w:color w:val="auto"/>
        </w:rPr>
        <w:t>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77"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We, the selling stockholders and the underwriters have agreed to indemnify each other against certain liabilities, including liabilities under the Securities Act.</w:t>
      </w:r>
    </w:p>
    <w:p>
      <w:pPr>
        <w:spacing w:after="0" w:line="184" w:lineRule="exact"/>
        <w:rPr>
          <w:sz w:val="20"/>
          <w:szCs w:val="20"/>
          <w:color w:val="auto"/>
        </w:rPr>
      </w:pPr>
    </w:p>
    <w:p>
      <w:pPr>
        <w:ind w:left="180" w:right="160" w:firstLine="465"/>
        <w:spacing w:after="0" w:line="259" w:lineRule="auto"/>
        <w:rPr>
          <w:sz w:val="20"/>
          <w:szCs w:val="20"/>
          <w:color w:val="auto"/>
        </w:rPr>
      </w:pPr>
      <w:r>
        <w:rPr>
          <w:rFonts w:ascii="Arial" w:cs="Arial" w:eastAsia="Arial" w:hAnsi="Arial"/>
          <w:sz w:val="19"/>
          <w:szCs w:val="19"/>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8"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204"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Pricing of the Offering</w:t>
      </w:r>
    </w:p>
    <w:p>
      <w:pPr>
        <w:spacing w:after="0" w:line="130" w:lineRule="exact"/>
        <w:rPr>
          <w:sz w:val="20"/>
          <w:szCs w:val="20"/>
          <w:color w:val="auto"/>
        </w:rPr>
      </w:pPr>
    </w:p>
    <w:p>
      <w:pPr>
        <w:ind w:left="180" w:right="80" w:firstLine="465"/>
        <w:spacing w:after="0" w:line="256" w:lineRule="auto"/>
        <w:rPr>
          <w:sz w:val="20"/>
          <w:szCs w:val="20"/>
          <w:color w:val="auto"/>
        </w:rPr>
      </w:pPr>
      <w:r>
        <w:rPr>
          <w:rFonts w:ascii="Arial" w:cs="Arial" w:eastAsia="Arial" w:hAnsi="Arial"/>
          <w:sz w:val="19"/>
          <w:szCs w:val="19"/>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Selling Restrictions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24" w:lineRule="exact"/>
        <w:rPr>
          <w:sz w:val="20"/>
          <w:szCs w:val="20"/>
          <w:color w:val="auto"/>
        </w:rPr>
      </w:pPr>
    </w:p>
    <w:p>
      <w:pPr>
        <w:ind w:left="180" w:right="360" w:firstLine="465"/>
        <w:spacing w:after="0" w:line="275"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shares of our common stock may not be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129</w:t>
      </w:r>
    </w:p>
    <w:p>
      <w:pPr>
        <w:sectPr>
          <w:pgSz w:w="12240" w:h="15840" w:orient="portrait"/>
          <w:cols w:equalWidth="0" w:num="1">
            <w:col w:w="11800"/>
          </w:cols>
          <w:pgMar w:left="120" w:top="336" w:right="320" w:bottom="1440" w:gutter="0" w:footer="0" w:header="0"/>
        </w:sectPr>
      </w:pPr>
    </w:p>
    <w:bookmarkStart w:id="134" w:name="page135"/>
    <w:bookmarkEnd w:id="13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140"/>
        <w:spacing w:after="0" w:line="336" w:lineRule="auto"/>
        <w:rPr>
          <w:sz w:val="20"/>
          <w:szCs w:val="20"/>
          <w:color w:val="auto"/>
        </w:rPr>
      </w:pPr>
      <w:r>
        <w:rPr>
          <w:rFonts w:ascii="Arial" w:cs="Arial" w:eastAsia="Arial" w:hAnsi="Arial"/>
          <w:sz w:val="17"/>
          <w:szCs w:val="17"/>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37" w:lineRule="exact"/>
        <w:rPr>
          <w:sz w:val="20"/>
          <w:szCs w:val="20"/>
          <w:color w:val="auto"/>
        </w:rPr>
      </w:pPr>
    </w:p>
    <w:p>
      <w:pPr>
        <w:ind w:left="1100" w:hanging="333"/>
        <w:spacing w:after="0"/>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38" w:lineRule="exact"/>
        <w:rPr>
          <w:rFonts w:ascii="Arial" w:cs="Arial" w:eastAsia="Arial" w:hAnsi="Arial"/>
          <w:sz w:val="19"/>
          <w:szCs w:val="19"/>
          <w:color w:val="auto"/>
        </w:rPr>
      </w:pPr>
    </w:p>
    <w:p>
      <w:pPr>
        <w:ind w:left="1100" w:hanging="343"/>
        <w:spacing w:after="0" w:line="263" w:lineRule="auto"/>
        <w:tabs>
          <w:tab w:leader="none" w:pos="11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94" w:lineRule="exact"/>
        <w:rPr>
          <w:rFonts w:ascii="Arial" w:cs="Arial" w:eastAsia="Arial" w:hAnsi="Arial"/>
          <w:sz w:val="19"/>
          <w:szCs w:val="19"/>
          <w:color w:val="auto"/>
        </w:rPr>
      </w:pPr>
    </w:p>
    <w:p>
      <w:pPr>
        <w:ind w:left="1100" w:right="20" w:hanging="333"/>
        <w:spacing w:after="0" w:line="336" w:lineRule="auto"/>
        <w:tabs>
          <w:tab w:leader="none" w:pos="11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7" w:lineRule="exact"/>
        <w:rPr>
          <w:sz w:val="20"/>
          <w:szCs w:val="20"/>
          <w:color w:val="auto"/>
        </w:rPr>
      </w:pPr>
    </w:p>
    <w:p>
      <w:pPr>
        <w:ind w:left="180" w:right="40" w:firstLine="465"/>
        <w:spacing w:after="0" w:line="269" w:lineRule="auto"/>
        <w:rPr>
          <w:sz w:val="20"/>
          <w:szCs w:val="20"/>
          <w:color w:val="auto"/>
        </w:rPr>
      </w:pPr>
      <w:r>
        <w:rPr>
          <w:rFonts w:ascii="Arial" w:cs="Arial" w:eastAsia="Arial" w:hAnsi="Arial"/>
          <w:sz w:val="18"/>
          <w:szCs w:val="18"/>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94" w:lineRule="exact"/>
        <w:rPr>
          <w:sz w:val="20"/>
          <w:szCs w:val="20"/>
          <w:color w:val="auto"/>
        </w:rPr>
      </w:pPr>
    </w:p>
    <w:p>
      <w:pPr>
        <w:ind w:left="180" w:right="980" w:firstLine="465"/>
        <w:spacing w:after="0" w:line="275" w:lineRule="auto"/>
        <w:rPr>
          <w:sz w:val="20"/>
          <w:szCs w:val="20"/>
          <w:color w:val="auto"/>
        </w:rPr>
      </w:pPr>
      <w:r>
        <w:rPr>
          <w:rFonts w:ascii="Arial" w:cs="Arial" w:eastAsia="Arial" w:hAnsi="Arial"/>
          <w:sz w:val="19"/>
          <w:szCs w:val="19"/>
          <w:color w:val="auto"/>
        </w:rPr>
        <w:t>The Company, the representatives and their respective affiliates will rely upon the truth and accuracy of the foregoing representations, acknowledgments and agreements.</w:t>
      </w:r>
    </w:p>
    <w:p>
      <w:pPr>
        <w:spacing w:after="0" w:line="184" w:lineRule="exact"/>
        <w:rPr>
          <w:sz w:val="20"/>
          <w:szCs w:val="20"/>
          <w:color w:val="auto"/>
        </w:rPr>
      </w:pPr>
    </w:p>
    <w:p>
      <w:pPr>
        <w:ind w:left="180" w:right="40" w:firstLine="465"/>
        <w:spacing w:after="0" w:line="272" w:lineRule="auto"/>
        <w:rPr>
          <w:sz w:val="20"/>
          <w:szCs w:val="20"/>
          <w:color w:val="auto"/>
        </w:rPr>
      </w:pPr>
      <w:r>
        <w:rPr>
          <w:rFonts w:ascii="Arial" w:cs="Arial" w:eastAsia="Arial" w:hAnsi="Arial"/>
          <w:sz w:val="18"/>
          <w:szCs w:val="18"/>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90"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United Kingdom</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underwriter has represented and agreed that:</w:t>
      </w:r>
    </w:p>
    <w:p>
      <w:pPr>
        <w:spacing w:after="0" w:line="138" w:lineRule="exact"/>
        <w:rPr>
          <w:sz w:val="20"/>
          <w:szCs w:val="20"/>
          <w:color w:val="auto"/>
        </w:rPr>
      </w:pPr>
    </w:p>
    <w:p>
      <w:pPr>
        <w:ind w:left="1100" w:right="820" w:hanging="333"/>
        <w:spacing w:after="0" w:line="275" w:lineRule="auto"/>
        <w:tabs>
          <w:tab w:leader="none" w:pos="11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it has only communicated or caused to be communicated and will only communicate or cause to be communicated an invitation or inducement to engage in investment activity (within the meaning of</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130</w:t>
      </w:r>
    </w:p>
    <w:p>
      <w:pPr>
        <w:sectPr>
          <w:pgSz w:w="12240" w:h="15840" w:orient="portrait"/>
          <w:cols w:equalWidth="0" w:num="1">
            <w:col w:w="11820"/>
          </w:cols>
          <w:pgMar w:left="120" w:top="336" w:right="300" w:bottom="1440" w:gutter="0" w:footer="0" w:header="0"/>
        </w:sectPr>
      </w:pPr>
    </w:p>
    <w:bookmarkStart w:id="135" w:name="page136"/>
    <w:bookmarkEnd w:id="13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0"/>
        <w:spacing w:after="0" w:line="275" w:lineRule="auto"/>
        <w:rPr>
          <w:sz w:val="20"/>
          <w:szCs w:val="20"/>
          <w:color w:val="auto"/>
        </w:rPr>
      </w:pPr>
      <w:r>
        <w:rPr>
          <w:rFonts w:ascii="Arial" w:cs="Arial" w:eastAsia="Arial" w:hAnsi="Arial"/>
          <w:sz w:val="19"/>
          <w:szCs w:val="19"/>
          <w:color w:val="auto"/>
        </w:rPr>
        <w:t>Section 21 of the Financial Services and Markets Act 2000 (“FSMA”) received by it in connection with the issue or sale of the shares of our common stock in circumstances in which Section 21(1) of the FSMA does not apply to us; and</w:t>
      </w:r>
    </w:p>
    <w:p>
      <w:pPr>
        <w:spacing w:after="0" w:line="84" w:lineRule="exact"/>
        <w:rPr>
          <w:sz w:val="20"/>
          <w:szCs w:val="20"/>
          <w:color w:val="auto"/>
        </w:rPr>
      </w:pPr>
    </w:p>
    <w:p>
      <w:pPr>
        <w:ind w:left="1100" w:right="200" w:hanging="343"/>
        <w:spacing w:after="0" w:line="275" w:lineRule="auto"/>
        <w:tabs>
          <w:tab w:leader="none" w:pos="11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it has complied and will comply with all applicable provisions of the FSMA with respect to anything done by it in relation to the shares of our common stock in, from or otherwise involving the United Kingdom.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Canada</w:t>
      </w:r>
    </w:p>
    <w:p>
      <w:pPr>
        <w:spacing w:after="0" w:line="124" w:lineRule="exact"/>
        <w:rPr>
          <w:sz w:val="20"/>
          <w:szCs w:val="20"/>
          <w:color w:val="auto"/>
        </w:rPr>
      </w:pPr>
    </w:p>
    <w:p>
      <w:pPr>
        <w:ind w:left="180" w:right="100" w:firstLine="465"/>
        <w:spacing w:after="0" w:line="256" w:lineRule="auto"/>
        <w:rPr>
          <w:sz w:val="20"/>
          <w:szCs w:val="20"/>
          <w:color w:val="auto"/>
        </w:rPr>
      </w:pPr>
      <w:r>
        <w:rPr>
          <w:rFonts w:ascii="Arial" w:cs="Arial" w:eastAsia="Arial" w:hAnsi="Arial"/>
          <w:sz w:val="19"/>
          <w:szCs w:val="19"/>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9"/>
          <w:szCs w:val="19"/>
          <w:i w:val="1"/>
          <w:iCs w:val="1"/>
          <w:color w:val="auto"/>
        </w:rPr>
        <w:t>Prospectus Exemptions</w:t>
      </w:r>
      <w:r>
        <w:rPr>
          <w:rFonts w:ascii="Arial" w:cs="Arial" w:eastAsia="Arial" w:hAnsi="Arial"/>
          <w:sz w:val="19"/>
          <w:szCs w:val="19"/>
          <w:color w:val="auto"/>
        </w:rPr>
        <w:t xml:space="preserve"> or subsection 73.3(1) of the </w:t>
      </w:r>
      <w:r>
        <w:rPr>
          <w:rFonts w:ascii="Arial" w:cs="Arial" w:eastAsia="Arial" w:hAnsi="Arial"/>
          <w:sz w:val="19"/>
          <w:szCs w:val="19"/>
          <w:i w:val="1"/>
          <w:iCs w:val="1"/>
          <w:color w:val="auto"/>
        </w:rPr>
        <w:t>Securities Act</w:t>
      </w:r>
      <w:r>
        <w:rPr>
          <w:rFonts w:ascii="Arial" w:cs="Arial" w:eastAsia="Arial" w:hAnsi="Arial"/>
          <w:sz w:val="19"/>
          <w:szCs w:val="19"/>
          <w:color w:val="auto"/>
        </w:rPr>
        <w:t xml:space="preserve"> (Ontario), and are permitted clients, as defined in National Instrument 31-103 </w:t>
      </w:r>
      <w:r>
        <w:rPr>
          <w:rFonts w:ascii="Arial" w:cs="Arial" w:eastAsia="Arial" w:hAnsi="Arial"/>
          <w:sz w:val="19"/>
          <w:szCs w:val="19"/>
          <w:i w:val="1"/>
          <w:iCs w:val="1"/>
          <w:color w:val="auto"/>
        </w:rPr>
        <w:t>Registration Requirements, Exemptions and Ongoing Registrant Obligations</w:t>
      </w:r>
      <w:r>
        <w:rPr>
          <w:rFonts w:ascii="Arial" w:cs="Arial" w:eastAsia="Arial" w:hAnsi="Arial"/>
          <w:sz w:val="19"/>
          <w:szCs w:val="19"/>
          <w:color w:val="auto"/>
        </w:rPr>
        <w:t>. Any resale of the shares of Class A common stock must be made in accordance with an exemption from, or in a transaction not subject to, the prospectus requirements of applicable securities laws.</w:t>
      </w:r>
    </w:p>
    <w:p>
      <w:pPr>
        <w:spacing w:after="0" w:line="204" w:lineRule="exact"/>
        <w:rPr>
          <w:sz w:val="20"/>
          <w:szCs w:val="20"/>
          <w:color w:val="auto"/>
        </w:rPr>
      </w:pPr>
    </w:p>
    <w:p>
      <w:pPr>
        <w:ind w:left="180" w:right="200" w:firstLine="465"/>
        <w:spacing w:after="0" w:line="298"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0"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9"/>
          <w:szCs w:val="19"/>
          <w:i w:val="1"/>
          <w:iCs w:val="1"/>
          <w:color w:val="auto"/>
        </w:rPr>
        <w:t>Underwriting Conflicts</w:t>
      </w:r>
      <w:r>
        <w:rPr>
          <w:rFonts w:ascii="Arial" w:cs="Arial" w:eastAsia="Arial" w:hAnsi="Arial"/>
          <w:sz w:val="19"/>
          <w:szCs w:val="19"/>
          <w:color w:val="auto"/>
        </w:rPr>
        <w:t xml:space="preserve"> (NI 33-105), the underwriters are not required to comply with the disclosure requirements of NI 33-105 regarding underwriter conflicts of interest in connection with this offering.</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Hong Kong</w:t>
      </w:r>
    </w:p>
    <w:p>
      <w:pPr>
        <w:spacing w:after="0" w:line="124" w:lineRule="exact"/>
        <w:rPr>
          <w:sz w:val="20"/>
          <w:szCs w:val="20"/>
          <w:color w:val="auto"/>
        </w:rPr>
      </w:pPr>
    </w:p>
    <w:p>
      <w:pPr>
        <w:ind w:left="180" w:firstLine="465"/>
        <w:spacing w:after="0" w:line="269" w:lineRule="auto"/>
        <w:rPr>
          <w:sz w:val="20"/>
          <w:szCs w:val="20"/>
          <w:color w:val="auto"/>
        </w:rPr>
      </w:pPr>
      <w:r>
        <w:rPr>
          <w:rFonts w:ascii="Arial" w:cs="Arial" w:eastAsia="Arial" w:hAnsi="Arial"/>
          <w:sz w:val="18"/>
          <w:szCs w:val="18"/>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30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Singapore</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131</w:t>
      </w:r>
    </w:p>
    <w:p>
      <w:pPr>
        <w:sectPr>
          <w:pgSz w:w="12240" w:h="15840" w:orient="portrait"/>
          <w:cols w:equalWidth="0" w:num="1">
            <w:col w:w="11800"/>
          </w:cols>
          <w:pgMar w:left="120" w:top="336" w:right="320" w:bottom="1440" w:gutter="0" w:footer="0" w:header="0"/>
        </w:sectPr>
      </w:pPr>
    </w:p>
    <w:bookmarkStart w:id="136" w:name="page137"/>
    <w:bookmarkEnd w:id="13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960"/>
        <w:spacing w:after="0" w:line="275" w:lineRule="auto"/>
        <w:rPr>
          <w:sz w:val="20"/>
          <w:szCs w:val="20"/>
          <w:color w:val="auto"/>
        </w:rPr>
      </w:pPr>
      <w:r>
        <w:rPr>
          <w:rFonts w:ascii="Arial" w:cs="Arial" w:eastAsia="Arial" w:hAnsi="Arial"/>
          <w:sz w:val="19"/>
          <w:szCs w:val="19"/>
          <w:color w:val="auto"/>
        </w:rPr>
        <w:t>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84" w:lineRule="exact"/>
        <w:rPr>
          <w:sz w:val="20"/>
          <w:szCs w:val="20"/>
          <w:color w:val="auto"/>
        </w:rPr>
      </w:pPr>
    </w:p>
    <w:p>
      <w:pPr>
        <w:ind w:left="180" w:firstLine="465"/>
        <w:spacing w:after="0" w:line="289" w:lineRule="auto"/>
        <w:rPr>
          <w:sz w:val="20"/>
          <w:szCs w:val="20"/>
          <w:color w:val="auto"/>
        </w:rPr>
      </w:pPr>
      <w:r>
        <w:rPr>
          <w:rFonts w:ascii="Arial" w:cs="Arial" w:eastAsia="Arial" w:hAnsi="Arial"/>
          <w:sz w:val="17"/>
          <w:szCs w:val="17"/>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Japan</w:t>
      </w:r>
    </w:p>
    <w:p>
      <w:pPr>
        <w:spacing w:after="0" w:line="124" w:lineRule="exact"/>
        <w:rPr>
          <w:sz w:val="20"/>
          <w:szCs w:val="20"/>
          <w:color w:val="auto"/>
        </w:rPr>
      </w:pPr>
    </w:p>
    <w:p>
      <w:pPr>
        <w:ind w:left="180" w:right="200" w:firstLine="465"/>
        <w:spacing w:after="0" w:line="336" w:lineRule="auto"/>
        <w:rPr>
          <w:sz w:val="20"/>
          <w:szCs w:val="20"/>
          <w:color w:val="auto"/>
        </w:rPr>
      </w:pPr>
      <w:r>
        <w:rPr>
          <w:rFonts w:ascii="Arial" w:cs="Arial" w:eastAsia="Arial" w:hAnsi="Arial"/>
          <w:sz w:val="17"/>
          <w:szCs w:val="17"/>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7" w:lineRule="exact"/>
        <w:rPr>
          <w:sz w:val="20"/>
          <w:szCs w:val="20"/>
          <w:color w:val="auto"/>
        </w:rPr>
      </w:pPr>
    </w:p>
    <w:p>
      <w:pPr>
        <w:ind w:left="180" w:right="180" w:firstLine="465"/>
        <w:spacing w:after="0" w:line="256" w:lineRule="auto"/>
        <w:rPr>
          <w:sz w:val="20"/>
          <w:szCs w:val="20"/>
          <w:color w:val="auto"/>
        </w:rPr>
      </w:pPr>
      <w:r>
        <w:rPr>
          <w:rFonts w:ascii="Arial" w:cs="Arial" w:eastAsia="Arial" w:hAnsi="Arial"/>
          <w:sz w:val="19"/>
          <w:szCs w:val="19"/>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For Qualified Institutional Investors (QII)</w:t>
      </w:r>
    </w:p>
    <w:p>
      <w:pPr>
        <w:spacing w:after="0" w:line="124" w:lineRule="exact"/>
        <w:rPr>
          <w:sz w:val="20"/>
          <w:szCs w:val="20"/>
          <w:color w:val="auto"/>
        </w:rPr>
      </w:pPr>
    </w:p>
    <w:p>
      <w:pPr>
        <w:ind w:left="180" w:right="20" w:firstLine="465"/>
        <w:spacing w:after="0" w:line="298"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For Non-QII Investors</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Australia</w:t>
      </w:r>
    </w:p>
    <w:p>
      <w:pPr>
        <w:spacing w:after="0" w:line="124"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132</w:t>
      </w:r>
    </w:p>
    <w:p>
      <w:pPr>
        <w:sectPr>
          <w:pgSz w:w="12240" w:h="15840" w:orient="portrait"/>
          <w:cols w:equalWidth="0" w:num="1">
            <w:col w:w="11800"/>
          </w:cols>
          <w:pgMar w:left="120" w:top="336" w:right="320" w:bottom="1440" w:gutter="0" w:footer="0" w:header="0"/>
        </w:sectPr>
      </w:pPr>
    </w:p>
    <w:bookmarkStart w:id="137" w:name="page138"/>
    <w:bookmarkEnd w:id="13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right="40" w:firstLine="465"/>
        <w:spacing w:after="0" w:line="259" w:lineRule="auto"/>
        <w:rPr>
          <w:sz w:val="20"/>
          <w:szCs w:val="20"/>
          <w:color w:val="auto"/>
        </w:rPr>
      </w:pPr>
      <w:r>
        <w:rPr>
          <w:rFonts w:ascii="Arial" w:cs="Arial" w:eastAsia="Arial" w:hAnsi="Arial"/>
          <w:sz w:val="19"/>
          <w:szCs w:val="19"/>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98" w:lineRule="exact"/>
        <w:rPr>
          <w:sz w:val="20"/>
          <w:szCs w:val="20"/>
          <w:color w:val="auto"/>
        </w:rPr>
      </w:pPr>
    </w:p>
    <w:p>
      <w:pPr>
        <w:ind w:left="180" w:right="60" w:firstLine="465"/>
        <w:spacing w:after="0" w:line="298" w:lineRule="auto"/>
        <w:rPr>
          <w:sz w:val="20"/>
          <w:szCs w:val="20"/>
          <w:color w:val="auto"/>
        </w:rPr>
      </w:pPr>
      <w:r>
        <w:rPr>
          <w:rFonts w:ascii="Arial" w:cs="Arial" w:eastAsia="Arial" w:hAnsi="Arial"/>
          <w:sz w:val="17"/>
          <w:szCs w:val="17"/>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70"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Dubai International Financial Centre</w:t>
      </w:r>
    </w:p>
    <w:p>
      <w:pPr>
        <w:spacing w:after="0" w:line="124" w:lineRule="exact"/>
        <w:rPr>
          <w:sz w:val="20"/>
          <w:szCs w:val="20"/>
          <w:color w:val="auto"/>
        </w:rPr>
      </w:pPr>
    </w:p>
    <w:p>
      <w:pPr>
        <w:ind w:left="180" w:right="40" w:firstLine="465"/>
        <w:spacing w:after="0" w:line="254" w:lineRule="auto"/>
        <w:rPr>
          <w:sz w:val="20"/>
          <w:szCs w:val="20"/>
          <w:color w:val="auto"/>
        </w:rPr>
      </w:pPr>
      <w:r>
        <w:rPr>
          <w:rFonts w:ascii="Arial" w:cs="Arial" w:eastAsia="Arial" w:hAnsi="Arial"/>
          <w:sz w:val="19"/>
          <w:szCs w:val="19"/>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321"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Switzerland</w:t>
      </w:r>
    </w:p>
    <w:p>
      <w:pPr>
        <w:spacing w:after="0" w:line="124" w:lineRule="exact"/>
        <w:rPr>
          <w:sz w:val="20"/>
          <w:szCs w:val="20"/>
          <w:color w:val="auto"/>
        </w:rPr>
      </w:pPr>
    </w:p>
    <w:p>
      <w:pPr>
        <w:ind w:left="180" w:right="60" w:firstLine="465"/>
        <w:spacing w:after="0" w:line="282" w:lineRule="auto"/>
        <w:rPr>
          <w:sz w:val="20"/>
          <w:szCs w:val="20"/>
          <w:color w:val="auto"/>
        </w:rPr>
      </w:pPr>
      <w:r>
        <w:rPr>
          <w:rFonts w:ascii="Arial" w:cs="Arial" w:eastAsia="Arial" w:hAnsi="Arial"/>
          <w:sz w:val="17"/>
          <w:szCs w:val="17"/>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4" w:lineRule="exact"/>
        <w:rPr>
          <w:sz w:val="20"/>
          <w:szCs w:val="20"/>
          <w:color w:val="auto"/>
        </w:rPr>
      </w:pPr>
    </w:p>
    <w:p>
      <w:pPr>
        <w:ind w:left="180"/>
        <w:spacing w:after="0" w:line="285" w:lineRule="auto"/>
        <w:rPr>
          <w:sz w:val="20"/>
          <w:szCs w:val="20"/>
          <w:color w:val="auto"/>
        </w:rPr>
      </w:pPr>
      <w:r>
        <w:rPr>
          <w:rFonts w:ascii="Arial" w:cs="Arial" w:eastAsia="Arial" w:hAnsi="Arial"/>
          <w:sz w:val="17"/>
          <w:szCs w:val="17"/>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133</w:t>
      </w:r>
    </w:p>
    <w:p>
      <w:pPr>
        <w:sectPr>
          <w:pgSz w:w="12240" w:h="15840" w:orient="portrait"/>
          <w:cols w:equalWidth="0" w:num="1">
            <w:col w:w="11820"/>
          </w:cols>
          <w:pgMar w:left="120" w:top="336" w:right="300" w:bottom="1440" w:gutter="0" w:footer="0" w:header="0"/>
        </w:sectPr>
      </w:pPr>
    </w:p>
    <w:bookmarkStart w:id="138" w:name="page139"/>
    <w:bookmarkEnd w:id="13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LEGAL MATTERS</w:t>
      </w:r>
    </w:p>
    <w:p>
      <w:pPr>
        <w:spacing w:after="0" w:line="244" w:lineRule="exact"/>
        <w:rPr>
          <w:sz w:val="20"/>
          <w:szCs w:val="20"/>
          <w:color w:val="auto"/>
        </w:rPr>
      </w:pPr>
    </w:p>
    <w:p>
      <w:pPr>
        <w:ind w:left="180" w:right="160" w:firstLine="465"/>
        <w:spacing w:after="0" w:line="308" w:lineRule="auto"/>
        <w:rPr>
          <w:sz w:val="20"/>
          <w:szCs w:val="20"/>
          <w:color w:val="auto"/>
        </w:rPr>
      </w:pPr>
      <w:r>
        <w:rPr>
          <w:rFonts w:ascii="Arial" w:cs="Arial" w:eastAsia="Arial" w:hAnsi="Arial"/>
          <w:sz w:val="17"/>
          <w:szCs w:val="17"/>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December 31, 2018.</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EXPERTS</w:t>
      </w:r>
    </w:p>
    <w:p>
      <w:pPr>
        <w:spacing w:after="0" w:line="244" w:lineRule="exact"/>
        <w:rPr>
          <w:sz w:val="20"/>
          <w:szCs w:val="20"/>
          <w:color w:val="auto"/>
        </w:rPr>
      </w:pPr>
    </w:p>
    <w:p>
      <w:pPr>
        <w:ind w:left="180" w:firstLine="465"/>
        <w:spacing w:after="0" w:line="263" w:lineRule="auto"/>
        <w:rPr>
          <w:sz w:val="20"/>
          <w:szCs w:val="20"/>
          <w:color w:val="auto"/>
        </w:rPr>
      </w:pPr>
      <w:r>
        <w:rPr>
          <w:rFonts w:ascii="Arial" w:cs="Arial" w:eastAsia="Arial" w:hAnsi="Arial"/>
          <w:sz w:val="19"/>
          <w:szCs w:val="19"/>
          <w:color w:val="auto"/>
        </w:rPr>
        <w:t>The consolidated financial statements as of January 31, 2017 and January 31, 2018 and for each of the years then ended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WHERE YOU CAN FIND MORE INFORMATION</w:t>
      </w:r>
    </w:p>
    <w:p>
      <w:pPr>
        <w:spacing w:after="0" w:line="244"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You can read our SEC filings, including the registration statement, over the Internet at the SEC’s website at www.sec.gov.</w:t>
      </w:r>
    </w:p>
    <w:p>
      <w:pPr>
        <w:spacing w:after="0" w:line="23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Upon the completion of this offering, we will be subject to the information reporting requirements of the Securities Exchange Act of 1934 and we will file reports, proxy statements and other information with the SEC. We also maintain a website at https://zoom.us,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134</w:t>
      </w:r>
    </w:p>
    <w:p>
      <w:pPr>
        <w:sectPr>
          <w:pgSz w:w="12240" w:h="15840" w:orient="portrait"/>
          <w:cols w:equalWidth="0" w:num="1">
            <w:col w:w="11780"/>
          </w:cols>
          <w:pgMar w:left="120" w:top="336" w:right="340" w:bottom="1440" w:gutter="0" w:footer="0" w:header="0"/>
        </w:sectPr>
      </w:pPr>
    </w:p>
    <w:bookmarkStart w:id="139" w:name="page140"/>
    <w:bookmarkEnd w:id="13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ZOOM VIDEO COMMUNICATIONS, INC.</w:t>
      </w:r>
    </w:p>
    <w:p>
      <w:pPr>
        <w:spacing w:after="0" w:line="238"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auto"/>
        </w:rPr>
        <w:t>INDEX TO CONSOLIDATED FINANCIAL STATEMENTS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460" w:type="dxa"/>
            <w:vAlign w:val="bottom"/>
            <w:gridSpan w:val="6"/>
            <w:vMerge w:val="restart"/>
          </w:tcPr>
          <w:p>
            <w:pPr>
              <w:spacing w:after="0"/>
              <w:rPr>
                <w:rFonts w:ascii="Arial" w:cs="Arial" w:eastAsia="Arial" w:hAnsi="Arial"/>
                <w:sz w:val="19"/>
                <w:szCs w:val="19"/>
                <w:color w:val="0000EE"/>
                <w:w w:val="91"/>
              </w:rPr>
            </w:pPr>
            <w:hyperlink w:anchor="page141">
              <w:r>
                <w:rPr>
                  <w:rFonts w:ascii="Arial" w:cs="Arial" w:eastAsia="Arial" w:hAnsi="Arial"/>
                  <w:sz w:val="19"/>
                  <w:szCs w:val="19"/>
                  <w:color w:val="0000EE"/>
                  <w:w w:val="91"/>
                </w:rPr>
                <w:t>Report of Independent Registered Public Accounting Firm</w:t>
              </w:r>
            </w:hyperlink>
          </w:p>
        </w:tc>
        <w:tc>
          <w:tcPr>
            <w:tcW w:w="6800" w:type="dxa"/>
            <w:vAlign w:val="bottom"/>
            <w:gridSpan w:val="2"/>
            <w:vMerge w:val="restart"/>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5"/>
                <w:szCs w:val="15"/>
                <w:b w:val="1"/>
                <w:bCs w:val="1"/>
                <w:color w:val="auto"/>
                <w:w w:val="89"/>
              </w:rPr>
              <w:t>Page</w:t>
            </w:r>
          </w:p>
        </w:tc>
        <w:tc>
          <w:tcPr>
            <w:tcW w:w="0" w:type="dxa"/>
            <w:vAlign w:val="bottom"/>
          </w:tcPr>
          <w:p>
            <w:pPr>
              <w:spacing w:after="0"/>
              <w:rPr>
                <w:sz w:val="1"/>
                <w:szCs w:val="1"/>
                <w:color w:val="auto"/>
              </w:rPr>
            </w:pPr>
          </w:p>
        </w:tc>
      </w:tr>
      <w:tr>
        <w:trPr>
          <w:trHeight w:val="185"/>
        </w:trPr>
        <w:tc>
          <w:tcPr>
            <w:tcW w:w="4460" w:type="dxa"/>
            <w:vAlign w:val="bottom"/>
            <w:tcBorders>
              <w:bottom w:val="single" w:sz="8" w:color="0000EE"/>
            </w:tcBorders>
            <w:gridSpan w:val="6"/>
            <w:vMerge w:val="continue"/>
          </w:tcPr>
          <w:p>
            <w:pPr>
              <w:spacing w:after="0"/>
              <w:rPr>
                <w:sz w:val="15"/>
                <w:szCs w:val="15"/>
                <w:color w:val="auto"/>
              </w:rPr>
            </w:pPr>
          </w:p>
        </w:tc>
        <w:tc>
          <w:tcPr>
            <w:tcW w:w="6800" w:type="dxa"/>
            <w:vAlign w:val="bottom"/>
            <w:gridSpan w:val="2"/>
            <w:vMerge w:val="continue"/>
          </w:tcPr>
          <w:p>
            <w:pPr>
              <w:spacing w:after="0"/>
              <w:rPr>
                <w:sz w:val="15"/>
                <w:szCs w:val="15"/>
                <w:color w:val="auto"/>
              </w:rPr>
            </w:pPr>
          </w:p>
        </w:tc>
        <w:tc>
          <w:tcPr>
            <w:tcW w:w="320" w:type="dxa"/>
            <w:vAlign w:val="bottom"/>
            <w:tcBorders>
              <w:top w:val="single" w:sz="8" w:color="auto"/>
            </w:tcBorders>
          </w:tcPr>
          <w:p>
            <w:pPr>
              <w:ind w:left="60"/>
              <w:spacing w:after="0" w:line="180" w:lineRule="exact"/>
              <w:rPr>
                <w:sz w:val="20"/>
                <w:szCs w:val="20"/>
                <w:color w:val="auto"/>
              </w:rPr>
            </w:pPr>
            <w:r>
              <w:rPr>
                <w:rFonts w:ascii="Arial" w:cs="Arial" w:eastAsia="Arial" w:hAnsi="Arial"/>
                <w:sz w:val="19"/>
                <w:szCs w:val="19"/>
                <w:color w:val="auto"/>
                <w:w w:val="84"/>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1260" w:type="dxa"/>
            <w:vAlign w:val="bottom"/>
            <w:gridSpan w:val="8"/>
          </w:tcPr>
          <w:p>
            <w:pPr>
              <w:spacing w:after="0" w:line="208" w:lineRule="exact"/>
              <w:rPr>
                <w:rFonts w:ascii="Arial" w:cs="Arial" w:eastAsia="Arial" w:hAnsi="Arial"/>
                <w:sz w:val="19"/>
                <w:szCs w:val="19"/>
                <w:color w:val="0000EE"/>
              </w:rPr>
            </w:pPr>
            <w:hyperlink w:anchor="page142">
              <w:r>
                <w:rPr>
                  <w:rFonts w:ascii="Arial" w:cs="Arial" w:eastAsia="Arial" w:hAnsi="Arial"/>
                  <w:sz w:val="19"/>
                  <w:szCs w:val="19"/>
                  <w:color w:val="0000EE"/>
                </w:rPr>
                <w:t>Consolidated Balance Sheets</w:t>
              </w:r>
            </w:hyperlink>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F-3</w:t>
            </w:r>
          </w:p>
        </w:tc>
        <w:tc>
          <w:tcPr>
            <w:tcW w:w="0" w:type="dxa"/>
            <w:vAlign w:val="bottom"/>
          </w:tcPr>
          <w:p>
            <w:pPr>
              <w:spacing w:after="0"/>
              <w:rPr>
                <w:sz w:val="1"/>
                <w:szCs w:val="1"/>
                <w:color w:val="auto"/>
              </w:rPr>
            </w:pPr>
          </w:p>
        </w:tc>
      </w:tr>
      <w:tr>
        <w:trPr>
          <w:trHeight w:val="20"/>
        </w:trPr>
        <w:tc>
          <w:tcPr>
            <w:tcW w:w="2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Borders>
              <w:bottom w:val="single" w:sz="8" w:color="0000EE"/>
            </w:tcBorders>
            <w:gridSpan w:val="2"/>
          </w:tcPr>
          <w:p>
            <w:pPr>
              <w:spacing w:after="0" w:line="208" w:lineRule="exact"/>
              <w:rPr>
                <w:rFonts w:ascii="Arial" w:cs="Arial" w:eastAsia="Arial" w:hAnsi="Arial"/>
                <w:sz w:val="19"/>
                <w:szCs w:val="19"/>
                <w:color w:val="0000EE"/>
                <w:w w:val="89"/>
              </w:rPr>
            </w:pPr>
            <w:hyperlink w:anchor="page143">
              <w:r>
                <w:rPr>
                  <w:rFonts w:ascii="Arial" w:cs="Arial" w:eastAsia="Arial" w:hAnsi="Arial"/>
                  <w:sz w:val="19"/>
                  <w:szCs w:val="19"/>
                  <w:color w:val="0000EE"/>
                  <w:w w:val="89"/>
                </w:rPr>
                <w:t>Consolidated Statements of Operations</w:t>
              </w:r>
            </w:hyperlink>
          </w:p>
        </w:tc>
        <w:tc>
          <w:tcPr>
            <w:tcW w:w="8280" w:type="dxa"/>
            <w:vAlign w:val="bottom"/>
            <w:gridSpan w:val="6"/>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F-4</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0000EE"/>
            </w:tcBorders>
            <w:gridSpan w:val="5"/>
          </w:tcPr>
          <w:p>
            <w:pPr>
              <w:spacing w:after="0" w:line="208" w:lineRule="exact"/>
              <w:rPr>
                <w:rFonts w:ascii="Arial" w:cs="Arial" w:eastAsia="Arial" w:hAnsi="Arial"/>
                <w:sz w:val="19"/>
                <w:szCs w:val="19"/>
                <w:color w:val="0000EE"/>
                <w:w w:val="89"/>
              </w:rPr>
            </w:pPr>
            <w:hyperlink w:anchor="page144">
              <w:r>
                <w:rPr>
                  <w:rFonts w:ascii="Arial" w:cs="Arial" w:eastAsia="Arial" w:hAnsi="Arial"/>
                  <w:sz w:val="19"/>
                  <w:szCs w:val="19"/>
                  <w:color w:val="0000EE"/>
                  <w:w w:val="89"/>
                </w:rPr>
                <w:t>Consolidated Statements of Comprehensive Loss</w:t>
              </w:r>
            </w:hyperlink>
          </w:p>
        </w:tc>
        <w:tc>
          <w:tcPr>
            <w:tcW w:w="7520" w:type="dxa"/>
            <w:vAlign w:val="bottom"/>
            <w:gridSpan w:val="3"/>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F-5</w:t>
            </w:r>
          </w:p>
        </w:tc>
        <w:tc>
          <w:tcPr>
            <w:tcW w:w="0" w:type="dxa"/>
            <w:vAlign w:val="bottom"/>
          </w:tcPr>
          <w:p>
            <w:pPr>
              <w:spacing w:after="0"/>
              <w:rPr>
                <w:sz w:val="1"/>
                <w:szCs w:val="1"/>
                <w:color w:val="auto"/>
              </w:rPr>
            </w:pPr>
          </w:p>
        </w:tc>
      </w:tr>
      <w:tr>
        <w:trPr>
          <w:trHeight w:val="208"/>
        </w:trPr>
        <w:tc>
          <w:tcPr>
            <w:tcW w:w="6260" w:type="dxa"/>
            <w:vAlign w:val="bottom"/>
            <w:tcBorders>
              <w:bottom w:val="single" w:sz="8" w:color="0000EE"/>
            </w:tcBorders>
            <w:gridSpan w:val="7"/>
          </w:tcPr>
          <w:p>
            <w:pPr>
              <w:spacing w:after="0" w:line="208" w:lineRule="exact"/>
              <w:rPr>
                <w:rFonts w:ascii="Arial" w:cs="Arial" w:eastAsia="Arial" w:hAnsi="Arial"/>
                <w:sz w:val="19"/>
                <w:szCs w:val="19"/>
                <w:color w:val="0000EE"/>
                <w:w w:val="90"/>
              </w:rPr>
            </w:pPr>
            <w:hyperlink w:anchor="page145">
              <w:r>
                <w:rPr>
                  <w:rFonts w:ascii="Arial" w:cs="Arial" w:eastAsia="Arial" w:hAnsi="Arial"/>
                  <w:sz w:val="19"/>
                  <w:szCs w:val="19"/>
                  <w:color w:val="0000EE"/>
                  <w:w w:val="90"/>
                </w:rPr>
                <w:t>Consolidated Statements of Convertible Preferred Stock and Stockholders’ Deficit</w:t>
              </w:r>
            </w:hyperlink>
          </w:p>
        </w:tc>
        <w:tc>
          <w:tcPr>
            <w:tcW w:w="5000" w:type="dxa"/>
            <w:vAlign w:val="bottom"/>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F-6</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0000EE"/>
            </w:tcBorders>
            <w:gridSpan w:val="3"/>
          </w:tcPr>
          <w:p>
            <w:pPr>
              <w:spacing w:after="0" w:line="208" w:lineRule="exact"/>
              <w:rPr>
                <w:rFonts w:ascii="Arial" w:cs="Arial" w:eastAsia="Arial" w:hAnsi="Arial"/>
                <w:sz w:val="19"/>
                <w:szCs w:val="19"/>
                <w:color w:val="0000EE"/>
                <w:w w:val="89"/>
              </w:rPr>
            </w:pPr>
            <w:hyperlink w:anchor="page146">
              <w:r>
                <w:rPr>
                  <w:rFonts w:ascii="Arial" w:cs="Arial" w:eastAsia="Arial" w:hAnsi="Arial"/>
                  <w:sz w:val="19"/>
                  <w:szCs w:val="19"/>
                  <w:color w:val="0000EE"/>
                  <w:w w:val="89"/>
                </w:rPr>
                <w:t>Consolidated Statements of Cash Flows</w:t>
              </w:r>
            </w:hyperlink>
          </w:p>
        </w:tc>
        <w:tc>
          <w:tcPr>
            <w:tcW w:w="8220" w:type="dxa"/>
            <w:vAlign w:val="bottom"/>
            <w:gridSpan w:val="5"/>
          </w:tcPr>
          <w:p>
            <w:pPr>
              <w:spacing w:after="0"/>
              <w:rPr>
                <w:sz w:val="18"/>
                <w:szCs w:val="18"/>
                <w:color w:val="auto"/>
              </w:rPr>
            </w:pPr>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F-7</w:t>
            </w:r>
          </w:p>
        </w:tc>
        <w:tc>
          <w:tcPr>
            <w:tcW w:w="0" w:type="dxa"/>
            <w:vAlign w:val="bottom"/>
          </w:tcPr>
          <w:p>
            <w:pPr>
              <w:spacing w:after="0"/>
              <w:rPr>
                <w:sz w:val="1"/>
                <w:szCs w:val="1"/>
                <w:color w:val="auto"/>
              </w:rPr>
            </w:pPr>
          </w:p>
        </w:tc>
      </w:tr>
      <w:tr>
        <w:trPr>
          <w:trHeight w:val="208"/>
        </w:trPr>
        <w:tc>
          <w:tcPr>
            <w:tcW w:w="11260" w:type="dxa"/>
            <w:vAlign w:val="bottom"/>
            <w:gridSpan w:val="8"/>
          </w:tcPr>
          <w:p>
            <w:pPr>
              <w:spacing w:after="0" w:line="208" w:lineRule="exact"/>
              <w:rPr>
                <w:rFonts w:ascii="Arial" w:cs="Arial" w:eastAsia="Arial" w:hAnsi="Arial"/>
                <w:sz w:val="19"/>
                <w:szCs w:val="19"/>
                <w:color w:val="0000EE"/>
              </w:rPr>
            </w:pPr>
            <w:hyperlink w:anchor="page147">
              <w:r>
                <w:rPr>
                  <w:rFonts w:ascii="Arial" w:cs="Arial" w:eastAsia="Arial" w:hAnsi="Arial"/>
                  <w:sz w:val="19"/>
                  <w:szCs w:val="19"/>
                  <w:color w:val="0000EE"/>
                </w:rPr>
                <w:t>Notes to Consolidated Financial Statements</w:t>
              </w:r>
            </w:hyperlink>
          </w:p>
        </w:tc>
        <w:tc>
          <w:tcPr>
            <w:tcW w:w="340" w:type="dxa"/>
            <w:vAlign w:val="bottom"/>
            <w:gridSpan w:val="2"/>
          </w:tcPr>
          <w:p>
            <w:pPr>
              <w:ind w:left="60"/>
              <w:spacing w:after="0" w:line="208" w:lineRule="exact"/>
              <w:rPr>
                <w:sz w:val="20"/>
                <w:szCs w:val="20"/>
                <w:color w:val="auto"/>
              </w:rPr>
            </w:pPr>
            <w:r>
              <w:rPr>
                <w:rFonts w:ascii="Arial" w:cs="Arial" w:eastAsia="Arial" w:hAnsi="Arial"/>
                <w:sz w:val="19"/>
                <w:szCs w:val="19"/>
                <w:color w:val="auto"/>
                <w:w w:val="91"/>
              </w:rPr>
              <w:t>F-8</w:t>
            </w:r>
          </w:p>
        </w:tc>
        <w:tc>
          <w:tcPr>
            <w:tcW w:w="0" w:type="dxa"/>
            <w:vAlign w:val="bottom"/>
          </w:tcPr>
          <w:p>
            <w:pPr>
              <w:spacing w:after="0"/>
              <w:rPr>
                <w:sz w:val="1"/>
                <w:szCs w:val="1"/>
                <w:color w:val="auto"/>
              </w:rPr>
            </w:pPr>
          </w:p>
        </w:tc>
      </w:tr>
      <w:tr>
        <w:trPr>
          <w:trHeight w:val="407"/>
        </w:trPr>
        <w:tc>
          <w:tcPr>
            <w:tcW w:w="2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0" w:type="dxa"/>
            <w:vAlign w:val="bottom"/>
            <w:gridSpan w:val="2"/>
          </w:tcPr>
          <w:p>
            <w:pPr>
              <w:ind w:left="1220"/>
              <w:spacing w:after="0"/>
              <w:rPr>
                <w:sz w:val="20"/>
                <w:szCs w:val="20"/>
                <w:color w:val="auto"/>
              </w:rPr>
            </w:pPr>
            <w:r>
              <w:rPr>
                <w:rFonts w:ascii="Arial" w:cs="Arial" w:eastAsia="Arial" w:hAnsi="Arial"/>
                <w:sz w:val="19"/>
                <w:szCs w:val="19"/>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760"/>
          </w:cols>
          <w:pgMar w:left="120" w:top="336" w:right="360" w:bottom="1440" w:gutter="0" w:footer="0" w:header="0"/>
        </w:sectPr>
      </w:pPr>
    </w:p>
    <w:bookmarkStart w:id="140" w:name="page141"/>
    <w:bookmarkEnd w:id="14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To the Board of Directors and Stockholders of Zoom Video Communications, Inc.:</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Opinion on the Consolidated Financial Statements</w:t>
      </w:r>
    </w:p>
    <w:p>
      <w:pPr>
        <w:spacing w:after="0" w:line="124" w:lineRule="exact"/>
        <w:rPr>
          <w:sz w:val="20"/>
          <w:szCs w:val="20"/>
          <w:color w:val="auto"/>
        </w:rPr>
      </w:pPr>
    </w:p>
    <w:p>
      <w:pPr>
        <w:ind w:left="180" w:right="40" w:firstLine="465"/>
        <w:spacing w:after="0" w:line="294" w:lineRule="auto"/>
        <w:rPr>
          <w:sz w:val="20"/>
          <w:szCs w:val="20"/>
          <w:color w:val="auto"/>
        </w:rPr>
      </w:pPr>
      <w:r>
        <w:rPr>
          <w:rFonts w:ascii="Arial" w:cs="Arial" w:eastAsia="Arial" w:hAnsi="Arial"/>
          <w:sz w:val="17"/>
          <w:szCs w:val="17"/>
          <w:color w:val="auto"/>
        </w:rPr>
        <w:t>We have audited the accompanying consolidated balance sheets of Zoom Video Communications, Inc. and subsidiaries (the Company) as of January 31, 2017 and 2018, the related consolidated statements of operations, comprehensive loss, convertible preferred stock and stockholders’ deficit, and cash flows for each of the years then ended, and the related notes (collectively, the consolidated financial statements). In our opinion, the consolidated financial statements present fairly, in all material respects, the financial position of the Company as of January 31, 2017 and 2018, and the results of its operations and its cash flows for each of the years then ended, in conformity with U.S. generally accepted accounting principles.</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Basis for Opinion</w:t>
      </w:r>
    </w:p>
    <w:p>
      <w:pPr>
        <w:spacing w:after="0" w:line="124"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180" w:firstLine="465"/>
        <w:spacing w:after="0" w:line="27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80" w:right="260" w:firstLine="465"/>
        <w:spacing w:after="0" w:line="256"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4" w:lineRule="exact"/>
        <w:rPr>
          <w:sz w:val="20"/>
          <w:szCs w:val="20"/>
          <w:color w:val="auto"/>
        </w:rPr>
      </w:pPr>
    </w:p>
    <w:p>
      <w:pPr>
        <w:ind w:left="7900"/>
        <w:spacing w:after="0"/>
        <w:rPr>
          <w:sz w:val="20"/>
          <w:szCs w:val="20"/>
          <w:color w:val="auto"/>
        </w:rPr>
      </w:pPr>
      <w:r>
        <w:rPr>
          <w:rFonts w:ascii="Arial" w:cs="Arial" w:eastAsia="Arial" w:hAnsi="Arial"/>
          <w:sz w:val="19"/>
          <w:szCs w:val="19"/>
          <w:color w:val="auto"/>
        </w:rPr>
        <w:t>/s/ KPMG LLP</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We have served as the Company’s auditor since 2016.</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San Francisco, California</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December 20, 2018</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F-2</w:t>
      </w:r>
    </w:p>
    <w:p>
      <w:pPr>
        <w:sectPr>
          <w:pgSz w:w="12240" w:h="15840" w:orient="portrait"/>
          <w:cols w:equalWidth="0" w:num="1">
            <w:col w:w="11780"/>
          </w:cols>
          <w:pgMar w:left="120" w:top="336" w:right="340" w:bottom="1440" w:gutter="0" w:footer="0" w:header="0"/>
        </w:sectPr>
      </w:pPr>
    </w:p>
    <w:bookmarkStart w:id="141" w:name="page142"/>
    <w:bookmarkEnd w:id="14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BALANCE SHEETS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restart"/>
          </w:tcPr>
          <w:p>
            <w:pPr>
              <w:jc w:val="right"/>
              <w:ind w:right="680"/>
              <w:spacing w:after="0"/>
              <w:rPr>
                <w:sz w:val="20"/>
                <w:szCs w:val="20"/>
                <w:color w:val="auto"/>
              </w:rPr>
            </w:pPr>
            <w:r>
              <w:rPr>
                <w:rFonts w:ascii="Arial" w:cs="Arial" w:eastAsia="Arial" w:hAnsi="Arial"/>
                <w:sz w:val="15"/>
                <w:szCs w:val="15"/>
                <w:b w:val="1"/>
                <w:bCs w:val="1"/>
                <w:color w:val="auto"/>
              </w:rPr>
              <w:t>As of January 31,</w:t>
            </w: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Pro Forma</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880" w:type="dxa"/>
            <w:vAlign w:val="bottom"/>
            <w:gridSpan w:val="2"/>
          </w:tcPr>
          <w:p>
            <w:pPr>
              <w:jc w:val="center"/>
              <w:ind w:right="140"/>
              <w:spacing w:after="0" w:line="166" w:lineRule="exact"/>
              <w:rPr>
                <w:sz w:val="20"/>
                <w:szCs w:val="20"/>
                <w:color w:val="auto"/>
              </w:rPr>
            </w:pPr>
            <w:r>
              <w:rPr>
                <w:rFonts w:ascii="Arial" w:cs="Arial" w:eastAsia="Arial" w:hAnsi="Arial"/>
                <w:sz w:val="15"/>
                <w:szCs w:val="15"/>
                <w:b w:val="1"/>
                <w:bCs w:val="1"/>
                <w:color w:val="auto"/>
                <w:w w:val="85"/>
              </w:rPr>
              <w:t>as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center"/>
              <w:ind w:right="120"/>
              <w:spacing w:after="0" w:line="128"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80"/>
        </w:trPr>
        <w:tc>
          <w:tcPr>
            <w:tcW w:w="86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Assets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2017</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2018</w:t>
            </w:r>
          </w:p>
        </w:tc>
        <w:tc>
          <w:tcPr>
            <w:tcW w:w="3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(unaudited)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Current assets: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w w:val="87"/>
              </w:rPr>
              <w:t>134,324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36,146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Marketable securities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103,056</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w w:val="93"/>
              </w:rPr>
              <w:t>Accounts receivable, net of allowances of $922 and $560 as of January 31, 2017 and 2018, respectively</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9,884</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24,526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contract acquisition costs, current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5,261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13,888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Prepaid expenses and other current assets</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2,410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5,546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assets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87"/>
              </w:rPr>
              <w:t>151,879</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183,162</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Property and equipment, net</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5,660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13,032</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Deferred contract acquisition costs, non-current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6,878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16,698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Other assets, non-current</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379</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2,127</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87"/>
              </w:rPr>
              <w:t>164,796</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215,019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Liabilities, Convertible Preferred Stock and Stockholders’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Current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1,475</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2,723</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6,061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15,455</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Deferred revenue, current</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21,336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50,351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liabilities</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28,872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68,529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9"/>
                <w:szCs w:val="19"/>
                <w:color w:val="auto"/>
              </w:rPr>
              <w:t>Deferred revenue, non-current</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1,430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3,911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Other liabilities, non-current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3,575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9,698</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33,877</w:t>
            </w:r>
          </w:p>
        </w:tc>
        <w:tc>
          <w:tcPr>
            <w:tcW w:w="10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rPr>
              <w:t>82,138</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Commitments and contingencies (Note 5)</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spacing w:after="0" w:line="214" w:lineRule="exact"/>
              <w:rPr>
                <w:sz w:val="20"/>
                <w:szCs w:val="20"/>
                <w:color w:val="auto"/>
              </w:rPr>
            </w:pPr>
            <w:r>
              <w:rPr>
                <w:rFonts w:ascii="Arial" w:cs="Arial" w:eastAsia="Arial" w:hAnsi="Arial"/>
                <w:sz w:val="19"/>
                <w:szCs w:val="19"/>
                <w:color w:val="auto"/>
                <w:w w:val="91"/>
              </w:rPr>
              <w:t>Convertible preferred stock, $0.001 par value per share, 158,104,540 shares authorized as of January 31, 2017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rPr>
              <w:t>and 2018, 154,031,604 and 152,665,804 issued and outstanding as of January 31, 2017 and 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w w:val="93"/>
              </w:rPr>
              <w:t>respectively; aggregate liquidation preference of $160,929 and $160,724 as of January 31, 2017 and 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9"/>
                <w:szCs w:val="19"/>
                <w:color w:val="auto"/>
              </w:rPr>
              <w:t>respectively; no shares issued and outstanding as of January 31, 2018, pro forma (unaudited)</w:t>
            </w:r>
          </w:p>
        </w:tc>
        <w:tc>
          <w:tcPr>
            <w:tcW w:w="1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w w:val="87"/>
              </w:rPr>
              <w:t>159,757</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9"/>
                <w:szCs w:val="19"/>
                <w:color w:val="auto"/>
                <w:w w:val="90"/>
              </w:rPr>
              <w:t>159,552</w:t>
            </w: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Stockholders’ (deficit) equity:</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ind w:left="360"/>
              <w:spacing w:after="0" w:line="214" w:lineRule="exact"/>
              <w:rPr>
                <w:sz w:val="20"/>
                <w:szCs w:val="20"/>
                <w:color w:val="auto"/>
              </w:rPr>
            </w:pPr>
            <w:r>
              <w:rPr>
                <w:rFonts w:ascii="Arial" w:cs="Arial" w:eastAsia="Arial" w:hAnsi="Arial"/>
                <w:sz w:val="19"/>
                <w:szCs w:val="19"/>
                <w:color w:val="auto"/>
                <w:w w:val="94"/>
              </w:rPr>
              <w:t>Common stock, $0.001 par value per share, 320,000,000 shares authorized as of January 31, 2017 and</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560"/>
              <w:spacing w:after="0"/>
              <w:rPr>
                <w:sz w:val="20"/>
                <w:szCs w:val="20"/>
                <w:color w:val="auto"/>
              </w:rPr>
            </w:pPr>
            <w:r>
              <w:rPr>
                <w:rFonts w:ascii="Arial" w:cs="Arial" w:eastAsia="Arial" w:hAnsi="Arial"/>
                <w:sz w:val="19"/>
                <w:szCs w:val="19"/>
                <w:color w:val="auto"/>
                <w:w w:val="95"/>
              </w:rPr>
              <w:t>2018; 79,650,896 and 82,609,638 shares issued and outstanding as of January 31, 2017 and 2018,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00" w:type="dxa"/>
            <w:vAlign w:val="bottom"/>
          </w:tcPr>
          <w:p>
            <w:pPr>
              <w:ind w:left="560"/>
              <w:spacing w:after="0"/>
              <w:rPr>
                <w:sz w:val="20"/>
                <w:szCs w:val="20"/>
                <w:color w:val="auto"/>
              </w:rPr>
            </w:pPr>
            <w:r>
              <w:rPr>
                <w:rFonts w:ascii="Arial" w:cs="Arial" w:eastAsia="Arial" w:hAnsi="Arial"/>
                <w:sz w:val="19"/>
                <w:szCs w:val="19"/>
                <w:color w:val="auto"/>
                <w:w w:val="92"/>
              </w:rPr>
              <w:t>respectively; 235,275,442 shares issued and outstanding as of January 31, 2018, pro forma (unaudited)</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77</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80</w:t>
            </w: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9"/>
                <w:szCs w:val="19"/>
                <w:color w:val="auto"/>
              </w:rPr>
              <w:t>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Additional paid-in capital</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6,517</w:t>
            </w:r>
          </w:p>
        </w:tc>
        <w:tc>
          <w:tcPr>
            <w:tcW w:w="7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165,916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360"/>
              <w:spacing w:after="0"/>
              <w:rPr>
                <w:sz w:val="20"/>
                <w:szCs w:val="20"/>
                <w:color w:val="auto"/>
              </w:rPr>
            </w:pPr>
            <w:r>
              <w:rPr>
                <w:rFonts w:ascii="Arial" w:cs="Arial" w:eastAsia="Arial" w:hAnsi="Arial"/>
                <w:sz w:val="19"/>
                <w:szCs w:val="19"/>
                <w:color w:val="auto"/>
              </w:rPr>
              <w:t>Accumulated other comprehensive loss</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9"/>
                <w:szCs w:val="19"/>
                <w:color w:val="auto"/>
              </w:rPr>
              <w:t>(531)</w:t>
            </w:r>
          </w:p>
        </w:tc>
        <w:tc>
          <w:tcPr>
            <w:tcW w:w="880" w:type="dxa"/>
            <w:vAlign w:val="bottom"/>
            <w:gridSpan w:val="2"/>
          </w:tcPr>
          <w:p>
            <w:pPr>
              <w:jc w:val="right"/>
              <w:ind w:right="60"/>
              <w:spacing w:after="0"/>
              <w:rPr>
                <w:sz w:val="20"/>
                <w:szCs w:val="20"/>
                <w:color w:val="auto"/>
              </w:rPr>
            </w:pPr>
            <w:r>
              <w:rPr>
                <w:rFonts w:ascii="Arial" w:cs="Arial" w:eastAsia="Arial" w:hAnsi="Arial"/>
                <w:sz w:val="19"/>
                <w:szCs w:val="19"/>
                <w:color w:val="auto"/>
              </w:rPr>
              <w:t>(531)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Accumulated deficit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3"/>
              </w:rPr>
              <w:t>(28,915)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6"/>
              </w:rPr>
              <w:t>(32,737)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(32,737)</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9"/>
                <w:szCs w:val="19"/>
                <w:color w:val="auto"/>
              </w:rPr>
              <w:t>Total Stockholders’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9"/>
                <w:szCs w:val="19"/>
                <w:color w:val="auto"/>
                <w:w w:val="93"/>
              </w:rPr>
              <w:t>(28,838)</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9"/>
                <w:szCs w:val="19"/>
                <w:color w:val="auto"/>
                <w:w w:val="96"/>
              </w:rPr>
              <w:t>(26,671)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7"/>
              </w:rPr>
              <w:t>$ 132,881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9"/>
                <w:szCs w:val="19"/>
                <w:color w:val="auto"/>
              </w:rPr>
              <w:t>Total Liabilities, Convertible Preferred Stock and Stockholders’ (Deficit)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87"/>
              </w:rPr>
              <w:t>164,796</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w w:val="90"/>
              </w:rPr>
              <w:t>215,019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w:t>
      </w:r>
    </w:p>
    <w:p>
      <w:pPr>
        <w:sectPr>
          <w:pgSz w:w="12240" w:h="15840" w:orient="portrait"/>
          <w:cols w:equalWidth="0" w:num="1">
            <w:col w:w="11820"/>
          </w:cols>
          <w:pgMar w:left="120" w:top="336" w:right="300" w:bottom="1440" w:gutter="0" w:footer="0" w:header="0"/>
        </w:sectPr>
      </w:pPr>
    </w:p>
    <w:bookmarkStart w:id="142" w:name="page143"/>
    <w:bookmarkEnd w:id="14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ZOOM VIDEO COMMUNICATIONS, INC. CONSOLIDATED STATEMENTS OF OPERATIONS</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and per share data)</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7"/>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8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60,817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151,478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r>
              <w:rPr>
                <w:rFonts w:ascii="Arial" w:cs="Arial" w:eastAsia="Arial" w:hAnsi="Arial"/>
                <w:sz w:val="19"/>
                <w:szCs w:val="19"/>
                <w:color w:val="auto"/>
              </w:rPr>
              <w:t>Cost of revenue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12,472</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30,780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120,698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Operating expenses: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Research and development</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9,218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15,733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ind w:left="360"/>
              <w:spacing w:after="0"/>
              <w:rPr>
                <w:sz w:val="20"/>
                <w:szCs w:val="20"/>
                <w:color w:val="auto"/>
              </w:rPr>
            </w:pPr>
            <w:r>
              <w:rPr>
                <w:rFonts w:ascii="Arial" w:cs="Arial" w:eastAsia="Arial" w:hAnsi="Arial"/>
                <w:sz w:val="19"/>
                <w:szCs w:val="19"/>
                <w:color w:val="auto"/>
              </w:rPr>
              <w:t>Sales and marketing</w:t>
            </w:r>
          </w:p>
        </w:tc>
        <w:tc>
          <w:tcPr>
            <w:tcW w:w="1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31,580</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rPr>
              <w:t>82,707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General and administrative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7,547</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27,091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740" w:type="dxa"/>
            <w:vAlign w:val="bottom"/>
          </w:tcPr>
          <w:p>
            <w:pPr>
              <w:ind w:left="740"/>
              <w:spacing w:after="0"/>
              <w:rPr>
                <w:sz w:val="20"/>
                <w:szCs w:val="20"/>
                <w:color w:val="auto"/>
              </w:rPr>
            </w:pPr>
            <w:r>
              <w:rPr>
                <w:rFonts w:ascii="Arial" w:cs="Arial" w:eastAsia="Arial" w:hAnsi="Arial"/>
                <w:sz w:val="19"/>
                <w:szCs w:val="19"/>
                <w:color w:val="auto"/>
              </w:rPr>
              <w:t>Total operating expenses</w:t>
            </w: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48,345</w:t>
            </w:r>
          </w:p>
        </w:tc>
        <w:tc>
          <w:tcPr>
            <w:tcW w:w="7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125,531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Loss from operations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(4,833)</w:t>
            </w: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Interest income, net</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98</w:t>
            </w:r>
          </w:p>
        </w:tc>
        <w:tc>
          <w:tcPr>
            <w:tcW w:w="7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1,241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Other income, net</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60</w:t>
            </w:r>
          </w:p>
        </w:tc>
        <w:tc>
          <w:tcPr>
            <w:tcW w:w="7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760" w:type="dxa"/>
            <w:vAlign w:val="bottom"/>
            <w:gridSpan w:val="2"/>
          </w:tcPr>
          <w:p>
            <w:pPr>
              <w:spacing w:after="0"/>
              <w:rPr>
                <w:sz w:val="20"/>
                <w:szCs w:val="20"/>
                <w:color w:val="auto"/>
              </w:rPr>
            </w:pPr>
            <w:r>
              <w:rPr>
                <w:rFonts w:ascii="Arial" w:cs="Arial" w:eastAsia="Arial" w:hAnsi="Arial"/>
                <w:sz w:val="19"/>
                <w:szCs w:val="19"/>
                <w:color w:val="auto"/>
              </w:rPr>
              <w:t>Net income (loss) before provision for income taxes</w:t>
            </w:r>
          </w:p>
        </w:tc>
        <w:tc>
          <w:tcPr>
            <w:tcW w:w="10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rPr>
              <w:t>158</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(3,518)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Provision for income taxes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(172)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rPr>
              <w:t>Net loss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Distributed earnings attributable to participating securities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(14,366)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9"/>
                <w:szCs w:val="19"/>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tcPr>
          <w:p>
            <w:pPr>
              <w:jc w:val="right"/>
              <w:ind w:right="680"/>
              <w:spacing w:after="0"/>
              <w:rPr>
                <w:sz w:val="20"/>
                <w:szCs w:val="20"/>
                <w:color w:val="auto"/>
              </w:rPr>
            </w:pPr>
            <w:r>
              <w:rPr>
                <w:rFonts w:ascii="Arial" w:cs="Arial" w:eastAsia="Arial" w:hAnsi="Arial"/>
                <w:sz w:val="19"/>
                <w:szCs w:val="19"/>
                <w:color w:val="auto"/>
              </w:rPr>
              <w:t>(14,380)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9"/>
                <w:szCs w:val="19"/>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w w:val="97"/>
              </w:rPr>
              <w:t>Weighted-average shares used in computing 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9"/>
                <w:szCs w:val="19"/>
                <w:color w:val="auto"/>
              </w:rPr>
              <w:t>and diluted</w:t>
            </w:r>
          </w:p>
        </w:tc>
        <w:tc>
          <w:tcPr>
            <w:tcW w:w="100" w:type="dxa"/>
            <w:vAlign w:val="bottom"/>
          </w:tcPr>
          <w:p>
            <w:pPr>
              <w:spacing w:after="0"/>
              <w:rPr>
                <w:sz w:val="21"/>
                <w:szCs w:val="21"/>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9"/>
                <w:szCs w:val="19"/>
                <w:color w:val="auto"/>
                <w:w w:val="88"/>
              </w:rPr>
              <w:t>70,309,256</w:t>
            </w: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w w:val="98"/>
              </w:rPr>
              <w:t>78,119,865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 (unaudited)</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(0.02)</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9"/>
                <w:szCs w:val="19"/>
                <w:color w:val="auto"/>
              </w:rPr>
              <w:t>Weighted-average shares used in computing pro forma net loss per share attributable to common</w:t>
            </w: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740" w:type="dxa"/>
            <w:vAlign w:val="bottom"/>
          </w:tcPr>
          <w:p>
            <w:pPr>
              <w:ind w:left="160"/>
              <w:spacing w:after="0"/>
              <w:rPr>
                <w:sz w:val="20"/>
                <w:szCs w:val="20"/>
                <w:color w:val="auto"/>
              </w:rPr>
            </w:pPr>
            <w:r>
              <w:rPr>
                <w:rFonts w:ascii="Arial" w:cs="Arial" w:eastAsia="Arial" w:hAnsi="Arial"/>
                <w:sz w:val="19"/>
                <w:szCs w:val="19"/>
                <w:color w:val="auto"/>
              </w:rPr>
              <w:t>stockholders, basic and diluted (unaudited)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F-4</w:t>
      </w:r>
    </w:p>
    <w:p>
      <w:pPr>
        <w:sectPr>
          <w:pgSz w:w="12240" w:h="15840" w:orient="portrait"/>
          <w:cols w:equalWidth="0" w:num="1">
            <w:col w:w="11820"/>
          </w:cols>
          <w:pgMar w:left="120" w:top="336" w:right="300" w:bottom="1440" w:gutter="0" w:footer="0" w:header="0"/>
        </w:sectPr>
      </w:pPr>
    </w:p>
    <w:bookmarkStart w:id="143" w:name="page144"/>
    <w:bookmarkEnd w:id="14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STATEMENTS OF</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COMPREHENSIVE LOSS</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w w:val="98"/>
              </w:rPr>
              <w:t>Year Ended January 31,</w:t>
            </w:r>
          </w:p>
        </w:tc>
        <w:tc>
          <w:tcPr>
            <w:tcW w:w="0" w:type="dxa"/>
            <w:vAlign w:val="bottom"/>
          </w:tcPr>
          <w:p>
            <w:pPr>
              <w:spacing w:after="0"/>
              <w:rPr>
                <w:sz w:val="1"/>
                <w:szCs w:val="1"/>
                <w:color w:val="auto"/>
              </w:rPr>
            </w:pPr>
          </w:p>
        </w:tc>
      </w:tr>
      <w:tr>
        <w:trPr>
          <w:trHeight w:val="151"/>
        </w:trPr>
        <w:tc>
          <w:tcPr>
            <w:tcW w:w="932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9320" w:type="dxa"/>
            <w:vAlign w:val="bottom"/>
            <w:shd w:val="clear" w:color="auto" w:fill="CCEEFF"/>
          </w:tcPr>
          <w:p>
            <w:pPr>
              <w:spacing w:after="0"/>
              <w:rPr>
                <w:sz w:val="20"/>
                <w:szCs w:val="20"/>
                <w:color w:val="auto"/>
              </w:rPr>
            </w:pPr>
            <w:r>
              <w:rPr>
                <w:rFonts w:ascii="Arial" w:cs="Arial" w:eastAsia="Arial" w:hAnsi="Arial"/>
                <w:sz w:val="19"/>
                <w:szCs w:val="19"/>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8"/>
              </w:rPr>
              <w:t>(14)</w:t>
            </w:r>
          </w:p>
        </w:tc>
        <w:tc>
          <w:tcPr>
            <w:tcW w:w="80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(3,822)</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320" w:type="dxa"/>
            <w:vAlign w:val="bottom"/>
          </w:tcPr>
          <w:p>
            <w:pPr>
              <w:spacing w:after="0"/>
              <w:rPr>
                <w:sz w:val="20"/>
                <w:szCs w:val="20"/>
                <w:color w:val="auto"/>
              </w:rPr>
            </w:pPr>
            <w:r>
              <w:rPr>
                <w:rFonts w:ascii="Arial" w:cs="Arial" w:eastAsia="Arial" w:hAnsi="Arial"/>
                <w:sz w:val="19"/>
                <w:szCs w:val="19"/>
                <w:color w:val="auto"/>
              </w:rPr>
              <w:t>Other comprehensive loss: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3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Unrealized loss on available for sale marketable securities, net of tax</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0"/>
              <w:spacing w:after="0"/>
              <w:rPr>
                <w:sz w:val="20"/>
                <w:szCs w:val="20"/>
                <w:color w:val="auto"/>
              </w:rPr>
            </w:pPr>
            <w:r>
              <w:rPr>
                <w:rFonts w:ascii="Arial" w:cs="Arial" w:eastAsia="Arial" w:hAnsi="Arial"/>
                <w:sz w:val="19"/>
                <w:szCs w:val="19"/>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9"/>
                <w:szCs w:val="19"/>
                <w:color w:val="auto"/>
              </w:rPr>
              <w:t>(531)</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9"/>
                <w:szCs w:val="19"/>
                <w:color w:val="auto"/>
              </w:rPr>
              <w:t>Comprehensive loss</w:t>
            </w: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740"/>
              <w:spacing w:after="0"/>
              <w:rPr>
                <w:sz w:val="20"/>
                <w:szCs w:val="20"/>
                <w:color w:val="auto"/>
              </w:rPr>
            </w:pPr>
            <w:r>
              <w:rPr>
                <w:rFonts w:ascii="Arial" w:cs="Arial" w:eastAsia="Arial" w:hAnsi="Arial"/>
                <w:sz w:val="19"/>
                <w:szCs w:val="19"/>
                <w:color w:val="auto"/>
              </w:rPr>
              <w:t>(14)</w:t>
            </w:r>
          </w:p>
        </w:tc>
        <w:tc>
          <w:tcPr>
            <w:tcW w:w="18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160"/>
              <w:spacing w:after="0"/>
              <w:rPr>
                <w:sz w:val="20"/>
                <w:szCs w:val="20"/>
                <w:color w:val="auto"/>
              </w:rPr>
            </w:pPr>
            <w:r>
              <w:rPr>
                <w:rFonts w:ascii="Arial" w:cs="Arial" w:eastAsia="Arial" w:hAnsi="Arial"/>
                <w:sz w:val="19"/>
                <w:szCs w:val="19"/>
                <w:color w:val="auto"/>
              </w:rPr>
              <w:t>(4,353)</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F-5</w:t>
      </w:r>
    </w:p>
    <w:p>
      <w:pPr>
        <w:sectPr>
          <w:pgSz w:w="12240" w:h="15840" w:orient="portrait"/>
          <w:cols w:equalWidth="0" w:num="1">
            <w:col w:w="11820"/>
          </w:cols>
          <w:pgMar w:left="120" w:top="336" w:right="300" w:bottom="1440" w:gutter="0" w:footer="0" w:header="0"/>
        </w:sectPr>
      </w:pPr>
    </w:p>
    <w:bookmarkStart w:id="144" w:name="page145"/>
    <w:bookmarkEnd w:id="14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left="300" w:right="480"/>
        <w:spacing w:after="0" w:line="282" w:lineRule="auto"/>
        <w:rPr>
          <w:sz w:val="20"/>
          <w:szCs w:val="20"/>
          <w:color w:val="auto"/>
        </w:rPr>
      </w:pPr>
      <w:r>
        <w:rPr>
          <w:rFonts w:ascii="Arial" w:cs="Arial" w:eastAsia="Arial" w:hAnsi="Arial"/>
          <w:sz w:val="19"/>
          <w:szCs w:val="19"/>
          <w:b w:val="1"/>
          <w:bCs w:val="1"/>
          <w:color w:val="auto"/>
        </w:rPr>
        <w:t>ZOOM VIDEO COMMUNICATIONS, INC. CONSOLIDATED STATEMENTS OF CONVERTIBLE PREFERRED STOCK AND STOCKHOLDERS’ DEFICIT</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 except share data)</w:t>
      </w: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740" w:type="dxa"/>
            <w:vAlign w:val="bottom"/>
            <w:tcBorders>
              <w:right w:val="single" w:sz="8" w:color="auto"/>
            </w:tcBorders>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740" w:type="dxa"/>
            <w:vAlign w:val="bottom"/>
            <w:tcBorders>
              <w:right w:val="single" w:sz="8" w:color="auto"/>
            </w:tcBorders>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gridSpan w:val="3"/>
            <w:vMerge w:val="restart"/>
          </w:tcPr>
          <w:p>
            <w:pPr>
              <w:ind w:left="20"/>
              <w:spacing w:after="0" w:line="143"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vMerge w:val="restart"/>
          </w:tcPr>
          <w:p>
            <w:pPr>
              <w:jc w:val="center"/>
              <w:ind w:right="360"/>
              <w:spacing w:after="0" w:line="143"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right"/>
              <w:ind w:right="36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740" w:type="dxa"/>
            <w:vAlign w:val="bottom"/>
            <w:tcBorders>
              <w:right w:val="single" w:sz="8" w:color="auto"/>
            </w:tcBorders>
            <w:gridSpan w:val="5"/>
            <w:vMerge w:val="restart"/>
          </w:tcPr>
          <w:p>
            <w:pPr>
              <w:jc w:val="right"/>
              <w:ind w:right="480"/>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Pr>
          <w:p>
            <w:pPr>
              <w:spacing w:after="0"/>
              <w:rPr>
                <w:sz w:val="6"/>
                <w:szCs w:val="6"/>
                <w:color w:val="auto"/>
              </w:rPr>
            </w:pPr>
          </w:p>
        </w:tc>
        <w:tc>
          <w:tcPr>
            <w:tcW w:w="122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w w:val="96"/>
              </w:rPr>
              <w:t>Common Stock</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1740" w:type="dxa"/>
            <w:vAlign w:val="bottom"/>
            <w:tcBorders>
              <w:right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280"/>
              <w:spacing w:after="0" w:line="143"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7"/>
                <w:szCs w:val="7"/>
                <w:color w:val="auto"/>
              </w:rPr>
            </w:pPr>
          </w:p>
        </w:tc>
        <w:tc>
          <w:tcPr>
            <w:tcW w:w="1080" w:type="dxa"/>
            <w:vAlign w:val="bottom"/>
            <w:gridSpan w:val="3"/>
            <w:vMerge w:val="restart"/>
          </w:tcPr>
          <w:p>
            <w:pPr>
              <w:jc w:val="center"/>
              <w:ind w:right="180"/>
              <w:spacing w:after="0" w:line="143" w:lineRule="exact"/>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7"/>
                <w:szCs w:val="7"/>
                <w:color w:val="auto"/>
              </w:rPr>
            </w:pPr>
          </w:p>
        </w:tc>
        <w:tc>
          <w:tcPr>
            <w:tcW w:w="1060" w:type="dxa"/>
            <w:vAlign w:val="bottom"/>
            <w:gridSpan w:val="3"/>
            <w:vMerge w:val="restart"/>
          </w:tcPr>
          <w:p>
            <w:pPr>
              <w:spacing w:after="0" w:line="143" w:lineRule="exact"/>
              <w:rPr>
                <w:sz w:val="20"/>
                <w:szCs w:val="20"/>
                <w:color w:val="auto"/>
              </w:rPr>
            </w:pPr>
            <w:r>
              <w:rPr>
                <w:rFonts w:ascii="Arial" w:cs="Arial" w:eastAsia="Arial" w:hAnsi="Arial"/>
                <w:sz w:val="13"/>
                <w:szCs w:val="13"/>
                <w:b w:val="1"/>
                <w:bCs w:val="1"/>
                <w:color w:val="auto"/>
              </w:rPr>
              <w:t>Accumulated</w:t>
            </w:r>
          </w:p>
        </w:tc>
        <w:tc>
          <w:tcPr>
            <w:tcW w:w="880" w:type="dxa"/>
            <w:vAlign w:val="bottom"/>
            <w:gridSpan w:val="3"/>
            <w:vMerge w:val="restart"/>
          </w:tcPr>
          <w:p>
            <w:pPr>
              <w:spacing w:after="0" w:line="143"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7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5"/>
                <w:szCs w:val="15"/>
                <w:color w:val="auto"/>
              </w:rPr>
              <w:t>Balance as of February 1, 2016</w:t>
            </w:r>
          </w:p>
        </w:tc>
        <w:tc>
          <w:tcPr>
            <w:tcW w:w="8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127,304,540</w:t>
            </w: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45,527</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w w:val="95"/>
              </w:rPr>
              <w:t>70,679,484</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67</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1,771</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0"/>
              <w:spacing w:after="0" w:line="15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(17,918)</w:t>
            </w: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(16,080)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ind w:left="280"/>
              <w:spacing w:after="0" w:line="138" w:lineRule="exact"/>
              <w:rPr>
                <w:sz w:val="20"/>
                <w:szCs w:val="20"/>
                <w:color w:val="auto"/>
              </w:rPr>
            </w:pPr>
            <w:r>
              <w:rPr>
                <w:rFonts w:ascii="Arial" w:cs="Arial" w:eastAsia="Arial" w:hAnsi="Arial"/>
                <w:sz w:val="15"/>
                <w:szCs w:val="15"/>
                <w:color w:val="auto"/>
              </w:rPr>
              <w:t>Issuance of Series D convertible preferred stock, net of</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440"/>
              <w:spacing w:after="0"/>
              <w:rPr>
                <w:sz w:val="20"/>
                <w:szCs w:val="20"/>
                <w:color w:val="auto"/>
              </w:rPr>
            </w:pPr>
            <w:r>
              <w:rPr>
                <w:rFonts w:ascii="Arial" w:cs="Arial" w:eastAsia="Arial" w:hAnsi="Arial"/>
                <w:sz w:val="15"/>
                <w:szCs w:val="15"/>
                <w:color w:val="auto"/>
              </w:rPr>
              <w:t>issuance costs of $136</w:t>
            </w:r>
          </w:p>
        </w:tc>
        <w:tc>
          <w:tcPr>
            <w:tcW w:w="820" w:type="dxa"/>
            <w:vAlign w:val="bottom"/>
          </w:tcPr>
          <w:p>
            <w:pPr>
              <w:jc w:val="right"/>
              <w:spacing w:after="0"/>
              <w:rPr>
                <w:sz w:val="20"/>
                <w:szCs w:val="20"/>
                <w:color w:val="auto"/>
              </w:rPr>
            </w:pPr>
            <w:r>
              <w:rPr>
                <w:rFonts w:ascii="Arial" w:cs="Arial" w:eastAsia="Arial" w:hAnsi="Arial"/>
                <w:sz w:val="15"/>
                <w:szCs w:val="15"/>
                <w:color w:val="auto"/>
              </w:rPr>
              <w:t>30,727,064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88"/>
              </w:rPr>
              <w:t>114,830</w:t>
            </w:r>
          </w:p>
        </w:tc>
        <w:tc>
          <w:tcPr>
            <w:tcW w:w="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Repurchase of Series A convertible preferred stock</w:t>
            </w: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(4,000,000)</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(600)</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(3,383)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5"/>
                <w:szCs w:val="15"/>
                <w:color w:val="auto"/>
              </w:rPr>
              <w:t>(10,983)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(14,366)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ind w:left="280"/>
              <w:spacing w:after="0" w:line="138" w:lineRule="exact"/>
              <w:rPr>
                <w:sz w:val="20"/>
                <w:szCs w:val="20"/>
                <w:color w:val="auto"/>
              </w:rPr>
            </w:pPr>
            <w:r>
              <w:rPr>
                <w:rFonts w:ascii="Arial" w:cs="Arial" w:eastAsia="Arial" w:hAnsi="Arial"/>
                <w:sz w:val="15"/>
                <w:szCs w:val="15"/>
                <w:color w:val="auto"/>
              </w:rPr>
              <w:t>Issuance of common stock upon exercise of stock</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440"/>
              <w:spacing w:after="0"/>
              <w:rPr>
                <w:sz w:val="20"/>
                <w:szCs w:val="20"/>
                <w:color w:val="auto"/>
              </w:rPr>
            </w:pPr>
            <w:r>
              <w:rPr>
                <w:rFonts w:ascii="Arial" w:cs="Arial" w:eastAsia="Arial" w:hAnsi="Arial"/>
                <w:sz w:val="15"/>
                <w:szCs w:val="15"/>
                <w:color w:val="auto"/>
              </w:rPr>
              <w:t>options</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8,971,412</w:t>
            </w:r>
          </w:p>
        </w:tc>
        <w:tc>
          <w:tcPr>
            <w:tcW w:w="2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394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280"/>
              <w:spacing w:after="0" w:line="138" w:lineRule="exact"/>
              <w:rPr>
                <w:sz w:val="20"/>
                <w:szCs w:val="20"/>
                <w:color w:val="auto"/>
              </w:rPr>
            </w:pPr>
            <w:r>
              <w:rPr>
                <w:rFonts w:ascii="Arial" w:cs="Arial" w:eastAsia="Arial" w:hAnsi="Arial"/>
                <w:sz w:val="15"/>
                <w:szCs w:val="15"/>
                <w:color w:val="auto"/>
              </w:rPr>
              <w:t>Vesting of early exercised stock options and restricted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 awards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tcPr>
          <w:p>
            <w:pPr>
              <w:ind w:left="280"/>
              <w:spacing w:after="0" w:line="157" w:lineRule="exact"/>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6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1,039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00"/>
              <w:spacing w:after="0" w:line="15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5"/>
                <w:szCs w:val="15"/>
                <w:color w:val="auto"/>
              </w:rPr>
              <w:t>1,039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Net loss</w:t>
            </w: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5"/>
                <w:szCs w:val="15"/>
                <w:color w:val="auto"/>
              </w:rPr>
              <w:t>(14)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5"/>
        </w:trPr>
        <w:tc>
          <w:tcPr>
            <w:tcW w:w="3980" w:type="dxa"/>
            <w:vAlign w:val="bottom"/>
            <w:gridSpan w:val="2"/>
          </w:tcPr>
          <w:p>
            <w:pPr>
              <w:spacing w:after="0" w:line="166" w:lineRule="exact"/>
              <w:rPr>
                <w:sz w:val="20"/>
                <w:szCs w:val="20"/>
                <w:color w:val="auto"/>
              </w:rPr>
            </w:pPr>
            <w:r>
              <w:rPr>
                <w:rFonts w:ascii="Arial" w:cs="Arial" w:eastAsia="Arial" w:hAnsi="Arial"/>
                <w:sz w:val="15"/>
                <w:szCs w:val="15"/>
                <w:color w:val="auto"/>
              </w:rPr>
              <w:t>Balance as of January 31, 2017</w:t>
            </w: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5"/>
              </w:rPr>
              <w:t>154,031,604</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88"/>
              </w:rPr>
              <w:t>159,757</w:t>
            </w: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5"/>
              </w:rPr>
              <w:t>79,650,896</w:t>
            </w: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77</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(28,915)</w:t>
            </w: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(28,838)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Repurchase of Series A convertible preferred stock</w:t>
            </w:r>
          </w:p>
        </w:tc>
        <w:tc>
          <w:tcPr>
            <w:tcW w:w="10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5"/>
                <w:szCs w:val="15"/>
                <w:color w:val="auto"/>
              </w:rPr>
              <w:t>(1,365,800)</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80"/>
              <w:spacing w:after="0" w:line="157" w:lineRule="exact"/>
              <w:rPr>
                <w:sz w:val="20"/>
                <w:szCs w:val="20"/>
                <w:color w:val="auto"/>
              </w:rPr>
            </w:pPr>
            <w:r>
              <w:rPr>
                <w:rFonts w:ascii="Arial" w:cs="Arial" w:eastAsia="Arial" w:hAnsi="Arial"/>
                <w:sz w:val="15"/>
                <w:szCs w:val="15"/>
                <w:color w:val="auto"/>
              </w:rPr>
              <w:t>(205)</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rPr>
              <w:t>(4,405)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(4,405)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ind w:left="280"/>
              <w:spacing w:after="0" w:line="138" w:lineRule="exact"/>
              <w:rPr>
                <w:sz w:val="20"/>
                <w:szCs w:val="20"/>
                <w:color w:val="auto"/>
              </w:rPr>
            </w:pPr>
            <w:r>
              <w:rPr>
                <w:rFonts w:ascii="Arial" w:cs="Arial" w:eastAsia="Arial" w:hAnsi="Arial"/>
                <w:sz w:val="15"/>
                <w:szCs w:val="15"/>
                <w:color w:val="auto"/>
              </w:rPr>
              <w:t>Issuance of common stock upon exercise of stock</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Pr>
          <w:p>
            <w:pPr>
              <w:ind w:left="440"/>
              <w:spacing w:after="0"/>
              <w:rPr>
                <w:sz w:val="20"/>
                <w:szCs w:val="20"/>
                <w:color w:val="auto"/>
              </w:rPr>
            </w:pPr>
            <w:r>
              <w:rPr>
                <w:rFonts w:ascii="Arial" w:cs="Arial" w:eastAsia="Arial" w:hAnsi="Arial"/>
                <w:sz w:val="15"/>
                <w:szCs w:val="15"/>
                <w:color w:val="auto"/>
              </w:rPr>
              <w:t>options</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2,958,742</w:t>
            </w:r>
          </w:p>
        </w:tc>
        <w:tc>
          <w:tcPr>
            <w:tcW w:w="2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419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280"/>
              <w:spacing w:after="0" w:line="138" w:lineRule="exact"/>
              <w:rPr>
                <w:sz w:val="20"/>
                <w:szCs w:val="20"/>
                <w:color w:val="auto"/>
              </w:rPr>
            </w:pPr>
            <w:r>
              <w:rPr>
                <w:rFonts w:ascii="Arial" w:cs="Arial" w:eastAsia="Arial" w:hAnsi="Arial"/>
                <w:sz w:val="15"/>
                <w:szCs w:val="15"/>
                <w:color w:val="auto"/>
              </w:rPr>
              <w:t>Vesting of early exercised stock options and restricted</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stock awards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tcPr>
          <w:p>
            <w:pPr>
              <w:ind w:left="280"/>
              <w:spacing w:after="0" w:line="157" w:lineRule="exact"/>
              <w:rPr>
                <w:sz w:val="20"/>
                <w:szCs w:val="20"/>
                <w:color w:val="auto"/>
              </w:rPr>
            </w:pPr>
            <w:r>
              <w:rPr>
                <w:rFonts w:ascii="Arial" w:cs="Arial" w:eastAsia="Arial" w:hAnsi="Arial"/>
                <w:sz w:val="15"/>
                <w:szCs w:val="15"/>
                <w:color w:val="auto"/>
              </w:rPr>
              <w:t>Stock-based compensation expense</w:t>
            </w:r>
          </w:p>
        </w:tc>
        <w:tc>
          <w:tcPr>
            <w:tcW w:w="1020" w:type="dxa"/>
            <w:vAlign w:val="bottom"/>
            <w:gridSpan w:val="2"/>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6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10,329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00"/>
              <w:spacing w:after="0" w:line="157"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5"/>
                <w:szCs w:val="15"/>
                <w:color w:val="auto"/>
              </w:rPr>
              <w:t>10,329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shd w:val="clear" w:color="auto" w:fill="CCEEFF"/>
          </w:tcPr>
          <w:p>
            <w:pPr>
              <w:ind w:left="280"/>
              <w:spacing w:after="0" w:line="157" w:lineRule="exact"/>
              <w:rPr>
                <w:sz w:val="20"/>
                <w:szCs w:val="20"/>
                <w:color w:val="auto"/>
              </w:rPr>
            </w:pPr>
            <w:r>
              <w:rPr>
                <w:rFonts w:ascii="Arial" w:cs="Arial" w:eastAsia="Arial" w:hAnsi="Arial"/>
                <w:sz w:val="15"/>
                <w:szCs w:val="15"/>
                <w:color w:val="auto"/>
              </w:rPr>
              <w:t>Other comprehensive loss</w:t>
            </w:r>
          </w:p>
        </w:tc>
        <w:tc>
          <w:tcPr>
            <w:tcW w:w="102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(531)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line="157"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tcPr>
          <w:p>
            <w:pPr>
              <w:ind w:left="280"/>
              <w:spacing w:after="0" w:line="157" w:lineRule="exact"/>
              <w:rPr>
                <w:sz w:val="20"/>
                <w:szCs w:val="20"/>
                <w:color w:val="auto"/>
              </w:rPr>
            </w:pPr>
            <w:r>
              <w:rPr>
                <w:rFonts w:ascii="Arial" w:cs="Arial" w:eastAsia="Arial" w:hAnsi="Arial"/>
                <w:sz w:val="15"/>
                <w:szCs w:val="15"/>
                <w:color w:val="auto"/>
              </w:rPr>
              <w:t>Net loss</w:t>
            </w: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0"/>
              <w:spacing w:after="0" w:line="157"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460" w:type="dxa"/>
            <w:vAlign w:val="bottom"/>
            <w:gridSpan w:val="2"/>
          </w:tcPr>
          <w:p>
            <w:pPr>
              <w:jc w:val="right"/>
              <w:ind w:right="240"/>
              <w:spacing w:after="0" w:line="157"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line="157"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60"/>
              <w:spacing w:after="0" w:line="157" w:lineRule="exact"/>
              <w:rPr>
                <w:sz w:val="20"/>
                <w:szCs w:val="20"/>
                <w:color w:val="auto"/>
              </w:rPr>
            </w:pPr>
            <w:r>
              <w:rPr>
                <w:rFonts w:ascii="Arial" w:cs="Arial" w:eastAsia="Arial" w:hAnsi="Arial"/>
                <w:sz w:val="15"/>
                <w:szCs w:val="15"/>
                <w:color w:val="auto"/>
              </w:rPr>
              <w:t>(3,822)</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5"/>
                <w:szCs w:val="15"/>
                <w:color w:val="auto"/>
              </w:rPr>
              <w:t>(3,822)</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6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Balance as of January 31, 2018</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color w:val="auto"/>
                <w:w w:val="95"/>
              </w:rPr>
              <w:t>152,665,804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5"/>
                <w:szCs w:val="15"/>
                <w:u w:val="single" w:color="auto"/>
                <w:color w:val="auto"/>
                <w:w w:val="71"/>
              </w:rPr>
              <w:t>$</w:t>
            </w:r>
          </w:p>
        </w:tc>
        <w:tc>
          <w:tcPr>
            <w:tcW w:w="640" w:type="dxa"/>
            <w:vAlign w:val="bottom"/>
            <w:tcBorders>
              <w:right w:val="single" w:sz="8" w:color="auto"/>
            </w:tcBorders>
            <w:gridSpan w:val="2"/>
            <w:shd w:val="clear" w:color="auto" w:fill="CCEEFF"/>
          </w:tcPr>
          <w:p>
            <w:pPr>
              <w:jc w:val="right"/>
              <w:ind w:right="120"/>
              <w:spacing w:after="0" w:line="157" w:lineRule="exact"/>
              <w:rPr>
                <w:sz w:val="20"/>
                <w:szCs w:val="20"/>
                <w:color w:val="auto"/>
              </w:rPr>
            </w:pPr>
            <w:r>
              <w:rPr>
                <w:rFonts w:ascii="Arial" w:cs="Arial" w:eastAsia="Arial" w:hAnsi="Arial"/>
                <w:sz w:val="15"/>
                <w:szCs w:val="15"/>
                <w:color w:val="auto"/>
                <w:w w:val="92"/>
              </w:rPr>
              <w:t>159,552</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w w:val="95"/>
              </w:rPr>
              <w:t>82,609,638</w:t>
            </w:r>
          </w:p>
        </w:tc>
        <w:tc>
          <w:tcPr>
            <w:tcW w:w="2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w w:val="95"/>
              </w:rPr>
              <w:t>$</w:t>
            </w:r>
          </w:p>
        </w:tc>
        <w:tc>
          <w:tcPr>
            <w:tcW w:w="70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5"/>
                <w:szCs w:val="15"/>
                <w:color w:val="auto"/>
              </w:rPr>
              <w:t>6,517</w:t>
            </w:r>
          </w:p>
        </w:tc>
        <w:tc>
          <w:tcPr>
            <w:tcW w:w="300" w:type="dxa"/>
            <w:vAlign w:val="bottom"/>
            <w:gridSpan w:val="2"/>
            <w:shd w:val="clear" w:color="auto" w:fill="CCEEFF"/>
          </w:tcPr>
          <w:p>
            <w:pPr>
              <w:jc w:val="right"/>
              <w:ind w:right="30"/>
              <w:spacing w:after="0" w:line="157"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5"/>
                <w:szCs w:val="15"/>
                <w:color w:val="auto"/>
              </w:rPr>
              <w:t>(531)</w:t>
            </w:r>
          </w:p>
        </w:tc>
        <w:tc>
          <w:tcPr>
            <w:tcW w:w="24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5"/>
                <w:szCs w:val="15"/>
                <w:color w:val="auto"/>
              </w:rPr>
              <w:t>(32,737)</w:t>
            </w:r>
          </w:p>
        </w:tc>
        <w:tc>
          <w:tcPr>
            <w:tcW w:w="140" w:type="dxa"/>
            <w:vAlign w:val="bottom"/>
            <w:shd w:val="clear" w:color="auto" w:fill="CCEEFF"/>
          </w:tcPr>
          <w:p>
            <w:pPr>
              <w:spacing w:after="0" w:line="157"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5"/>
                <w:szCs w:val="15"/>
                <w:color w:val="auto"/>
              </w:rPr>
              <w:t>(26,671)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F-6</w:t>
      </w:r>
    </w:p>
    <w:p>
      <w:pPr>
        <w:sectPr>
          <w:pgSz w:w="12240" w:h="15840" w:orient="portrait"/>
          <w:cols w:equalWidth="0" w:num="1">
            <w:col w:w="11820"/>
          </w:cols>
          <w:pgMar w:left="120" w:top="336" w:right="300" w:bottom="1440" w:gutter="0" w:footer="0" w:header="0"/>
        </w:sectPr>
      </w:pPr>
    </w:p>
    <w:bookmarkStart w:id="145" w:name="page146"/>
    <w:bookmarkEnd w:id="14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 CONSOLIDATED STATEMENTS OF CASH FLOWS</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(in thousands)</w:t>
      </w: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ind w:left="100"/>
              <w:spacing w:after="0"/>
              <w:rPr>
                <w:sz w:val="20"/>
                <w:szCs w:val="20"/>
                <w:color w:val="auto"/>
              </w:rPr>
            </w:pPr>
            <w:r>
              <w:rPr>
                <w:rFonts w:ascii="Arial" w:cs="Arial" w:eastAsia="Arial" w:hAnsi="Arial"/>
                <w:sz w:val="15"/>
                <w:szCs w:val="15"/>
                <w:b w:val="1"/>
                <w:bCs w:val="1"/>
                <w:color w:val="auto"/>
              </w:rPr>
              <w:t>Year Ended January 31,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5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100"/>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spacing w:after="0" w:line="208" w:lineRule="exact"/>
              <w:rPr>
                <w:sz w:val="20"/>
                <w:szCs w:val="20"/>
                <w:color w:val="auto"/>
              </w:rPr>
            </w:pPr>
            <w:r>
              <w:rPr>
                <w:rFonts w:ascii="Arial" w:cs="Arial" w:eastAsia="Arial" w:hAnsi="Arial"/>
                <w:sz w:val="19"/>
                <w:szCs w:val="19"/>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9"/>
                <w:szCs w:val="19"/>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(14)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Adjustments to reconcile net loss to net cash provided by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Depreciation and amortization</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1,219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Amortization of deferred contract acquisition costs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3,114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9,023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Stock-based compensation expense</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1,039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10,329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Provision for accounts receivable allowances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333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Other</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Changes in operating assets and liabilities: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Accounts receivable</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(5,882)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(16,560)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Prepaid expenses and other assets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(901)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(3,443)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Deferred contract acquisition costs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(11,230)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(27,470)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Accounts payable</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537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740"/>
              <w:spacing w:after="0"/>
              <w:rPr>
                <w:sz w:val="20"/>
                <w:szCs w:val="20"/>
                <w:color w:val="auto"/>
              </w:rPr>
            </w:pPr>
            <w:r>
              <w:rPr>
                <w:rFonts w:ascii="Arial" w:cs="Arial" w:eastAsia="Arial" w:hAnsi="Arial"/>
                <w:sz w:val="19"/>
                <w:szCs w:val="19"/>
                <w:color w:val="auto"/>
              </w:rPr>
              <w:t>Accrued expenses and other liabilities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6,082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15,011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740"/>
              <w:spacing w:after="0"/>
              <w:rPr>
                <w:sz w:val="20"/>
                <w:szCs w:val="20"/>
                <w:color w:val="auto"/>
              </w:rPr>
            </w:pPr>
            <w:r>
              <w:rPr>
                <w:rFonts w:ascii="Arial" w:cs="Arial" w:eastAsia="Arial" w:hAnsi="Arial"/>
                <w:sz w:val="19"/>
                <w:szCs w:val="19"/>
                <w:color w:val="auto"/>
              </w:rPr>
              <w:t>Deferred revenue</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15,045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9,361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19,426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Purchases of marketable securities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(143,329)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Maturities of marketable securities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39,710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Purchases of property and equipment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(4,824)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(9,738)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Payment received from loan to related party</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9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rPr>
              <w:t>(2,824)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w w:val="88"/>
              </w:rPr>
              <w:t>(113,357)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Proceeds from issuance of convertible preferred stock, net of issuance costs</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w w:val="87"/>
              </w:rPr>
              <w:t>114,830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Proceeds from exercise of stock options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403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ind w:left="360"/>
              <w:spacing w:after="0"/>
              <w:rPr>
                <w:sz w:val="20"/>
                <w:szCs w:val="20"/>
                <w:color w:val="auto"/>
              </w:rPr>
            </w:pPr>
            <w:r>
              <w:rPr>
                <w:rFonts w:ascii="Arial" w:cs="Arial" w:eastAsia="Arial" w:hAnsi="Arial"/>
                <w:sz w:val="19"/>
                <w:szCs w:val="19"/>
                <w:color w:val="auto"/>
              </w:rPr>
              <w:t>Repurchase of convertible preferred stock</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9"/>
                <w:szCs w:val="19"/>
                <w:color w:val="auto"/>
                <w:w w:val="93"/>
              </w:rPr>
              <w:t>(14,966)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(4,610)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Principal payments on capital lease obligations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1120"/>
              <w:spacing w:after="0"/>
              <w:rPr>
                <w:sz w:val="20"/>
                <w:szCs w:val="20"/>
                <w:color w:val="auto"/>
              </w:rPr>
            </w:pPr>
            <w:r>
              <w:rPr>
                <w:rFonts w:ascii="Arial" w:cs="Arial" w:eastAsia="Arial" w:hAnsi="Arial"/>
                <w:sz w:val="19"/>
                <w:szCs w:val="19"/>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w w:val="87"/>
              </w:rPr>
              <w:t>100,267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9"/>
                <w:szCs w:val="19"/>
                <w:color w:val="auto"/>
              </w:rPr>
              <w:t>(3,997)</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Net increase (decrease) in cash, cash equivalents, and restricted cash</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87"/>
              </w:rPr>
              <w:t>106,804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(97,928)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9"/>
                <w:szCs w:val="19"/>
                <w:color w:val="auto"/>
              </w:rPr>
              <w:t>Cash, cash equivalents, and restricted cash – beginning of period</w:t>
            </w: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27,945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w w:val="96"/>
              </w:rPr>
              <w:t>134,749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Cash, cash equivalents, and restricted cash –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87"/>
              </w:rPr>
              <w:t>134,749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36,821</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Supplemental disclosures of cash flow information</w:t>
            </w:r>
            <w:r>
              <w:rPr>
                <w:rFonts w:ascii="Arial" w:cs="Arial" w:eastAsia="Arial" w:hAnsi="Arial"/>
                <w:sz w:val="19"/>
                <w:szCs w:val="19"/>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133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Supplemental disclosures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Purchases of property and equipment during the period included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392</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9"/>
                <w:szCs w:val="19"/>
                <w:color w:val="auto"/>
              </w:rPr>
              <w:t>Purchase of property and equipment under capital lease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5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9"/>
                <w:szCs w:val="19"/>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9"/>
                <w:szCs w:val="19"/>
                <w:color w:val="auto"/>
              </w:rPr>
              <w:t>Vesting of early exercised stock options and restricted stock awards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F-7</w:t>
      </w:r>
    </w:p>
    <w:p>
      <w:pPr>
        <w:sectPr>
          <w:pgSz w:w="12240" w:h="15840" w:orient="portrait"/>
          <w:cols w:equalWidth="0" w:num="1">
            <w:col w:w="11820"/>
          </w:cols>
          <w:pgMar w:left="120" w:top="336" w:right="300" w:bottom="1440" w:gutter="0" w:footer="0" w:header="0"/>
        </w:sectPr>
      </w:pPr>
    </w:p>
    <w:bookmarkStart w:id="146" w:name="page147"/>
    <w:bookmarkEnd w:id="14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1. Summary of Business and Significant Accounting Policies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Description of Business</w:t>
      </w:r>
    </w:p>
    <w:p>
      <w:pPr>
        <w:spacing w:after="0" w:line="124" w:lineRule="exact"/>
        <w:rPr>
          <w:sz w:val="20"/>
          <w:szCs w:val="20"/>
          <w:color w:val="auto"/>
        </w:rPr>
      </w:pPr>
    </w:p>
    <w:p>
      <w:pPr>
        <w:ind w:left="180" w:right="340" w:firstLine="465"/>
        <w:spacing w:after="0" w:line="263" w:lineRule="auto"/>
        <w:rPr>
          <w:sz w:val="20"/>
          <w:szCs w:val="20"/>
          <w:color w:val="auto"/>
        </w:rPr>
      </w:pPr>
      <w:r>
        <w:rPr>
          <w:rFonts w:ascii="Arial" w:cs="Arial" w:eastAsia="Arial" w:hAnsi="Arial"/>
          <w:sz w:val="19"/>
          <w:szCs w:val="19"/>
          <w:color w:val="auto"/>
        </w:rPr>
        <w:t>Zoom Video Communications, Inc. and its subsidiaries (together, Zoom, the Company, we, us, or our) provide video communications services through a video-first communications platform. Our platform combines video, audio, screen sharing and chat functionalities. The Company was incorporated in the state of Delaware in April 2011 and is headquartered in San Jose, California.</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Fiscal Year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fiscal year ends on January 31. References to fiscal 2018, for example, refer to the fiscal year ended January 31, 2018.</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24" w:lineRule="exact"/>
        <w:rPr>
          <w:sz w:val="20"/>
          <w:szCs w:val="20"/>
          <w:color w:val="auto"/>
        </w:rPr>
      </w:pPr>
    </w:p>
    <w:p>
      <w:pPr>
        <w:ind w:left="180" w:right="120" w:firstLine="465"/>
        <w:spacing w:after="0" w:line="263" w:lineRule="auto"/>
        <w:rPr>
          <w:sz w:val="20"/>
          <w:szCs w:val="20"/>
          <w:color w:val="auto"/>
        </w:rPr>
      </w:pPr>
      <w:r>
        <w:rPr>
          <w:rFonts w:ascii="Arial" w:cs="Arial" w:eastAsia="Arial" w:hAnsi="Arial"/>
          <w:sz w:val="19"/>
          <w:szCs w:val="19"/>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Stockholders’ Equity Information</w:t>
      </w:r>
    </w:p>
    <w:p>
      <w:pPr>
        <w:spacing w:after="0" w:line="124" w:lineRule="exact"/>
        <w:rPr>
          <w:sz w:val="20"/>
          <w:szCs w:val="20"/>
          <w:color w:val="auto"/>
        </w:rPr>
      </w:pPr>
    </w:p>
    <w:p>
      <w:pPr>
        <w:jc w:val="both"/>
        <w:ind w:left="180" w:right="240" w:firstLine="465"/>
        <w:spacing w:after="0" w:line="277" w:lineRule="auto"/>
        <w:rPr>
          <w:sz w:val="20"/>
          <w:szCs w:val="20"/>
          <w:color w:val="auto"/>
        </w:rPr>
      </w:pPr>
      <w:r>
        <w:rPr>
          <w:rFonts w:ascii="Arial" w:cs="Arial" w:eastAsia="Arial" w:hAnsi="Arial"/>
          <w:sz w:val="18"/>
          <w:szCs w:val="18"/>
          <w:color w:val="auto"/>
        </w:rPr>
        <w:t>We have presented unaudited pro forma stockholders’ equity as of January 31, 2018 in order to show the assumed effect on the balance sheet of the automatic conversion of the outstanding convertible preferred stock upon the consummation of a qualified initial public offering (IPO). Upon the consummation of an IPO, all of the outstanding convertible preferred stock will automatically convert into 152,665,804 shares of common stock. The unaudited pro forma stockholders’ equity does not give effect to any proceeds from the assumed IPO.</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 Split</w:t>
      </w:r>
    </w:p>
    <w:p>
      <w:pPr>
        <w:spacing w:after="0" w:line="124" w:lineRule="exact"/>
        <w:rPr>
          <w:sz w:val="20"/>
          <w:szCs w:val="20"/>
          <w:color w:val="auto"/>
        </w:rPr>
      </w:pPr>
    </w:p>
    <w:p>
      <w:pPr>
        <w:ind w:left="180" w:firstLine="465"/>
        <w:spacing w:after="0" w:line="288" w:lineRule="auto"/>
        <w:rPr>
          <w:sz w:val="20"/>
          <w:szCs w:val="20"/>
          <w:color w:val="auto"/>
        </w:rPr>
      </w:pPr>
      <w:r>
        <w:rPr>
          <w:rFonts w:ascii="Arial" w:cs="Arial" w:eastAsia="Arial" w:hAnsi="Arial"/>
          <w:sz w:val="17"/>
          <w:szCs w:val="17"/>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24" w:lineRule="exact"/>
        <w:rPr>
          <w:sz w:val="20"/>
          <w:szCs w:val="20"/>
          <w:color w:val="auto"/>
        </w:rPr>
      </w:pPr>
    </w:p>
    <w:p>
      <w:pPr>
        <w:ind w:left="180" w:firstLine="465"/>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F-8</w:t>
      </w:r>
    </w:p>
    <w:p>
      <w:pPr>
        <w:sectPr>
          <w:pgSz w:w="12240" w:h="15840" w:orient="portrait"/>
          <w:cols w:equalWidth="0" w:num="1">
            <w:col w:w="11800"/>
          </w:cols>
          <w:pgMar w:left="120" w:top="336" w:right="320" w:bottom="1440" w:gutter="0" w:footer="0" w:header="0"/>
        </w:sectPr>
      </w:pPr>
    </w:p>
    <w:bookmarkStart w:id="147" w:name="page148"/>
    <w:bookmarkEnd w:id="14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60"/>
        <w:spacing w:after="0" w:line="336" w:lineRule="auto"/>
        <w:rPr>
          <w:sz w:val="20"/>
          <w:szCs w:val="20"/>
          <w:color w:val="auto"/>
        </w:rPr>
      </w:pPr>
      <w:r>
        <w:rPr>
          <w:rFonts w:ascii="Arial" w:cs="Arial" w:eastAsia="Arial" w:hAnsi="Arial"/>
          <w:sz w:val="17"/>
          <w:szCs w:val="17"/>
          <w:color w:val="auto"/>
        </w:rPr>
        <w:t>period for deferred contract acquisition costs, the allowance for doubtful accounts, the useful lives of fixed assets, stock-based compensation, sales and other tax liabilities, the valuation of deferred income tax assets and uncertain tax positions. Actual results could differ from those estimates.</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Concentration of Risks</w:t>
      </w:r>
    </w:p>
    <w:p>
      <w:pPr>
        <w:spacing w:after="0" w:line="124" w:lineRule="exact"/>
        <w:rPr>
          <w:sz w:val="20"/>
          <w:szCs w:val="20"/>
          <w:color w:val="auto"/>
        </w:rPr>
      </w:pPr>
    </w:p>
    <w:p>
      <w:pPr>
        <w:ind w:left="180" w:right="280" w:firstLine="465"/>
        <w:spacing w:after="0" w:line="259" w:lineRule="auto"/>
        <w:rPr>
          <w:sz w:val="20"/>
          <w:szCs w:val="20"/>
          <w:color w:val="auto"/>
        </w:rPr>
      </w:pPr>
      <w:r>
        <w:rPr>
          <w:rFonts w:ascii="Arial" w:cs="Arial" w:eastAsia="Arial" w:hAnsi="Arial"/>
          <w:sz w:val="19"/>
          <w:szCs w:val="19"/>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98" w:lineRule="exact"/>
        <w:rPr>
          <w:sz w:val="20"/>
          <w:szCs w:val="20"/>
          <w:color w:val="auto"/>
        </w:rPr>
      </w:pPr>
    </w:p>
    <w:p>
      <w:pPr>
        <w:ind w:left="180" w:right="220" w:firstLine="465"/>
        <w:spacing w:after="0" w:line="275" w:lineRule="auto"/>
        <w:rPr>
          <w:sz w:val="20"/>
          <w:szCs w:val="20"/>
          <w:color w:val="auto"/>
        </w:rPr>
      </w:pPr>
      <w:r>
        <w:rPr>
          <w:rFonts w:ascii="Arial" w:cs="Arial" w:eastAsia="Arial" w:hAnsi="Arial"/>
          <w:sz w:val="19"/>
          <w:szCs w:val="19"/>
          <w:color w:val="auto"/>
        </w:rPr>
        <w:t>No single customer accounted for more than 10% of accounts receivable at January 31, 2017 or 2018. No single customer accounted for 10% or more of total revenue during the fiscal years ended January 31, 2017 or 2018.</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Cash, Cash Equivalents and Restricted Cash</w:t>
      </w:r>
    </w:p>
    <w:p>
      <w:pPr>
        <w:spacing w:after="0" w:line="124" w:lineRule="exact"/>
        <w:rPr>
          <w:sz w:val="20"/>
          <w:szCs w:val="20"/>
          <w:color w:val="auto"/>
        </w:rPr>
      </w:pPr>
    </w:p>
    <w:p>
      <w:pPr>
        <w:ind w:left="180" w:right="500" w:firstLine="465"/>
        <w:spacing w:after="0" w:line="275" w:lineRule="auto"/>
        <w:rPr>
          <w:sz w:val="20"/>
          <w:szCs w:val="20"/>
          <w:color w:val="auto"/>
        </w:rPr>
      </w:pPr>
      <w:r>
        <w:rPr>
          <w:rFonts w:ascii="Arial" w:cs="Arial" w:eastAsia="Arial" w:hAnsi="Arial"/>
          <w:sz w:val="19"/>
          <w:szCs w:val="19"/>
          <w:color w:val="auto"/>
        </w:rPr>
        <w:t>Cash and cash equivalents consist of cash in banks and highly liquid investments, primarily money market funds, purchased with an original maturity of three months or less.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Restricted cash consists of certificates of deposit collateralizing our operating leases and corporate credit cards. We have $0.4 million and</w:t>
      </w:r>
    </w:p>
    <w:p>
      <w:pPr>
        <w:spacing w:after="0" w:line="23" w:lineRule="exact"/>
        <w:rPr>
          <w:sz w:val="20"/>
          <w:szCs w:val="20"/>
          <w:color w:val="auto"/>
        </w:rPr>
      </w:pPr>
    </w:p>
    <w:p>
      <w:pPr>
        <w:ind w:left="180" w:right="160"/>
        <w:spacing w:after="0" w:line="261" w:lineRule="auto"/>
        <w:rPr>
          <w:sz w:val="20"/>
          <w:szCs w:val="20"/>
          <w:color w:val="auto"/>
        </w:rPr>
      </w:pPr>
      <w:r>
        <w:rPr>
          <w:rFonts w:ascii="Arial" w:cs="Arial" w:eastAsia="Arial" w:hAnsi="Arial"/>
          <w:sz w:val="19"/>
          <w:szCs w:val="19"/>
          <w:color w:val="auto"/>
        </w:rPr>
        <w:t>$0.7 million of restricted cash as of January 31, 2017 and 2018, respectively, which are included in prepaid expenses and other current assets and other assets, non-current in the consolidated balance sheets.</w:t>
      </w:r>
    </w:p>
    <w:p>
      <w:pPr>
        <w:spacing w:after="0" w:line="196"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6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5"/>
                <w:szCs w:val="15"/>
                <w:b w:val="1"/>
                <w:bCs w:val="1"/>
                <w:color w:val="auto"/>
                <w:w w:val="91"/>
              </w:rPr>
              <w:t>February 1,</w:t>
            </w:r>
          </w:p>
        </w:tc>
        <w:tc>
          <w:tcPr>
            <w:tcW w:w="400" w:type="dxa"/>
            <w:vAlign w:val="bottom"/>
          </w:tcPr>
          <w:p>
            <w:pPr>
              <w:spacing w:after="0"/>
              <w:rPr>
                <w:sz w:val="15"/>
                <w:szCs w:val="15"/>
                <w:color w:val="auto"/>
              </w:rPr>
            </w:pPr>
          </w:p>
        </w:tc>
        <w:tc>
          <w:tcPr>
            <w:tcW w:w="1820" w:type="dxa"/>
            <w:vAlign w:val="bottom"/>
            <w:gridSpan w:val="4"/>
          </w:tcPr>
          <w:p>
            <w:pPr>
              <w:ind w:left="50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8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9"/>
              <w:spacing w:after="0" w:line="151" w:lineRule="exact"/>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8"/>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8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40" w:type="dxa"/>
            <w:vAlign w:val="bottom"/>
            <w:gridSpan w:val="3"/>
          </w:tcPr>
          <w:p>
            <w:pPr>
              <w:ind w:left="240"/>
              <w:spacing w:after="0" w:line="151" w:lineRule="exact"/>
              <w:rPr>
                <w:sz w:val="20"/>
                <w:szCs w:val="20"/>
                <w:color w:val="auto"/>
              </w:rPr>
            </w:pPr>
            <w:r>
              <w:rPr>
                <w:rFonts w:ascii="Arial" w:cs="Arial" w:eastAsia="Arial" w:hAnsi="Arial"/>
                <w:sz w:val="15"/>
                <w:szCs w:val="15"/>
                <w:b w:val="1"/>
                <w:bCs w:val="1"/>
                <w:color w:val="auto"/>
              </w:rPr>
              <w:t>(in thousands)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8660" w:type="dxa"/>
            <w:vAlign w:val="bottom"/>
            <w:shd w:val="clear" w:color="auto" w:fill="CCEEFF"/>
          </w:tcPr>
          <w:p>
            <w:pPr>
              <w:spacing w:after="0"/>
              <w:rPr>
                <w:sz w:val="20"/>
                <w:szCs w:val="20"/>
                <w:color w:val="auto"/>
              </w:rPr>
            </w:pPr>
            <w:r>
              <w:rPr>
                <w:rFonts w:ascii="Arial" w:cs="Arial" w:eastAsia="Arial" w:hAnsi="Arial"/>
                <w:sz w:val="19"/>
                <w:szCs w:val="19"/>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9"/>
              </w:rPr>
              <w:t>27,695</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9"/>
                <w:szCs w:val="19"/>
                <w:color w:val="auto"/>
              </w:rPr>
              <w:t>$134,324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$36,146</w:t>
            </w:r>
          </w:p>
        </w:tc>
      </w:tr>
      <w:tr>
        <w:trPr>
          <w:trHeight w:val="228"/>
        </w:trPr>
        <w:tc>
          <w:tcPr>
            <w:tcW w:w="8660" w:type="dxa"/>
            <w:vAlign w:val="bottom"/>
          </w:tcPr>
          <w:p>
            <w:pPr>
              <w:spacing w:after="0"/>
              <w:rPr>
                <w:sz w:val="20"/>
                <w:szCs w:val="20"/>
                <w:color w:val="auto"/>
              </w:rPr>
            </w:pPr>
            <w:r>
              <w:rPr>
                <w:rFonts w:ascii="Arial" w:cs="Arial" w:eastAsia="Arial" w:hAnsi="Arial"/>
                <w:sz w:val="19"/>
                <w:szCs w:val="19"/>
                <w:color w:val="auto"/>
              </w:rPr>
              <w:t>Restricted cash included in prepaid expenses and other current assets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1540" w:type="dxa"/>
            <w:vAlign w:val="bottom"/>
            <w:gridSpan w:val="3"/>
          </w:tcPr>
          <w:p>
            <w:pPr>
              <w:jc w:val="right"/>
              <w:ind w:right="400"/>
              <w:spacing w:after="0"/>
              <w:rPr>
                <w:sz w:val="20"/>
                <w:szCs w:val="20"/>
                <w:color w:val="auto"/>
              </w:rPr>
            </w:pPr>
            <w:r>
              <w:rPr>
                <w:rFonts w:ascii="Arial" w:cs="Arial" w:eastAsia="Arial" w:hAnsi="Arial"/>
                <w:sz w:val="19"/>
                <w:szCs w:val="19"/>
                <w:color w:val="auto"/>
              </w:rPr>
              <w:t>250</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r>
      <w:tr>
        <w:trPr>
          <w:trHeight w:val="228"/>
        </w:trPr>
        <w:tc>
          <w:tcPr>
            <w:tcW w:w="8660" w:type="dxa"/>
            <w:vAlign w:val="bottom"/>
            <w:shd w:val="clear" w:color="auto" w:fill="CCEEFF"/>
          </w:tcPr>
          <w:p>
            <w:pPr>
              <w:spacing w:after="0"/>
              <w:rPr>
                <w:sz w:val="20"/>
                <w:szCs w:val="20"/>
                <w:color w:val="auto"/>
              </w:rPr>
            </w:pPr>
            <w:r>
              <w:rPr>
                <w:rFonts w:ascii="Arial" w:cs="Arial" w:eastAsia="Arial" w:hAnsi="Arial"/>
                <w:sz w:val="19"/>
                <w:szCs w:val="19"/>
                <w:color w:val="auto"/>
              </w:rPr>
              <w:t>Restricted cash included in other assets, non-current</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4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175</w:t>
            </w:r>
          </w:p>
        </w:tc>
        <w:tc>
          <w:tcPr>
            <w:tcW w:w="4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675</w:t>
            </w:r>
          </w:p>
        </w:tc>
        <w:tc>
          <w:tcPr>
            <w:tcW w:w="60" w:type="dxa"/>
            <w:vAlign w:val="bottom"/>
            <w:shd w:val="clear" w:color="auto" w:fill="CCEEFF"/>
          </w:tcPr>
          <w:p>
            <w:pPr>
              <w:spacing w:after="0"/>
              <w:rPr>
                <w:sz w:val="19"/>
                <w:szCs w:val="19"/>
                <w:color w:val="auto"/>
              </w:rPr>
            </w:pPr>
          </w:p>
        </w:tc>
      </w:tr>
      <w:tr>
        <w:trPr>
          <w:trHeight w:val="236"/>
        </w:trPr>
        <w:tc>
          <w:tcPr>
            <w:tcW w:w="8660" w:type="dxa"/>
            <w:vAlign w:val="bottom"/>
          </w:tcPr>
          <w:p>
            <w:pPr>
              <w:ind w:left="380"/>
              <w:spacing w:after="0"/>
              <w:rPr>
                <w:sz w:val="20"/>
                <w:szCs w:val="20"/>
                <w:color w:val="auto"/>
              </w:rPr>
            </w:pPr>
            <w:r>
              <w:rPr>
                <w:rFonts w:ascii="Arial" w:cs="Arial" w:eastAsia="Arial" w:hAnsi="Arial"/>
                <w:sz w:val="19"/>
                <w:szCs w:val="19"/>
                <w:color w:val="auto"/>
              </w:rPr>
              <w:t>Total cash, cash equivalents and restricted cash</w:t>
            </w:r>
          </w:p>
        </w:tc>
        <w:tc>
          <w:tcPr>
            <w:tcW w:w="160" w:type="dxa"/>
            <w:vAlign w:val="bottom"/>
          </w:tcPr>
          <w:p>
            <w:pPr>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w w:val="99"/>
              </w:rPr>
              <w:t>27,945</w:t>
            </w:r>
          </w:p>
        </w:tc>
        <w:tc>
          <w:tcPr>
            <w:tcW w:w="1540" w:type="dxa"/>
            <w:vAlign w:val="bottom"/>
            <w:gridSpan w:val="3"/>
          </w:tcPr>
          <w:p>
            <w:pPr>
              <w:jc w:val="right"/>
              <w:ind w:right="4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134,749</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36,821</w:t>
            </w:r>
          </w:p>
        </w:tc>
      </w:tr>
      <w:tr>
        <w:trPr>
          <w:trHeight w:val="20"/>
        </w:trPr>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Marketable Securities</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other comprehensive loss, which is reflected as a component of stockholders’ (deficit) equity. We evaluate our securities to assess whether those with unrealized loss positions are other than temporarily impaired. We consider impairments to be other than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F-9</w:t>
      </w:r>
    </w:p>
    <w:p>
      <w:pPr>
        <w:sectPr>
          <w:pgSz w:w="12240" w:h="15840" w:orient="portrait"/>
          <w:cols w:equalWidth="0" w:num="1">
            <w:col w:w="11820"/>
          </w:cols>
          <w:pgMar w:left="120" w:top="336" w:right="300" w:bottom="1440" w:gutter="0" w:footer="0" w:header="0"/>
        </w:sectPr>
      </w:pPr>
    </w:p>
    <w:bookmarkStart w:id="148" w:name="page149"/>
    <w:bookmarkEnd w:id="14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320"/>
        <w:spacing w:after="0" w:line="308" w:lineRule="auto"/>
        <w:rPr>
          <w:sz w:val="20"/>
          <w:szCs w:val="20"/>
          <w:color w:val="auto"/>
        </w:rPr>
      </w:pPr>
      <w:r>
        <w:rPr>
          <w:rFonts w:ascii="Arial" w:cs="Arial" w:eastAsia="Arial" w:hAnsi="Arial"/>
          <w:sz w:val="17"/>
          <w:szCs w:val="17"/>
          <w:color w:val="auto"/>
        </w:rPr>
        <w:t>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(expense), net in the consolidated statements of operations.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124" w:lineRule="exact"/>
        <w:rPr>
          <w:sz w:val="20"/>
          <w:szCs w:val="20"/>
          <w:color w:val="auto"/>
        </w:rPr>
      </w:pPr>
    </w:p>
    <w:p>
      <w:pPr>
        <w:ind w:left="180" w:right="60" w:firstLine="465"/>
        <w:spacing w:after="0" w:line="294" w:lineRule="auto"/>
        <w:rPr>
          <w:sz w:val="20"/>
          <w:szCs w:val="20"/>
          <w:color w:val="auto"/>
        </w:rPr>
      </w:pPr>
      <w:r>
        <w:rPr>
          <w:rFonts w:ascii="Arial" w:cs="Arial" w:eastAsia="Arial" w:hAnsi="Arial"/>
          <w:sz w:val="17"/>
          <w:szCs w:val="17"/>
          <w:color w:val="auto"/>
        </w:rPr>
        <w:t>Fair value is defined as the exchange price that would be received from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Level 1 – Quoted prices in active markets for identical assets or liabilities.</w:t>
      </w:r>
    </w:p>
    <w:p>
      <w:pPr>
        <w:spacing w:after="0" w:line="238" w:lineRule="exact"/>
        <w:rPr>
          <w:sz w:val="20"/>
          <w:szCs w:val="20"/>
          <w:color w:val="auto"/>
        </w:rPr>
      </w:pPr>
    </w:p>
    <w:p>
      <w:pPr>
        <w:ind w:left="640" w:right="80"/>
        <w:spacing w:after="0" w:line="263" w:lineRule="auto"/>
        <w:rPr>
          <w:sz w:val="20"/>
          <w:szCs w:val="20"/>
          <w:color w:val="auto"/>
        </w:rPr>
      </w:pPr>
      <w:r>
        <w:rPr>
          <w:rFonts w:ascii="Arial" w:cs="Arial" w:eastAsia="Arial" w:hAnsi="Arial"/>
          <w:sz w:val="19"/>
          <w:szCs w:val="19"/>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61"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Financial instruments consist of cash equivalents, restricted cash, marketable securities, accounts receivable and accounts payable. Cash equivalents, restricted cash and marketable securities are stated at fair value. Accounts receivable and accounts payable are stated at their carrying value, which approximates fair value due to the short time to the expected receipt or payment date.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Accounts Receivable</w:t>
      </w:r>
    </w:p>
    <w:p>
      <w:pPr>
        <w:spacing w:after="0" w:line="124" w:lineRule="exact"/>
        <w:rPr>
          <w:sz w:val="20"/>
          <w:szCs w:val="20"/>
          <w:color w:val="auto"/>
        </w:rPr>
      </w:pPr>
    </w:p>
    <w:p>
      <w:pPr>
        <w:ind w:left="180" w:firstLine="465"/>
        <w:spacing w:after="0" w:line="291" w:lineRule="auto"/>
        <w:rPr>
          <w:sz w:val="20"/>
          <w:szCs w:val="20"/>
          <w:color w:val="auto"/>
        </w:rPr>
      </w:pPr>
      <w:r>
        <w:rPr>
          <w:rFonts w:ascii="Arial" w:cs="Arial" w:eastAsia="Arial" w:hAnsi="Arial"/>
          <w:sz w:val="17"/>
          <w:szCs w:val="17"/>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124" w:lineRule="exact"/>
        <w:rPr>
          <w:sz w:val="20"/>
          <w:szCs w:val="20"/>
          <w:color w:val="auto"/>
        </w:rPr>
      </w:pPr>
    </w:p>
    <w:p>
      <w:pPr>
        <w:ind w:left="180" w:right="220" w:firstLine="465"/>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F-10</w:t>
      </w:r>
    </w:p>
    <w:p>
      <w:pPr>
        <w:sectPr>
          <w:pgSz w:w="12240" w:h="15840" w:orient="portrait"/>
          <w:cols w:equalWidth="0" w:num="1">
            <w:col w:w="11800"/>
          </w:cols>
          <w:pgMar w:left="120" w:top="336" w:right="320" w:bottom="1440" w:gutter="0" w:footer="0" w:header="0"/>
        </w:sectPr>
      </w:pPr>
    </w:p>
    <w:bookmarkStart w:id="149" w:name="page150"/>
    <w:bookmarkEnd w:id="14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Software Development Costs</w:t>
      </w:r>
    </w:p>
    <w:p>
      <w:pPr>
        <w:spacing w:after="0" w:line="124" w:lineRule="exact"/>
        <w:rPr>
          <w:sz w:val="20"/>
          <w:szCs w:val="20"/>
          <w:color w:val="auto"/>
        </w:rPr>
      </w:pPr>
    </w:p>
    <w:p>
      <w:pPr>
        <w:ind w:left="180" w:right="120" w:firstLine="465"/>
        <w:spacing w:after="0" w:line="288" w:lineRule="auto"/>
        <w:rPr>
          <w:sz w:val="20"/>
          <w:szCs w:val="20"/>
          <w:color w:val="auto"/>
        </w:rPr>
      </w:pPr>
      <w:r>
        <w:rPr>
          <w:rFonts w:ascii="Arial" w:cs="Arial" w:eastAsia="Arial" w:hAnsi="Arial"/>
          <w:sz w:val="17"/>
          <w:szCs w:val="17"/>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Capitalization of costs associated with the development of software was immaterial for all periods presented.</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2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or 2018.</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24" w:lineRule="exact"/>
        <w:rPr>
          <w:sz w:val="20"/>
          <w:szCs w:val="20"/>
          <w:color w:val="auto"/>
        </w:rPr>
      </w:pPr>
    </w:p>
    <w:p>
      <w:pPr>
        <w:ind w:left="180" w:right="40" w:firstLine="465"/>
        <w:spacing w:after="0" w:line="284" w:lineRule="auto"/>
        <w:rPr>
          <w:sz w:val="20"/>
          <w:szCs w:val="20"/>
          <w:color w:val="auto"/>
        </w:rPr>
      </w:pPr>
      <w:r>
        <w:rPr>
          <w:rFonts w:ascii="Arial" w:cs="Arial" w:eastAsia="Arial" w:hAnsi="Arial"/>
          <w:sz w:val="18"/>
          <w:szCs w:val="18"/>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No offering costs were capitalized as of January 31, 2017 or 2018.</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24" w:lineRule="exact"/>
        <w:rPr>
          <w:sz w:val="20"/>
          <w:szCs w:val="20"/>
          <w:color w:val="auto"/>
        </w:rPr>
      </w:pPr>
    </w:p>
    <w:p>
      <w:pPr>
        <w:ind w:left="180" w:right="100" w:firstLine="465"/>
        <w:spacing w:after="0" w:line="259" w:lineRule="auto"/>
        <w:rPr>
          <w:sz w:val="20"/>
          <w:szCs w:val="20"/>
          <w:color w:val="auto"/>
        </w:rPr>
      </w:pPr>
      <w:r>
        <w:rPr>
          <w:rFonts w:ascii="Arial" w:cs="Arial" w:eastAsia="Arial" w:hAnsi="Arial"/>
          <w:sz w:val="19"/>
          <w:szCs w:val="19"/>
          <w:color w:val="auto"/>
        </w:rPr>
        <w:t>We derive our revenue from subscription agreements with customers for access to our video-first communications platform and services. We elected to adopt Accounting Standards Codification (ASC) Topic 606, Revenue from Contracts with Customers (ASC 606), effective as of February 1, 2017, utilizing the full retrospective method of adoption. Accordingly, the consolidated financial statements for the fiscal years ended January 31, 2017 and 2018 are presented under ASC 606.</w:t>
      </w:r>
    </w:p>
    <w:p>
      <w:pPr>
        <w:spacing w:after="0" w:line="19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1. Identification of the contract, or contracts, with the customer</w:t>
      </w:r>
    </w:p>
    <w:p>
      <w:pPr>
        <w:spacing w:after="0" w:line="124" w:lineRule="exact"/>
        <w:rPr>
          <w:sz w:val="20"/>
          <w:szCs w:val="20"/>
          <w:color w:val="auto"/>
        </w:rPr>
      </w:pPr>
    </w:p>
    <w:p>
      <w:pPr>
        <w:ind w:left="640" w:right="160" w:firstLine="447"/>
        <w:spacing w:after="0" w:line="263" w:lineRule="auto"/>
        <w:rPr>
          <w:sz w:val="20"/>
          <w:szCs w:val="20"/>
          <w:color w:val="auto"/>
        </w:rPr>
      </w:pPr>
      <w:r>
        <w:rPr>
          <w:rFonts w:ascii="Arial" w:cs="Arial" w:eastAsia="Arial" w:hAnsi="Arial"/>
          <w:sz w:val="19"/>
          <w:szCs w:val="19"/>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F-11</w:t>
      </w:r>
    </w:p>
    <w:p>
      <w:pPr>
        <w:sectPr>
          <w:pgSz w:w="12240" w:h="15840" w:orient="portrait"/>
          <w:cols w:equalWidth="0" w:num="1">
            <w:col w:w="11780"/>
          </w:cols>
          <w:pgMar w:left="120" w:top="336" w:right="340" w:bottom="1440" w:gutter="0" w:footer="0" w:header="0"/>
        </w:sectPr>
      </w:pPr>
    </w:p>
    <w:bookmarkStart w:id="150" w:name="page151"/>
    <w:bookmarkEnd w:id="15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right="60"/>
        <w:spacing w:after="0" w:line="259" w:lineRule="auto"/>
        <w:rPr>
          <w:sz w:val="20"/>
          <w:szCs w:val="20"/>
          <w:color w:val="auto"/>
        </w:rPr>
      </w:pPr>
      <w:r>
        <w:rPr>
          <w:rFonts w:ascii="Arial" w:cs="Arial" w:eastAsia="Arial" w:hAnsi="Arial"/>
          <w:sz w:val="19"/>
          <w:szCs w:val="19"/>
          <w:color w:val="auto"/>
        </w:rPr>
        <w:t>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2. Identification of the performance obligations in the contract</w:t>
      </w:r>
    </w:p>
    <w:p>
      <w:pPr>
        <w:spacing w:after="0" w:line="124" w:lineRule="exact"/>
        <w:rPr>
          <w:sz w:val="20"/>
          <w:szCs w:val="20"/>
          <w:color w:val="auto"/>
        </w:rPr>
      </w:pPr>
    </w:p>
    <w:p>
      <w:pPr>
        <w:ind w:left="640" w:right="160" w:firstLine="447"/>
        <w:spacing w:after="0" w:line="254" w:lineRule="auto"/>
        <w:rPr>
          <w:sz w:val="20"/>
          <w:szCs w:val="20"/>
          <w:color w:val="auto"/>
        </w:rPr>
      </w:pPr>
      <w:r>
        <w:rPr>
          <w:rFonts w:ascii="Arial" w:cs="Arial" w:eastAsia="Arial" w:hAnsi="Arial"/>
          <w:sz w:val="19"/>
          <w:szCs w:val="19"/>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207" w:lineRule="exact"/>
        <w:rPr>
          <w:sz w:val="20"/>
          <w:szCs w:val="20"/>
          <w:color w:val="auto"/>
        </w:rPr>
      </w:pPr>
    </w:p>
    <w:p>
      <w:pPr>
        <w:ind w:left="640" w:right="80" w:firstLine="447"/>
        <w:spacing w:after="0" w:line="275" w:lineRule="auto"/>
        <w:rPr>
          <w:sz w:val="20"/>
          <w:szCs w:val="20"/>
          <w:color w:val="auto"/>
        </w:rPr>
      </w:pPr>
      <w:r>
        <w:rPr>
          <w:rFonts w:ascii="Arial" w:cs="Arial" w:eastAsia="Arial" w:hAnsi="Arial"/>
          <w:sz w:val="19"/>
          <w:szCs w:val="19"/>
          <w:color w:val="auto"/>
        </w:rPr>
        <w:t>We also provide services, which include professional services, consulting services and online event hosting, which are generally considered distinct from the access to our video-first communications platform.</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3. Determination of the transaction price</w:t>
      </w:r>
    </w:p>
    <w:p>
      <w:pPr>
        <w:spacing w:after="0" w:line="124" w:lineRule="exact"/>
        <w:rPr>
          <w:sz w:val="20"/>
          <w:szCs w:val="20"/>
          <w:color w:val="auto"/>
        </w:rPr>
      </w:pPr>
    </w:p>
    <w:p>
      <w:pPr>
        <w:ind w:left="640" w:right="80" w:firstLine="447"/>
        <w:spacing w:after="0" w:line="256" w:lineRule="auto"/>
        <w:rPr>
          <w:sz w:val="20"/>
          <w:szCs w:val="20"/>
          <w:color w:val="auto"/>
        </w:rPr>
      </w:pPr>
      <w:r>
        <w:rPr>
          <w:rFonts w:ascii="Arial" w:cs="Arial" w:eastAsia="Arial" w:hAnsi="Arial"/>
          <w:sz w:val="19"/>
          <w:szCs w:val="19"/>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204" w:lineRule="exact"/>
        <w:rPr>
          <w:sz w:val="20"/>
          <w:szCs w:val="20"/>
          <w:color w:val="auto"/>
        </w:rPr>
      </w:pPr>
    </w:p>
    <w:p>
      <w:pPr>
        <w:ind w:left="640" w:firstLine="447"/>
        <w:spacing w:after="0" w:line="272"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4. Allocation of the transaction price to the performance obligations in the contract</w:t>
      </w:r>
    </w:p>
    <w:p>
      <w:pPr>
        <w:spacing w:after="0" w:line="124" w:lineRule="exact"/>
        <w:rPr>
          <w:sz w:val="20"/>
          <w:szCs w:val="20"/>
          <w:color w:val="auto"/>
        </w:rPr>
      </w:pPr>
    </w:p>
    <w:p>
      <w:pPr>
        <w:jc w:val="both"/>
        <w:ind w:left="640" w:right="60" w:firstLine="447"/>
        <w:spacing w:after="0" w:line="259" w:lineRule="auto"/>
        <w:rPr>
          <w:sz w:val="20"/>
          <w:szCs w:val="20"/>
          <w:color w:val="auto"/>
        </w:rPr>
      </w:pPr>
      <w:r>
        <w:rPr>
          <w:rFonts w:ascii="Arial" w:cs="Arial" w:eastAsia="Arial" w:hAnsi="Arial"/>
          <w:sz w:val="19"/>
          <w:szCs w:val="19"/>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F-12</w:t>
      </w:r>
    </w:p>
    <w:p>
      <w:pPr>
        <w:sectPr>
          <w:pgSz w:w="12240" w:h="15840" w:orient="portrait"/>
          <w:cols w:equalWidth="0" w:num="1">
            <w:col w:w="11780"/>
          </w:cols>
          <w:pgMar w:left="120" w:top="337" w:right="340" w:bottom="1440" w:gutter="0" w:footer="0" w:header="0"/>
        </w:sectPr>
      </w:pPr>
    </w:p>
    <w:bookmarkStart w:id="151" w:name="page152"/>
    <w:bookmarkEnd w:id="15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5. Recognition of the revenue when, or as, a performance obligation is satisfied</w:t>
      </w:r>
    </w:p>
    <w:p>
      <w:pPr>
        <w:spacing w:after="0" w:line="124" w:lineRule="exact"/>
        <w:rPr>
          <w:sz w:val="20"/>
          <w:szCs w:val="20"/>
          <w:color w:val="auto"/>
        </w:rPr>
      </w:pPr>
    </w:p>
    <w:p>
      <w:pPr>
        <w:ind w:left="640" w:right="300" w:firstLine="447"/>
        <w:spacing w:after="0" w:line="298"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0" w:lineRule="exact"/>
        <w:rPr>
          <w:sz w:val="20"/>
          <w:szCs w:val="20"/>
          <w:color w:val="auto"/>
        </w:rPr>
      </w:pPr>
    </w:p>
    <w:p>
      <w:pPr>
        <w:ind w:left="640" w:right="80" w:firstLine="447"/>
        <w:spacing w:after="0" w:line="275" w:lineRule="auto"/>
        <w:rPr>
          <w:sz w:val="20"/>
          <w:szCs w:val="20"/>
          <w:color w:val="auto"/>
        </w:rPr>
      </w:pPr>
      <w:r>
        <w:rPr>
          <w:rFonts w:ascii="Arial" w:cs="Arial" w:eastAsia="Arial" w:hAnsi="Arial"/>
          <w:sz w:val="19"/>
          <w:szCs w:val="19"/>
          <w:color w:val="auto"/>
        </w:rPr>
        <w:t>Services are time-based arrangements and revenue is recognized as these services are performed. Fees for services represent less than 3% of revenue in the periods presented.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Disaggregation of Revenue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summarizes revenue by region based on the billing address of customers: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6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3"/>
              </w:rPr>
              <w:t>Year Ended January 31,</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74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0"/>
              <w:spacing w:after="0" w:line="151" w:lineRule="exact"/>
              <w:rPr>
                <w:sz w:val="20"/>
                <w:szCs w:val="20"/>
                <w:color w:val="auto"/>
              </w:rPr>
            </w:pPr>
            <w:r>
              <w:rPr>
                <w:rFonts w:ascii="Arial" w:cs="Arial" w:eastAsia="Arial" w:hAnsi="Arial"/>
                <w:sz w:val="15"/>
                <w:szCs w:val="15"/>
                <w:b w:val="1"/>
                <w:bCs w:val="1"/>
                <w:color w:val="auto"/>
                <w:w w:val="89"/>
              </w:rPr>
              <w:t>2018</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2"/>
              </w:rPr>
              <w:t>Percentage</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5"/>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2"/>
          </w:tcPr>
          <w:p>
            <w:pPr>
              <w:jc w:val="center"/>
              <w:ind w:right="700"/>
              <w:spacing w:after="0" w:line="157" w:lineRule="exact"/>
              <w:rPr>
                <w:sz w:val="20"/>
                <w:szCs w:val="20"/>
                <w:color w:val="auto"/>
              </w:rPr>
            </w:pPr>
            <w:r>
              <w:rPr>
                <w:rFonts w:ascii="Arial" w:cs="Arial" w:eastAsia="Arial" w:hAnsi="Arial"/>
                <w:sz w:val="15"/>
                <w:szCs w:val="15"/>
                <w:b w:val="1"/>
                <w:bCs w:val="1"/>
                <w:color w:val="auto"/>
                <w:w w:val="98"/>
              </w:rPr>
              <w:t>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5"/>
                <w:szCs w:val="15"/>
                <w:b w:val="1"/>
                <w:bCs w:val="1"/>
                <w:color w:val="auto"/>
                <w:w w:val="84"/>
              </w:rPr>
              <w:t>of</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b w:val="1"/>
                <w:bCs w:val="1"/>
                <w:color w:val="auto"/>
                <w:w w:val="98"/>
              </w:rPr>
              <w:t>Amount</w:t>
            </w:r>
          </w:p>
        </w:tc>
        <w:tc>
          <w:tcPr>
            <w:tcW w:w="560" w:type="dxa"/>
            <w:vAlign w:val="bottom"/>
          </w:tcPr>
          <w:p>
            <w:pPr>
              <w:spacing w:after="0"/>
              <w:rPr>
                <w:sz w:val="15"/>
                <w:szCs w:val="15"/>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5"/>
                <w:szCs w:val="15"/>
                <w:b w:val="1"/>
                <w:bCs w:val="1"/>
                <w:color w:val="auto"/>
                <w:w w:val="86"/>
              </w:rPr>
              <w:t>Revenue</w:t>
            </w:r>
          </w:p>
        </w:tc>
        <w:tc>
          <w:tcPr>
            <w:tcW w:w="820" w:type="dxa"/>
            <w:vAlign w:val="bottom"/>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Revenue</w:t>
            </w:r>
          </w:p>
        </w:tc>
        <w:tc>
          <w:tcPr>
            <w:tcW w:w="0" w:type="dxa"/>
            <w:vAlign w:val="bottom"/>
          </w:tcPr>
          <w:p>
            <w:pPr>
              <w:spacing w:after="0"/>
              <w:rPr>
                <w:sz w:val="1"/>
                <w:szCs w:val="1"/>
                <w:color w:val="auto"/>
              </w:rPr>
            </w:pPr>
          </w:p>
        </w:tc>
      </w:tr>
      <w:tr>
        <w:trPr>
          <w:trHeight w:val="151"/>
        </w:trPr>
        <w:tc>
          <w:tcPr>
            <w:tcW w:w="68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4"/>
          </w:tcPr>
          <w:p>
            <w:pPr>
              <w:jc w:val="center"/>
              <w:spacing w:after="0" w:line="151" w:lineRule="exact"/>
              <w:rPr>
                <w:sz w:val="20"/>
                <w:szCs w:val="20"/>
                <w:color w:val="auto"/>
              </w:rPr>
            </w:pPr>
            <w:r>
              <w:rPr>
                <w:rFonts w:ascii="Arial" w:cs="Arial" w:eastAsia="Arial" w:hAnsi="Arial"/>
                <w:sz w:val="15"/>
                <w:szCs w:val="15"/>
                <w:b w:val="1"/>
                <w:bCs w:val="1"/>
                <w:color w:val="auto"/>
                <w:w w:val="88"/>
              </w:rPr>
              <w:t>(in thousands, except percentages)</w:t>
            </w:r>
          </w:p>
        </w:tc>
        <w:tc>
          <w:tcPr>
            <w:tcW w:w="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spacing w:after="0"/>
              <w:rPr>
                <w:sz w:val="20"/>
                <w:szCs w:val="20"/>
                <w:color w:val="auto"/>
              </w:rPr>
            </w:pPr>
            <w:r>
              <w:rPr>
                <w:rFonts w:ascii="Arial" w:cs="Arial" w:eastAsia="Arial" w:hAnsi="Arial"/>
                <w:sz w:val="19"/>
                <w:szCs w:val="19"/>
                <w:color w:val="auto"/>
              </w:rPr>
              <w:t>Americas</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$50,676</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9"/>
                <w:szCs w:val="19"/>
                <w:color w:val="auto"/>
              </w:rPr>
              <w:t>83%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9"/>
                <w:szCs w:val="19"/>
                <w:color w:val="auto"/>
                <w:w w:val="88"/>
              </w:rPr>
              <w:t>$125,428</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83%</w:t>
            </w:r>
          </w:p>
        </w:tc>
        <w:tc>
          <w:tcPr>
            <w:tcW w:w="0" w:type="dxa"/>
            <w:vAlign w:val="bottom"/>
          </w:tcPr>
          <w:p>
            <w:pPr>
              <w:spacing w:after="0"/>
              <w:rPr>
                <w:sz w:val="1"/>
                <w:szCs w:val="1"/>
                <w:color w:val="auto"/>
              </w:rPr>
            </w:pPr>
          </w:p>
        </w:tc>
      </w:tr>
      <w:tr>
        <w:trPr>
          <w:trHeight w:val="228"/>
        </w:trPr>
        <w:tc>
          <w:tcPr>
            <w:tcW w:w="6800" w:type="dxa"/>
            <w:vAlign w:val="bottom"/>
          </w:tcPr>
          <w:p>
            <w:pPr>
              <w:spacing w:after="0"/>
              <w:rPr>
                <w:sz w:val="20"/>
                <w:szCs w:val="20"/>
                <w:color w:val="auto"/>
              </w:rPr>
            </w:pPr>
            <w:r>
              <w:rPr>
                <w:rFonts w:ascii="Arial" w:cs="Arial" w:eastAsia="Arial" w:hAnsi="Arial"/>
                <w:sz w:val="19"/>
                <w:szCs w:val="19"/>
                <w:color w:val="auto"/>
              </w:rPr>
              <w:t>APAC</w:t>
            </w:r>
          </w:p>
        </w:tc>
        <w:tc>
          <w:tcPr>
            <w:tcW w:w="620" w:type="dxa"/>
            <w:vAlign w:val="bottom"/>
          </w:tcPr>
          <w:p>
            <w:pPr>
              <w:jc w:val="right"/>
              <w:spacing w:after="0"/>
              <w:rPr>
                <w:sz w:val="20"/>
                <w:szCs w:val="20"/>
                <w:color w:val="auto"/>
              </w:rPr>
            </w:pPr>
            <w:r>
              <w:rPr>
                <w:rFonts w:ascii="Arial" w:cs="Arial" w:eastAsia="Arial" w:hAnsi="Arial"/>
                <w:sz w:val="19"/>
                <w:szCs w:val="19"/>
                <w:color w:val="auto"/>
              </w:rPr>
              <w:t>5,756</w:t>
            </w:r>
          </w:p>
        </w:tc>
        <w:tc>
          <w:tcPr>
            <w:tcW w:w="2000" w:type="dxa"/>
            <w:vAlign w:val="bottom"/>
            <w:gridSpan w:val="3"/>
          </w:tcPr>
          <w:p>
            <w:pPr>
              <w:jc w:val="right"/>
              <w:ind w:right="700"/>
              <w:spacing w:after="0"/>
              <w:rPr>
                <w:sz w:val="20"/>
                <w:szCs w:val="20"/>
                <w:color w:val="auto"/>
              </w:rPr>
            </w:pPr>
            <w:r>
              <w:rPr>
                <w:rFonts w:ascii="Arial" w:cs="Arial" w:eastAsia="Arial" w:hAnsi="Arial"/>
                <w:sz w:val="19"/>
                <w:szCs w:val="19"/>
                <w:color w:val="auto"/>
              </w:rPr>
              <w:t>10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color w:val="auto"/>
              </w:rPr>
              <w:t>13,652</w:t>
            </w:r>
          </w:p>
        </w:tc>
        <w:tc>
          <w:tcPr>
            <w:tcW w:w="1400" w:type="dxa"/>
            <w:vAlign w:val="bottom"/>
            <w:gridSpan w:val="3"/>
          </w:tcPr>
          <w:p>
            <w:pPr>
              <w:jc w:val="right"/>
              <w:ind w:right="220"/>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spacing w:after="0"/>
              <w:rPr>
                <w:sz w:val="20"/>
                <w:szCs w:val="20"/>
                <w:color w:val="auto"/>
              </w:rPr>
            </w:pPr>
            <w:r>
              <w:rPr>
                <w:rFonts w:ascii="Arial" w:cs="Arial" w:eastAsia="Arial" w:hAnsi="Arial"/>
                <w:sz w:val="19"/>
                <w:szCs w:val="19"/>
                <w:color w:val="auto"/>
              </w:rPr>
              <w:t>EMEA</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4,385</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12,398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60,817</w:t>
            </w:r>
          </w:p>
        </w:tc>
        <w:tc>
          <w:tcPr>
            <w:tcW w:w="56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9"/>
                <w:szCs w:val="19"/>
                <w:color w:val="auto"/>
              </w:rPr>
              <w:t>100%</w:t>
            </w:r>
          </w:p>
        </w:tc>
        <w:tc>
          <w:tcPr>
            <w:tcW w:w="820" w:type="dxa"/>
            <w:vAlign w:val="bottom"/>
            <w:gridSpan w:val="2"/>
          </w:tcPr>
          <w:p>
            <w:pPr>
              <w:jc w:val="right"/>
              <w:ind w:right="100"/>
              <w:spacing w:after="0"/>
              <w:rPr>
                <w:sz w:val="20"/>
                <w:szCs w:val="20"/>
                <w:color w:val="auto"/>
              </w:rPr>
            </w:pPr>
            <w:r>
              <w:rPr>
                <w:rFonts w:ascii="Arial" w:cs="Arial" w:eastAsia="Arial" w:hAnsi="Arial"/>
                <w:sz w:val="19"/>
                <w:szCs w:val="19"/>
                <w:u w:val="single" w:color="auto"/>
                <w:color w:val="auto"/>
                <w:w w:val="88"/>
              </w:rPr>
              <w:t>$</w:t>
            </w:r>
            <w:r>
              <w:rPr>
                <w:rFonts w:ascii="Arial" w:cs="Arial" w:eastAsia="Arial" w:hAnsi="Arial"/>
                <w:sz w:val="19"/>
                <w:szCs w:val="19"/>
                <w:color w:val="auto"/>
                <w:w w:val="88"/>
              </w:rPr>
              <w:t>151,478</w:t>
            </w:r>
          </w:p>
        </w:tc>
        <w:tc>
          <w:tcPr>
            <w:tcW w:w="1400" w:type="dxa"/>
            <w:vAlign w:val="bottom"/>
            <w:gridSpan w:val="3"/>
          </w:tcPr>
          <w:p>
            <w:pPr>
              <w:jc w:val="right"/>
              <w:ind w:right="60"/>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Contract Balances</w:t>
      </w:r>
    </w:p>
    <w:p>
      <w:pPr>
        <w:spacing w:after="0" w:line="124" w:lineRule="exact"/>
        <w:rPr>
          <w:sz w:val="20"/>
          <w:szCs w:val="20"/>
          <w:color w:val="auto"/>
        </w:rPr>
      </w:pPr>
    </w:p>
    <w:p>
      <w:pPr>
        <w:ind w:left="180" w:right="60" w:firstLine="465"/>
        <w:spacing w:after="0" w:line="274" w:lineRule="auto"/>
        <w:rPr>
          <w:sz w:val="20"/>
          <w:szCs w:val="20"/>
          <w:color w:val="auto"/>
        </w:rPr>
      </w:pPr>
      <w:r>
        <w:rPr>
          <w:rFonts w:ascii="Arial" w:cs="Arial" w:eastAsia="Arial" w:hAnsi="Arial"/>
          <w:sz w:val="18"/>
          <w:szCs w:val="18"/>
          <w:color w:val="auto"/>
        </w:rPr>
        <w:t>We receive payments from customers based on a billing schedule as established in our agreements. Accounts receivable are recorded when we contractually have the right to consideration. In some arrangements, a right to consideration for our performance under the contract may occur before invoicing to the customer, resulting in an unbilled accounts receivable. The amount of unbilled accounts receivable included within accounts receivable, net on the consolidated balance sheets was $1.8 million and $2.5 million as of January 31, 2017 and 2018, respectively. The balance of accounts receivable, net as of February 1, 2016 was $4.4 million, inclusive of unbilled accounts receivable of $0.7 million.</w:t>
      </w:r>
    </w:p>
    <w:p>
      <w:pPr>
        <w:spacing w:after="0" w:line="188"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Contract liabilities consist of deferred revenue. Revenue is deferred when we have the right to invoice in advance of performance under a contract. The current portion of deferred revenue balances are recognized during the following 12-month period. The amount of revenue recognized in the fiscal years ended January 31, 2017 and 2018 that was included in deferred revenue at the beginning of each period was $7.1 million and $21.3 million, respectively. The balance of deferred revenue, current and deferred revenue, non-current as of February 1, 2016 was $7.1 million and $0.7 million, respectively.</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Remaining Performance Obligation</w:t>
      </w:r>
    </w:p>
    <w:p>
      <w:pPr>
        <w:spacing w:after="0" w:line="124" w:lineRule="exact"/>
        <w:rPr>
          <w:sz w:val="20"/>
          <w:szCs w:val="20"/>
          <w:color w:val="auto"/>
        </w:rPr>
      </w:pPr>
    </w:p>
    <w:p>
      <w:pPr>
        <w:jc w:val="both"/>
        <w:ind w:left="180" w:right="440" w:firstLine="465"/>
        <w:spacing w:after="0" w:line="308" w:lineRule="auto"/>
        <w:rPr>
          <w:sz w:val="20"/>
          <w:szCs w:val="20"/>
          <w:color w:val="auto"/>
        </w:rPr>
      </w:pPr>
      <w:r>
        <w:rPr>
          <w:rFonts w:ascii="Arial" w:cs="Arial" w:eastAsia="Arial" w:hAnsi="Arial"/>
          <w:sz w:val="17"/>
          <w:szCs w:val="17"/>
          <w:color w:val="auto"/>
        </w:rPr>
        <w:t>The terms of our subscription agreements are monthly, annual and multi-year, and we may bill for the full term in advance or on an annual or monthly basis, depending on the customer preference. As of January 31, 2018, the aggregate amount of the transaction price allocated to remaining performance obligations was $130.0 million, which consists of both billed consideration in the amount of $54.3 million and unbilled</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F-13</w:t>
      </w:r>
    </w:p>
    <w:p>
      <w:pPr>
        <w:sectPr>
          <w:pgSz w:w="12240" w:h="15840" w:orient="portrait"/>
          <w:cols w:equalWidth="0" w:num="1">
            <w:col w:w="11820"/>
          </w:cols>
          <w:pgMar w:left="120" w:top="336" w:right="300" w:bottom="1440" w:gutter="0" w:footer="0" w:header="0"/>
        </w:sectPr>
      </w:pPr>
    </w:p>
    <w:bookmarkStart w:id="152" w:name="page153"/>
    <w:bookmarkEnd w:id="15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660"/>
        <w:spacing w:after="0" w:line="275" w:lineRule="auto"/>
        <w:rPr>
          <w:sz w:val="20"/>
          <w:szCs w:val="20"/>
          <w:color w:val="auto"/>
        </w:rPr>
      </w:pPr>
      <w:r>
        <w:rPr>
          <w:rFonts w:ascii="Arial" w:cs="Arial" w:eastAsia="Arial" w:hAnsi="Arial"/>
          <w:sz w:val="19"/>
          <w:szCs w:val="19"/>
          <w:color w:val="auto"/>
        </w:rPr>
        <w:t>consideration in the amount of $75.7 million that we expect to recognize as revenue. We expect to recognize 67% of our remaining performance obligations as revenue in fiscal 2019, and the remainder thereafter.</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Cost to Obtain a Contract</w:t>
      </w:r>
    </w:p>
    <w:p>
      <w:pPr>
        <w:spacing w:after="0" w:line="124" w:lineRule="exact"/>
        <w:rPr>
          <w:sz w:val="20"/>
          <w:szCs w:val="20"/>
          <w:color w:val="auto"/>
        </w:rPr>
      </w:pPr>
    </w:p>
    <w:p>
      <w:pPr>
        <w:ind w:left="180" w:right="260" w:firstLine="465"/>
        <w:spacing w:after="0" w:line="308" w:lineRule="auto"/>
        <w:rPr>
          <w:sz w:val="20"/>
          <w:szCs w:val="20"/>
          <w:color w:val="auto"/>
        </w:rPr>
      </w:pPr>
      <w:r>
        <w:rPr>
          <w:rFonts w:ascii="Arial" w:cs="Arial" w:eastAsia="Arial" w:hAnsi="Arial"/>
          <w:sz w:val="17"/>
          <w:szCs w:val="17"/>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60"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Sales commissions paid upon the initial acquisition of a contract are amortized over an estimated period of benefit of three years, which is typically greater than the contractual terms of the contracts. We do not pay sales commissions upon contract renewal. Amortization is recognized on a straight-line basis commensurate with the pattern of revenue recognition. We determine the period of benefit for commissions paid for the acquisition of the initial subscription agreement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204" w:lineRule="exact"/>
        <w:rPr>
          <w:sz w:val="20"/>
          <w:szCs w:val="20"/>
          <w:color w:val="auto"/>
        </w:rPr>
      </w:pPr>
    </w:p>
    <w:p>
      <w:pPr>
        <w:ind w:left="180" w:right="20" w:firstLine="465"/>
        <w:spacing w:after="0" w:line="275" w:lineRule="auto"/>
        <w:rPr>
          <w:sz w:val="20"/>
          <w:szCs w:val="20"/>
          <w:color w:val="auto"/>
        </w:rPr>
      </w:pPr>
      <w:r>
        <w:rPr>
          <w:rFonts w:ascii="Arial" w:cs="Arial" w:eastAsia="Arial" w:hAnsi="Arial"/>
          <w:sz w:val="19"/>
          <w:szCs w:val="19"/>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represents a rollforward of deferred contract acquisition costs:</w:t>
      </w:r>
    </w:p>
    <w:p>
      <w:pPr>
        <w:spacing w:after="0" w:line="258" w:lineRule="exact"/>
        <w:rPr>
          <w:sz w:val="20"/>
          <w:szCs w:val="20"/>
          <w:color w:val="auto"/>
        </w:rPr>
      </w:pPr>
    </w:p>
    <w:p>
      <w:pPr>
        <w:ind w:left="10520"/>
        <w:spacing w:after="0"/>
        <w:rPr>
          <w:sz w:val="20"/>
          <w:szCs w:val="20"/>
          <w:color w:val="auto"/>
        </w:rPr>
      </w:pPr>
      <w:r>
        <w:rPr>
          <w:rFonts w:ascii="Arial" w:cs="Arial" w:eastAsia="Arial" w:hAnsi="Arial"/>
          <w:sz w:val="15"/>
          <w:szCs w:val="15"/>
          <w:b w:val="1"/>
          <w:bCs w:val="1"/>
          <w:color w:val="auto"/>
        </w:rPr>
        <w:t>Year Ended</w:t>
      </w:r>
    </w:p>
    <w:p>
      <w:pPr>
        <w:ind w:left="1052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99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right"/>
              <w:ind w:right="24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9"/>
                <w:szCs w:val="19"/>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4,023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$12,139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Arial" w:cs="Arial" w:eastAsia="Arial" w:hAnsi="Arial"/>
                <w:sz w:val="19"/>
                <w:szCs w:val="19"/>
                <w:color w:val="auto"/>
              </w:rPr>
              <w:t>Additions to deferred contract acquisition costs</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9"/>
                <w:szCs w:val="19"/>
                <w:color w:val="auto"/>
                <w:w w:val="89"/>
              </w:rPr>
              <w:t>11,230</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27,470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Amortization of deferred contract acquisition costs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6"/>
              </w:rPr>
              <w:t>(3,114)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(9,023)</w:t>
            </w:r>
          </w:p>
        </w:tc>
        <w:tc>
          <w:tcPr>
            <w:tcW w:w="0" w:type="dxa"/>
            <w:vAlign w:val="bottom"/>
          </w:tcPr>
          <w:p>
            <w:pPr>
              <w:spacing w:after="0"/>
              <w:rPr>
                <w:sz w:val="1"/>
                <w:szCs w:val="1"/>
                <w:color w:val="auto"/>
              </w:rPr>
            </w:pPr>
          </w:p>
        </w:tc>
      </w:tr>
      <w:tr>
        <w:trPr>
          <w:trHeight w:val="20"/>
        </w:trPr>
        <w:tc>
          <w:tcPr>
            <w:tcW w:w="9920" w:type="dxa"/>
            <w:vAlign w:val="bottom"/>
            <w:gridSpan w:val="2"/>
            <w:vMerge w:val="restart"/>
          </w:tcPr>
          <w:p>
            <w:pPr>
              <w:spacing w:after="0"/>
              <w:rPr>
                <w:sz w:val="20"/>
                <w:szCs w:val="20"/>
                <w:color w:val="auto"/>
              </w:rPr>
            </w:pPr>
            <w:r>
              <w:rPr>
                <w:rFonts w:ascii="Arial" w:cs="Arial" w:eastAsia="Arial" w:hAnsi="Arial"/>
                <w:sz w:val="19"/>
                <w:szCs w:val="19"/>
                <w:color w:val="auto"/>
              </w:rPr>
              <w:t>Ending balance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9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tcPr>
          <w:p>
            <w:pPr>
              <w:jc w:val="right"/>
              <w:spacing w:after="0"/>
              <w:rPr>
                <w:sz w:val="20"/>
                <w:szCs w:val="20"/>
                <w:color w:val="auto"/>
              </w:rPr>
            </w:pPr>
            <w:r>
              <w:rPr>
                <w:rFonts w:ascii="Arial" w:cs="Arial" w:eastAsia="Arial" w:hAnsi="Arial"/>
                <w:sz w:val="19"/>
                <w:szCs w:val="19"/>
                <w:color w:val="auto"/>
                <w:w w:val="89"/>
              </w:rPr>
              <w:t>12,139</w:t>
            </w:r>
          </w:p>
        </w:tc>
        <w:tc>
          <w:tcPr>
            <w:tcW w:w="3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99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Deferred contract acquisition costs, current (to be recognized in next 12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9"/>
                <w:szCs w:val="19"/>
                <w:color w:val="auto"/>
              </w:rPr>
              <w:t>5,261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$13,888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00" w:type="dxa"/>
            <w:vAlign w:val="bottom"/>
          </w:tcPr>
          <w:p>
            <w:pPr>
              <w:ind w:left="360"/>
              <w:spacing w:after="0"/>
              <w:rPr>
                <w:sz w:val="20"/>
                <w:szCs w:val="20"/>
                <w:color w:val="auto"/>
              </w:rPr>
            </w:pPr>
            <w:r>
              <w:rPr>
                <w:rFonts w:ascii="Arial" w:cs="Arial" w:eastAsia="Arial" w:hAnsi="Arial"/>
                <w:sz w:val="19"/>
                <w:szCs w:val="19"/>
                <w:color w:val="auto"/>
              </w:rPr>
              <w:t>Deferred contract acquisition costs, non-current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6,878</w:t>
            </w: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16,698</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9"/>
                <w:szCs w:val="19"/>
                <w:color w:val="auto"/>
              </w:rPr>
              <w:t>Total deferred contract acquisition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u w:val="single" w:color="auto"/>
                <w:color w:val="auto"/>
                <w:w w:val="7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9"/>
              </w:rPr>
              <w:t>12,139</w:t>
            </w: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30,586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Cost of Revenue</w:t>
      </w:r>
    </w:p>
    <w:p>
      <w:pPr>
        <w:spacing w:after="0" w:line="124" w:lineRule="exact"/>
        <w:rPr>
          <w:sz w:val="20"/>
          <w:szCs w:val="20"/>
          <w:color w:val="auto"/>
        </w:rPr>
      </w:pPr>
    </w:p>
    <w:p>
      <w:pPr>
        <w:ind w:left="180" w:right="280" w:firstLine="465"/>
        <w:spacing w:after="0" w:line="256" w:lineRule="auto"/>
        <w:rPr>
          <w:sz w:val="20"/>
          <w:szCs w:val="20"/>
          <w:color w:val="auto"/>
        </w:rPr>
      </w:pPr>
      <w:r>
        <w:rPr>
          <w:rFonts w:ascii="Arial" w:cs="Arial" w:eastAsia="Arial" w:hAnsi="Arial"/>
          <w:sz w:val="19"/>
          <w:szCs w:val="19"/>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 services, personnel-related costs,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F-14</w:t>
      </w:r>
    </w:p>
    <w:p>
      <w:pPr>
        <w:sectPr>
          <w:pgSz w:w="12240" w:h="15840" w:orient="portrait"/>
          <w:cols w:equalWidth="0" w:num="1">
            <w:col w:w="11820"/>
          </w:cols>
          <w:pgMar w:left="120" w:top="336" w:right="300" w:bottom="1440" w:gutter="0" w:footer="0" w:header="0"/>
        </w:sectPr>
      </w:pPr>
    </w:p>
    <w:bookmarkStart w:id="153" w:name="page154"/>
    <w:bookmarkEnd w:id="15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Research and Development</w:t>
      </w:r>
    </w:p>
    <w:p>
      <w:pPr>
        <w:spacing w:after="0" w:line="124" w:lineRule="exact"/>
        <w:rPr>
          <w:sz w:val="20"/>
          <w:szCs w:val="20"/>
          <w:color w:val="auto"/>
        </w:rPr>
      </w:pPr>
    </w:p>
    <w:p>
      <w:pPr>
        <w:ind w:left="180" w:right="80" w:firstLine="465"/>
        <w:spacing w:after="0" w:line="263" w:lineRule="auto"/>
        <w:rPr>
          <w:sz w:val="20"/>
          <w:szCs w:val="20"/>
          <w:color w:val="auto"/>
        </w:rPr>
      </w:pPr>
      <w:r>
        <w:rPr>
          <w:rFonts w:ascii="Arial" w:cs="Arial" w:eastAsia="Arial" w:hAnsi="Arial"/>
          <w:sz w:val="19"/>
          <w:szCs w:val="19"/>
          <w:color w:val="auto"/>
        </w:rPr>
        <w:t>Research and development costs include personnel-related costs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Advertising Costs</w:t>
      </w:r>
    </w:p>
    <w:p>
      <w:pPr>
        <w:spacing w:after="0" w:line="124" w:lineRule="exact"/>
        <w:rPr>
          <w:sz w:val="20"/>
          <w:szCs w:val="20"/>
          <w:color w:val="auto"/>
        </w:rPr>
      </w:pPr>
    </w:p>
    <w:p>
      <w:pPr>
        <w:ind w:left="180" w:right="380" w:firstLine="465"/>
        <w:spacing w:after="0" w:line="275" w:lineRule="auto"/>
        <w:rPr>
          <w:sz w:val="20"/>
          <w:szCs w:val="20"/>
          <w:color w:val="auto"/>
        </w:rPr>
      </w:pPr>
      <w:r>
        <w:rPr>
          <w:rFonts w:ascii="Arial" w:cs="Arial" w:eastAsia="Arial" w:hAnsi="Arial"/>
          <w:sz w:val="19"/>
          <w:szCs w:val="19"/>
          <w:color w:val="auto"/>
        </w:rPr>
        <w:t>Advertising costs are expensed as incurred in sales and marketing expense and amounted to $3.7 million and $17.1 million for the fiscal years ended January 31, 2017 and 2018, respectively.</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Leases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180" w:right="80" w:firstLine="465"/>
        <w:spacing w:after="0" w:line="289" w:lineRule="auto"/>
        <w:rPr>
          <w:sz w:val="20"/>
          <w:szCs w:val="20"/>
          <w:color w:val="auto"/>
        </w:rPr>
      </w:pPr>
      <w:r>
        <w:rPr>
          <w:rFonts w:ascii="Arial" w:cs="Arial" w:eastAsia="Arial" w:hAnsi="Arial"/>
          <w:sz w:val="17"/>
          <w:szCs w:val="17"/>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Foreign Currency</w:t>
      </w:r>
    </w:p>
    <w:p>
      <w:pPr>
        <w:spacing w:after="0" w:line="124" w:lineRule="exact"/>
        <w:rPr>
          <w:sz w:val="20"/>
          <w:szCs w:val="20"/>
          <w:color w:val="auto"/>
        </w:rPr>
      </w:pPr>
    </w:p>
    <w:p>
      <w:pPr>
        <w:ind w:left="180" w:right="140" w:firstLine="465"/>
        <w:spacing w:after="0" w:line="259" w:lineRule="auto"/>
        <w:rPr>
          <w:sz w:val="20"/>
          <w:szCs w:val="20"/>
          <w:color w:val="auto"/>
        </w:rPr>
      </w:pPr>
      <w:r>
        <w:rPr>
          <w:rFonts w:ascii="Arial" w:cs="Arial" w:eastAsia="Arial" w:hAnsi="Arial"/>
          <w:sz w:val="19"/>
          <w:szCs w:val="19"/>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Income Taxes</w:t>
      </w:r>
    </w:p>
    <w:p>
      <w:pPr>
        <w:spacing w:after="0" w:line="124" w:lineRule="exact"/>
        <w:rPr>
          <w:sz w:val="20"/>
          <w:szCs w:val="20"/>
          <w:color w:val="auto"/>
        </w:rPr>
      </w:pPr>
    </w:p>
    <w:p>
      <w:pPr>
        <w:ind w:left="180" w:right="20" w:firstLine="465"/>
        <w:spacing w:after="0" w:line="274" w:lineRule="auto"/>
        <w:rPr>
          <w:sz w:val="20"/>
          <w:szCs w:val="20"/>
          <w:color w:val="auto"/>
        </w:rPr>
      </w:pPr>
      <w:r>
        <w:rPr>
          <w:rFonts w:ascii="Arial" w:cs="Arial" w:eastAsia="Arial" w:hAnsi="Arial"/>
          <w:sz w:val="18"/>
          <w:szCs w:val="18"/>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some portion or all of a deferred tax asset will not be realized. Due to our lack of earnings history, the net deferred tax assets have been fully offset by a valuation allowance.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F-15</w:t>
      </w:r>
    </w:p>
    <w:p>
      <w:pPr>
        <w:sectPr>
          <w:pgSz w:w="12240" w:h="15840" w:orient="portrait"/>
          <w:cols w:equalWidth="0" w:num="1">
            <w:col w:w="11820"/>
          </w:cols>
          <w:pgMar w:left="120" w:top="336" w:right="300" w:bottom="1440" w:gutter="0" w:footer="0" w:header="0"/>
        </w:sectPr>
      </w:pPr>
    </w:p>
    <w:bookmarkStart w:id="154" w:name="page155"/>
    <w:bookmarkEnd w:id="15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Net Loss Per Share Attributable to Common Stockholders</w:t>
      </w:r>
    </w:p>
    <w:p>
      <w:pPr>
        <w:spacing w:after="0" w:line="124" w:lineRule="exact"/>
        <w:rPr>
          <w:sz w:val="20"/>
          <w:szCs w:val="20"/>
          <w:color w:val="auto"/>
        </w:rPr>
      </w:pPr>
    </w:p>
    <w:p>
      <w:pPr>
        <w:ind w:left="180" w:right="20" w:firstLine="465"/>
        <w:spacing w:after="0" w:line="271" w:lineRule="auto"/>
        <w:rPr>
          <w:sz w:val="20"/>
          <w:szCs w:val="20"/>
          <w:color w:val="auto"/>
        </w:rPr>
      </w:pPr>
      <w:r>
        <w:rPr>
          <w:rFonts w:ascii="Arial" w:cs="Arial" w:eastAsia="Arial" w:hAnsi="Arial"/>
          <w:sz w:val="18"/>
          <w:szCs w:val="18"/>
          <w:color w:val="auto"/>
        </w:rPr>
        <w:t>We calculate our basic and diluted net loss per share attributable to common stockholders in conformity with the two-class method required for companies with participating securities. We consider our convertible preferred stock to be participating securities. In the event a dividend is declared or paid on our common stock, holders of convertible preferred stock are entitled to a share of such dividend in proportion to the holders of common stock on an as-if converted basis. Under the two-class method, basic net loss per share attributable to common stockholders is calculated by dividing the net loss attributable to common stockholders by the weighted-average number of shares of common stock outstanding for the period. Net loss attributable to common stockholders is determined by allocating undistributed earnings between common and convertible preferred stockholders. Undistributed earnings are calculated as net income less distributed earnings.</w:t>
      </w:r>
    </w:p>
    <w:p>
      <w:pPr>
        <w:spacing w:after="0" w:line="189" w:lineRule="exact"/>
        <w:rPr>
          <w:sz w:val="20"/>
          <w:szCs w:val="20"/>
          <w:color w:val="auto"/>
        </w:rPr>
      </w:pPr>
    </w:p>
    <w:p>
      <w:pPr>
        <w:ind w:left="180" w:right="20" w:firstLine="465"/>
        <w:spacing w:after="0" w:line="255" w:lineRule="auto"/>
        <w:rPr>
          <w:sz w:val="20"/>
          <w:szCs w:val="20"/>
          <w:color w:val="auto"/>
        </w:rPr>
      </w:pPr>
      <w:r>
        <w:rPr>
          <w:rFonts w:ascii="Arial" w:cs="Arial" w:eastAsia="Arial" w:hAnsi="Arial"/>
          <w:sz w:val="19"/>
          <w:szCs w:val="19"/>
          <w:color w:val="auto"/>
        </w:rPr>
        <w:t>The diluted net loss per share attributable to common stockholders is computed by giving effect to all potential dilutive common stock equivalents outstanding for the period determined using the treasury stock method. The net loss attributable to common stockholders was not allocated to the convertible preferred stock under the two-class method as the convertible preferred stock does not have a contractual obligation to share in our losses. For purposes of this calculation, convertible preferred stock, unvested restricted common stock, stock options, and early exercised stock options are considered potentially dilutive common stock equivalents but have been excluded from the calculation of diluted net loss per share attributable to common stockholders as their effect is anti-dilutive.</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Net Loss Per Share attributable to Common Stockholders</w:t>
      </w:r>
    </w:p>
    <w:p>
      <w:pPr>
        <w:spacing w:after="0" w:line="124" w:lineRule="exact"/>
        <w:rPr>
          <w:sz w:val="20"/>
          <w:szCs w:val="20"/>
          <w:color w:val="auto"/>
        </w:rPr>
      </w:pPr>
    </w:p>
    <w:p>
      <w:pPr>
        <w:ind w:left="180" w:right="140" w:firstLine="465"/>
        <w:spacing w:after="0" w:line="336" w:lineRule="auto"/>
        <w:rPr>
          <w:sz w:val="20"/>
          <w:szCs w:val="20"/>
          <w:color w:val="auto"/>
        </w:rPr>
      </w:pPr>
      <w:r>
        <w:rPr>
          <w:rFonts w:ascii="Arial" w:cs="Arial" w:eastAsia="Arial" w:hAnsi="Arial"/>
          <w:sz w:val="17"/>
          <w:szCs w:val="17"/>
          <w:color w:val="auto"/>
        </w:rPr>
        <w:t>Unaudited pro forma basic and diluted net loss per share attributable to common stockholders for fiscal 2018 has been computed to give effect to the conversion of convertible preferred stock into common stock as of the beginning of the period or the original date of issuance, if earlier.</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24"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discrete financial information at the consolidated level.</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F-16</w:t>
      </w:r>
    </w:p>
    <w:p>
      <w:pPr>
        <w:sectPr>
          <w:pgSz w:w="12240" w:h="15840" w:orient="portrait"/>
          <w:cols w:equalWidth="0" w:num="1">
            <w:col w:w="11800"/>
          </w:cols>
          <w:pgMar w:left="120" w:top="336" w:right="320" w:bottom="1440" w:gutter="0" w:footer="0" w:header="0"/>
        </w:sectPr>
      </w:pPr>
    </w:p>
    <w:bookmarkStart w:id="155" w:name="page156"/>
    <w:bookmarkEnd w:id="15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Revenue by geographical region can be found in the revenue recognition disclosures in Note 1 above. The following table presents our property and equipment, net of depreciation and amortization, by geographic region:</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0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5"/>
          </w:tcPr>
          <w:p>
            <w:pPr>
              <w:ind w:left="3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9"/>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right"/>
              <w:ind w:right="229"/>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Americas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$4,383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9,612</w:t>
            </w:r>
          </w:p>
        </w:tc>
      </w:tr>
      <w:tr>
        <w:trPr>
          <w:trHeight w:val="228"/>
        </w:trPr>
        <w:tc>
          <w:tcPr>
            <w:tcW w:w="10020" w:type="dxa"/>
            <w:vAlign w:val="bottom"/>
          </w:tcPr>
          <w:p>
            <w:pPr>
              <w:spacing w:after="0"/>
              <w:rPr>
                <w:sz w:val="20"/>
                <w:szCs w:val="20"/>
                <w:color w:val="auto"/>
              </w:rPr>
            </w:pPr>
            <w:r>
              <w:rPr>
                <w:rFonts w:ascii="Arial" w:cs="Arial" w:eastAsia="Arial" w:hAnsi="Arial"/>
                <w:sz w:val="19"/>
                <w:szCs w:val="19"/>
                <w:color w:val="auto"/>
              </w:rPr>
              <w:t>APAC</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1,010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2,746</w:t>
            </w: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Rest of World</w:t>
            </w: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267</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674</w:t>
            </w:r>
          </w:p>
        </w:tc>
        <w:tc>
          <w:tcPr>
            <w:tcW w:w="60" w:type="dxa"/>
            <w:vAlign w:val="bottom"/>
            <w:shd w:val="clear" w:color="auto" w:fill="CCEEFF"/>
          </w:tcPr>
          <w:p>
            <w:pPr>
              <w:spacing w:after="0"/>
              <w:rPr>
                <w:sz w:val="19"/>
                <w:szCs w:val="19"/>
                <w:color w:val="auto"/>
              </w:rPr>
            </w:pPr>
          </w:p>
        </w:tc>
      </w:tr>
      <w:tr>
        <w:trPr>
          <w:trHeight w:val="236"/>
        </w:trPr>
        <w:tc>
          <w:tcPr>
            <w:tcW w:w="10020" w:type="dxa"/>
            <w:vAlign w:val="bottom"/>
          </w:tcPr>
          <w:p>
            <w:pPr>
              <w:ind w:left="380"/>
              <w:spacing w:after="0"/>
              <w:rPr>
                <w:sz w:val="20"/>
                <w:szCs w:val="20"/>
                <w:color w:val="auto"/>
              </w:rPr>
            </w:pPr>
            <w:r>
              <w:rPr>
                <w:rFonts w:ascii="Arial" w:cs="Arial" w:eastAsia="Arial" w:hAnsi="Arial"/>
                <w:sz w:val="19"/>
                <w:szCs w:val="19"/>
                <w:color w:val="auto"/>
              </w:rPr>
              <w:t>Total property and equipment, net</w:t>
            </w:r>
          </w:p>
        </w:tc>
        <w:tc>
          <w:tcPr>
            <w:tcW w:w="540" w:type="dxa"/>
            <w:vAlign w:val="bottom"/>
            <w:gridSpan w:val="2"/>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5,660</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13,032</w:t>
            </w:r>
          </w:p>
        </w:tc>
      </w:tr>
      <w:tr>
        <w:trPr>
          <w:trHeight w:val="20"/>
        </w:trPr>
        <w:tc>
          <w:tcPr>
            <w:tcW w:w="10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24" w:lineRule="exact"/>
        <w:rPr>
          <w:sz w:val="20"/>
          <w:szCs w:val="20"/>
          <w:color w:val="auto"/>
        </w:rPr>
      </w:pPr>
    </w:p>
    <w:p>
      <w:pPr>
        <w:ind w:left="180" w:right="160" w:firstLine="465"/>
        <w:spacing w:after="0" w:line="29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2017 and 2018 under ASC 606.</w:t>
      </w:r>
    </w:p>
    <w:p>
      <w:pPr>
        <w:spacing w:after="0" w:line="170"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 xml:space="preserve">In November 2016, the FASB issued ASU No. 2016-18, </w:t>
      </w:r>
      <w:r>
        <w:rPr>
          <w:rFonts w:ascii="Arial" w:cs="Arial" w:eastAsia="Arial" w:hAnsi="Arial"/>
          <w:sz w:val="19"/>
          <w:szCs w:val="19"/>
          <w:i w:val="1"/>
          <w:iCs w:val="1"/>
          <w:color w:val="auto"/>
        </w:rPr>
        <w:t>Statement of Cash Flows (Topic 230): Restricted Cash</w:t>
      </w:r>
      <w:r>
        <w:rPr>
          <w:rFonts w:ascii="Arial" w:cs="Arial" w:eastAsia="Arial" w:hAnsi="Arial"/>
          <w:sz w:val="19"/>
          <w:szCs w:val="19"/>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04" w:lineRule="exact"/>
        <w:rPr>
          <w:sz w:val="20"/>
          <w:szCs w:val="20"/>
          <w:color w:val="auto"/>
        </w:rPr>
      </w:pPr>
    </w:p>
    <w:p>
      <w:pPr>
        <w:ind w:left="180" w:right="20" w:firstLine="465"/>
        <w:spacing w:after="0" w:line="288"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which provides guidance about which changes to the terms or conditions of a share-based payment award require an entity to apply modification accounting in Topic</w:t>
      </w:r>
    </w:p>
    <w:p>
      <w:pPr>
        <w:ind w:left="180" w:right="900" w:hanging="1"/>
        <w:spacing w:after="0" w:line="261" w:lineRule="auto"/>
        <w:tabs>
          <w:tab w:leader="none" w:pos="5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This change is required to be applied prospectively to an award modified on or after the adoption date. We adopted the guidance starting February 1, 2016. The adoption of this standard had no effect on our consolidated financial statements.</w:t>
      </w:r>
    </w:p>
    <w:p>
      <w:pPr>
        <w:spacing w:after="0" w:line="31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Recently Issued Accounting Pronouncements</w:t>
      </w:r>
    </w:p>
    <w:p>
      <w:pPr>
        <w:spacing w:after="0" w:line="124" w:lineRule="exact"/>
        <w:rPr>
          <w:sz w:val="20"/>
          <w:szCs w:val="20"/>
          <w:color w:val="auto"/>
        </w:rPr>
      </w:pPr>
    </w:p>
    <w:p>
      <w:pPr>
        <w:ind w:left="180" w:right="40" w:firstLine="465"/>
        <w:spacing w:after="0" w:line="291"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ASU 2016-02 on February 1, 2019. While we expect ASU 2016-02 to add significant right-of-use assets and lease liabilities to the consolidated balance sheets, we are evaluating other effects that the new standard will have on our consolidated financial statements.</w:t>
      </w:r>
    </w:p>
    <w:p>
      <w:pPr>
        <w:spacing w:after="0" w:line="175"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 xml:space="preserve">In June 2018, the FASB issued ASU No. 2018-07, </w:t>
      </w:r>
      <w:r>
        <w:rPr>
          <w:rFonts w:ascii="Arial" w:cs="Arial" w:eastAsia="Arial" w:hAnsi="Arial"/>
          <w:sz w:val="19"/>
          <w:szCs w:val="19"/>
          <w:i w:val="1"/>
          <w:iCs w:val="1"/>
          <w:color w:val="auto"/>
        </w:rPr>
        <w:t>Improvements to Nonemployee Share-Based Payment Accounting</w:t>
      </w:r>
      <w:r>
        <w:rPr>
          <w:rFonts w:ascii="Arial" w:cs="Arial" w:eastAsia="Arial" w:hAnsi="Arial"/>
          <w:sz w:val="19"/>
          <w:szCs w:val="19"/>
          <w:color w:val="auto"/>
        </w:rPr>
        <w:t>. The standard simplifies the accounting for share-based payments granted to nonemployees for goods and services and aligns most of the guidance on such payments to the nonemployees with the requirements for share-based payments granted to employees. This change is required to be applied using a modified retrospective transition approach. We are currently evaluating the effect that ASU 2018-07 will have on our consolidated financial statements and related disclosures.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F-17</w:t>
      </w:r>
    </w:p>
    <w:p>
      <w:pPr>
        <w:sectPr>
          <w:pgSz w:w="12240" w:h="15840" w:orient="portrait"/>
          <w:cols w:equalWidth="0" w:num="1">
            <w:col w:w="11820"/>
          </w:cols>
          <w:pgMar w:left="120" w:top="336" w:right="300" w:bottom="1440" w:gutter="0" w:footer="0" w:header="0"/>
        </w:sectPr>
      </w:pPr>
    </w:p>
    <w:bookmarkStart w:id="156" w:name="page157"/>
    <w:bookmarkEnd w:id="15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2. Marketable Securities</w:t>
      </w:r>
    </w:p>
    <w:p>
      <w:pPr>
        <w:spacing w:after="0" w:line="130" w:lineRule="exact"/>
        <w:rPr>
          <w:sz w:val="20"/>
          <w:szCs w:val="20"/>
          <w:color w:val="auto"/>
        </w:rPr>
      </w:pPr>
    </w:p>
    <w:p>
      <w:pPr>
        <w:ind w:left="180" w:right="40" w:firstLine="465"/>
        <w:spacing w:after="0" w:line="275" w:lineRule="auto"/>
        <w:rPr>
          <w:sz w:val="20"/>
          <w:szCs w:val="20"/>
          <w:color w:val="auto"/>
        </w:rPr>
      </w:pPr>
      <w:r>
        <w:rPr>
          <w:rFonts w:ascii="Arial" w:cs="Arial" w:eastAsia="Arial" w:hAnsi="Arial"/>
          <w:sz w:val="19"/>
          <w:szCs w:val="19"/>
          <w:color w:val="auto"/>
        </w:rPr>
        <w:t>We held no marketable securities during the fiscal year ended January 31, 2017. As of January 31, 2018, our marketable securities consisted of the following:</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5"/>
                <w:szCs w:val="15"/>
                <w:b w:val="1"/>
                <w:bCs w:val="1"/>
                <w:color w:val="auto"/>
              </w:rPr>
              <w:t>January 31, 2018</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4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tcPr>
          <w:p>
            <w:pPr>
              <w:jc w:val="right"/>
              <w:ind w:right="720"/>
              <w:spacing w:after="0" w:line="128"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4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Amortized</w:t>
            </w:r>
          </w:p>
        </w:tc>
        <w:tc>
          <w:tcPr>
            <w:tcW w:w="240" w:type="dxa"/>
            <w:vAlign w:val="bottom"/>
          </w:tcPr>
          <w:p>
            <w:pPr>
              <w:spacing w:after="0"/>
              <w:rPr>
                <w:sz w:val="13"/>
                <w:szCs w:val="13"/>
                <w:color w:val="auto"/>
              </w:rPr>
            </w:pPr>
          </w:p>
        </w:tc>
        <w:tc>
          <w:tcPr>
            <w:tcW w:w="1200" w:type="dxa"/>
            <w:vAlign w:val="bottom"/>
            <w:gridSpan w:val="3"/>
          </w:tcPr>
          <w:p>
            <w:pPr>
              <w:jc w:val="right"/>
              <w:ind w:right="500"/>
              <w:spacing w:after="0" w:line="157" w:lineRule="exact"/>
              <w:rPr>
                <w:sz w:val="20"/>
                <w:szCs w:val="20"/>
                <w:color w:val="auto"/>
              </w:rPr>
            </w:pPr>
            <w:r>
              <w:rPr>
                <w:rFonts w:ascii="Arial" w:cs="Arial" w:eastAsia="Arial" w:hAnsi="Arial"/>
                <w:sz w:val="15"/>
                <w:szCs w:val="15"/>
                <w:b w:val="1"/>
                <w:bCs w:val="1"/>
                <w:color w:val="auto"/>
                <w:w w:val="89"/>
              </w:rPr>
              <w:t>Unrealized</w:t>
            </w:r>
          </w:p>
        </w:tc>
        <w:tc>
          <w:tcPr>
            <w:tcW w:w="1260" w:type="dxa"/>
            <w:vAlign w:val="bottom"/>
            <w:gridSpan w:val="3"/>
          </w:tcPr>
          <w:p>
            <w:pPr>
              <w:spacing w:after="0" w:line="157" w:lineRule="exact"/>
              <w:rPr>
                <w:sz w:val="20"/>
                <w:szCs w:val="20"/>
                <w:color w:val="auto"/>
              </w:rPr>
            </w:pPr>
            <w:r>
              <w:rPr>
                <w:rFonts w:ascii="Arial" w:cs="Arial" w:eastAsia="Arial" w:hAnsi="Arial"/>
                <w:sz w:val="15"/>
                <w:szCs w:val="15"/>
                <w:b w:val="1"/>
                <w:bCs w:val="1"/>
                <w:color w:val="auto"/>
              </w:rPr>
              <w:t>Unrealized</w:t>
            </w:r>
          </w:p>
        </w:tc>
        <w:tc>
          <w:tcPr>
            <w:tcW w:w="780" w:type="dxa"/>
            <w:vAlign w:val="bottom"/>
            <w:gridSpan w:val="3"/>
          </w:tcPr>
          <w:p>
            <w:pPr>
              <w:ind w:left="20"/>
              <w:spacing w:after="0" w:line="157" w:lineRule="exact"/>
              <w:rPr>
                <w:sz w:val="20"/>
                <w:szCs w:val="20"/>
                <w:color w:val="auto"/>
              </w:rPr>
            </w:pPr>
            <w:r>
              <w:rPr>
                <w:rFonts w:ascii="Arial" w:cs="Arial" w:eastAsia="Arial" w:hAnsi="Arial"/>
                <w:sz w:val="15"/>
                <w:szCs w:val="15"/>
                <w:b w:val="1"/>
                <w:bCs w:val="1"/>
                <w:color w:val="auto"/>
              </w:rPr>
              <w:t>Estimated</w:t>
            </w:r>
          </w:p>
        </w:tc>
      </w:tr>
      <w:tr>
        <w:trPr>
          <w:trHeight w:val="180"/>
        </w:trPr>
        <w:tc>
          <w:tcPr>
            <w:tcW w:w="49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5"/>
                <w:szCs w:val="15"/>
                <w:b w:val="1"/>
                <w:bCs w:val="1"/>
                <w:color w:val="auto"/>
              </w:rPr>
              <w:t>Cost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Gains</w:t>
            </w:r>
          </w:p>
        </w:tc>
        <w:tc>
          <w:tcPr>
            <w:tcW w:w="120" w:type="dxa"/>
            <w:vAlign w:val="bottom"/>
          </w:tcPr>
          <w:p>
            <w:pPr>
              <w:spacing w:after="0"/>
              <w:rPr>
                <w:sz w:val="15"/>
                <w:szCs w:val="15"/>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5"/>
                <w:szCs w:val="15"/>
                <w:b w:val="1"/>
                <w:bCs w:val="1"/>
                <w:color w:val="auto"/>
                <w:w w:val="81"/>
              </w:rPr>
              <w:t>Losses</w:t>
            </w:r>
          </w:p>
        </w:tc>
        <w:tc>
          <w:tcPr>
            <w:tcW w:w="780" w:type="dxa"/>
            <w:vAlign w:val="bottom"/>
            <w:gridSpan w:val="3"/>
          </w:tcPr>
          <w:p>
            <w:pPr>
              <w:ind w:left="20"/>
              <w:spacing w:after="0"/>
              <w:rPr>
                <w:sz w:val="20"/>
                <w:szCs w:val="20"/>
                <w:color w:val="auto"/>
              </w:rPr>
            </w:pPr>
            <w:r>
              <w:rPr>
                <w:rFonts w:ascii="Arial" w:cs="Arial" w:eastAsia="Arial" w:hAnsi="Arial"/>
                <w:sz w:val="15"/>
                <w:szCs w:val="15"/>
                <w:b w:val="1"/>
                <w:bCs w:val="1"/>
                <w:color w:val="auto"/>
              </w:rPr>
              <w:t>Fair Value</w:t>
            </w:r>
          </w:p>
        </w:tc>
      </w:tr>
      <w:tr>
        <w:trPr>
          <w:trHeight w:val="151"/>
        </w:trPr>
        <w:tc>
          <w:tcPr>
            <w:tcW w:w="49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1020"/>
              <w:spacing w:after="0" w:line="151" w:lineRule="exact"/>
              <w:rPr>
                <w:sz w:val="20"/>
                <w:szCs w:val="20"/>
                <w:color w:val="auto"/>
              </w:rPr>
            </w:pPr>
            <w:r>
              <w:rPr>
                <w:rFonts w:ascii="Arial" w:cs="Arial" w:eastAsia="Arial" w:hAnsi="Arial"/>
                <w:sz w:val="15"/>
                <w:szCs w:val="15"/>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Commercial paper</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9"/>
                <w:szCs w:val="19"/>
                <w:color w:val="auto"/>
                <w:w w:val="75"/>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3,838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3,838</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Corporate bonds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9"/>
                <w:szCs w:val="19"/>
                <w:color w:val="auto"/>
              </w:rPr>
              <w:t>41,639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9"/>
                <w:szCs w:val="19"/>
                <w:color w:val="auto"/>
              </w:rPr>
              <w:t>(236)</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41,403</w:t>
            </w:r>
          </w:p>
        </w:tc>
      </w:tr>
      <w:tr>
        <w:trPr>
          <w:trHeight w:val="228"/>
        </w:trPr>
        <w:tc>
          <w:tcPr>
            <w:tcW w:w="4920" w:type="dxa"/>
            <w:vAlign w:val="bottom"/>
            <w:shd w:val="clear" w:color="auto" w:fill="CCEEFF"/>
          </w:tcPr>
          <w:p>
            <w:pPr>
              <w:spacing w:after="0"/>
              <w:rPr>
                <w:sz w:val="20"/>
                <w:szCs w:val="20"/>
                <w:color w:val="auto"/>
              </w:rPr>
            </w:pPr>
            <w:r>
              <w:rPr>
                <w:rFonts w:ascii="Arial" w:cs="Arial" w:eastAsia="Arial" w:hAnsi="Arial"/>
                <w:sz w:val="19"/>
                <w:szCs w:val="19"/>
                <w:color w:val="auto"/>
              </w:rPr>
              <w:t>Agency bonds</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44,940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(233)</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44,707</w:t>
            </w:r>
          </w:p>
        </w:tc>
      </w:tr>
      <w:tr>
        <w:trPr>
          <w:trHeight w:val="228"/>
        </w:trPr>
        <w:tc>
          <w:tcPr>
            <w:tcW w:w="4920" w:type="dxa"/>
            <w:vAlign w:val="bottom"/>
          </w:tcPr>
          <w:p>
            <w:pPr>
              <w:spacing w:after="0"/>
              <w:rPr>
                <w:sz w:val="20"/>
                <w:szCs w:val="20"/>
                <w:color w:val="auto"/>
              </w:rPr>
            </w:pPr>
            <w:r>
              <w:rPr>
                <w:rFonts w:ascii="Arial" w:cs="Arial" w:eastAsia="Arial" w:hAnsi="Arial"/>
                <w:sz w:val="19"/>
                <w:szCs w:val="19"/>
                <w:color w:val="auto"/>
              </w:rPr>
              <w:t>U.S. government agency securities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13,170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9"/>
                <w:szCs w:val="19"/>
                <w:color w:val="auto"/>
              </w:rPr>
              <w:t>(62)</w:t>
            </w: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13,108</w:t>
            </w:r>
          </w:p>
        </w:tc>
      </w:tr>
      <w:tr>
        <w:trPr>
          <w:trHeight w:val="29"/>
        </w:trPr>
        <w:tc>
          <w:tcPr>
            <w:tcW w:w="49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49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0"/>
              </w:rPr>
              <w:t>103,587</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9"/>
                <w:szCs w:val="19"/>
                <w:color w:val="auto"/>
              </w:rPr>
              <w:t>(531)</w:t>
            </w:r>
          </w:p>
        </w:tc>
        <w:tc>
          <w:tcPr>
            <w:tcW w:w="100" w:type="dxa"/>
            <w:vAlign w:val="bottom"/>
            <w:shd w:val="clear" w:color="auto" w:fill="CCEEFF"/>
          </w:tcPr>
          <w:p>
            <w:pPr>
              <w:spacing w:after="0"/>
              <w:rPr>
                <w:sz w:val="20"/>
                <w:szCs w:val="20"/>
                <w:color w:val="auto"/>
              </w:rPr>
            </w:pPr>
            <w:r>
              <w:rPr>
                <w:rFonts w:ascii="Arial" w:cs="Arial" w:eastAsia="Arial" w:hAnsi="Arial"/>
                <w:sz w:val="19"/>
                <w:szCs w:val="19"/>
                <w:u w:val="single" w:color="auto"/>
                <w:color w:val="auto"/>
                <w:w w:val="75"/>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7"/>
              </w:rPr>
              <w:t>103,056</w:t>
            </w:r>
          </w:p>
        </w:tc>
      </w:tr>
      <w:tr>
        <w:trPr>
          <w:trHeight w:val="20"/>
        </w:trPr>
        <w:tc>
          <w:tcPr>
            <w:tcW w:w="4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120" w:firstLine="465"/>
        <w:spacing w:after="0" w:line="259" w:lineRule="auto"/>
        <w:rPr>
          <w:sz w:val="20"/>
          <w:szCs w:val="20"/>
          <w:color w:val="auto"/>
        </w:rPr>
      </w:pPr>
      <w:r>
        <w:rPr>
          <w:rFonts w:ascii="Arial" w:cs="Arial" w:eastAsia="Arial" w:hAnsi="Arial"/>
          <w:sz w:val="19"/>
          <w:szCs w:val="19"/>
          <w:color w:val="auto"/>
        </w:rPr>
        <w:t>None of the marketable securities had been in an unrealized loss position for greater than 12 months as of January 31, 2018. Based on the available evidence, we concluded that the gross unrealized losses on the marketable securities as of January 31, 2018, are temporary in nature. There were no material realized gains or losses from available-for-sale securities that were reclassified out of accumulated other comprehensive loss for fiscal 2018.</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presents the contractual maturities of our marketable securities as of January 31, 2018:</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6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January 31,</w:t>
            </w:r>
          </w:p>
        </w:tc>
      </w:tr>
      <w:tr>
        <w:trPr>
          <w:trHeight w:val="180"/>
        </w:trPr>
        <w:tc>
          <w:tcPr>
            <w:tcW w:w="10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r>
      <w:tr>
        <w:trPr>
          <w:trHeight w:val="151"/>
        </w:trPr>
        <w:tc>
          <w:tcPr>
            <w:tcW w:w="10660" w:type="dxa"/>
            <w:vAlign w:val="bottom"/>
          </w:tcPr>
          <w:p>
            <w:pPr>
              <w:spacing w:after="0"/>
              <w:rPr>
                <w:sz w:val="13"/>
                <w:szCs w:val="13"/>
                <w:color w:val="auto"/>
              </w:rPr>
            </w:pPr>
          </w:p>
        </w:tc>
        <w:tc>
          <w:tcPr>
            <w:tcW w:w="92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10660" w:type="dxa"/>
            <w:vAlign w:val="bottom"/>
            <w:shd w:val="clear" w:color="auto" w:fill="CCEEFF"/>
          </w:tcPr>
          <w:p>
            <w:pPr>
              <w:spacing w:after="0"/>
              <w:rPr>
                <w:sz w:val="20"/>
                <w:szCs w:val="20"/>
                <w:color w:val="auto"/>
              </w:rPr>
            </w:pPr>
            <w:r>
              <w:rPr>
                <w:rFonts w:ascii="Arial" w:cs="Arial" w:eastAsia="Arial" w:hAnsi="Arial"/>
                <w:sz w:val="19"/>
                <w:szCs w:val="19"/>
                <w:color w:val="auto"/>
              </w:rPr>
              <w:t>Less than one year</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58,347</w:t>
            </w:r>
          </w:p>
        </w:tc>
      </w:tr>
      <w:tr>
        <w:trPr>
          <w:trHeight w:val="237"/>
        </w:trPr>
        <w:tc>
          <w:tcPr>
            <w:tcW w:w="10660" w:type="dxa"/>
            <w:vAlign w:val="bottom"/>
          </w:tcPr>
          <w:p>
            <w:pPr>
              <w:spacing w:after="0"/>
              <w:rPr>
                <w:sz w:val="20"/>
                <w:szCs w:val="20"/>
                <w:color w:val="auto"/>
              </w:rPr>
            </w:pPr>
            <w:r>
              <w:rPr>
                <w:rFonts w:ascii="Arial" w:cs="Arial" w:eastAsia="Arial" w:hAnsi="Arial"/>
                <w:sz w:val="19"/>
                <w:szCs w:val="19"/>
                <w:color w:val="auto"/>
              </w:rPr>
              <w:t>Due in one to five years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44,709</w:t>
            </w:r>
          </w:p>
        </w:tc>
        <w:tc>
          <w:tcPr>
            <w:tcW w:w="60" w:type="dxa"/>
            <w:vAlign w:val="bottom"/>
          </w:tcPr>
          <w:p>
            <w:pPr>
              <w:spacing w:after="0"/>
              <w:rPr>
                <w:sz w:val="20"/>
                <w:szCs w:val="20"/>
                <w:color w:val="auto"/>
              </w:rPr>
            </w:pP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103,056</w:t>
            </w:r>
          </w:p>
        </w:tc>
      </w:tr>
      <w:tr>
        <w:trPr>
          <w:trHeight w:val="20"/>
        </w:trPr>
        <w:tc>
          <w:tcPr>
            <w:tcW w:w="10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3. Fair Value Measurements</w:t>
      </w:r>
    </w:p>
    <w:p>
      <w:pPr>
        <w:spacing w:after="0" w:line="130" w:lineRule="exact"/>
        <w:rPr>
          <w:sz w:val="20"/>
          <w:szCs w:val="20"/>
          <w:color w:val="auto"/>
        </w:rPr>
      </w:pPr>
    </w:p>
    <w:p>
      <w:pPr>
        <w:ind w:left="180" w:right="580" w:firstLine="465"/>
        <w:spacing w:after="0" w:line="275" w:lineRule="auto"/>
        <w:rPr>
          <w:sz w:val="20"/>
          <w:szCs w:val="20"/>
          <w:color w:val="auto"/>
        </w:rPr>
      </w:pPr>
      <w:r>
        <w:rPr>
          <w:rFonts w:ascii="Arial" w:cs="Arial" w:eastAsia="Arial" w:hAnsi="Arial"/>
          <w:sz w:val="19"/>
          <w:szCs w:val="19"/>
          <w:color w:val="auto"/>
        </w:rPr>
        <w:t>The following table presents information about our financial instruments that are measured at fair value on a recurring basis using the input categories further discussed in Note 1:</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5"/>
                <w:szCs w:val="15"/>
                <w:b w:val="1"/>
                <w:bCs w:val="1"/>
                <w:color w:val="auto"/>
                <w:w w:val="94"/>
              </w:rPr>
              <w:t>January 31, 2017</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4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Value</w:t>
            </w:r>
          </w:p>
        </w:tc>
        <w:tc>
          <w:tcPr>
            <w:tcW w:w="240" w:type="dxa"/>
            <w:vAlign w:val="bottom"/>
          </w:tcPr>
          <w:p>
            <w:pPr>
              <w:spacing w:after="0"/>
              <w:rPr>
                <w:sz w:val="15"/>
                <w:szCs w:val="15"/>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5"/>
                <w:szCs w:val="15"/>
                <w:b w:val="1"/>
                <w:bCs w:val="1"/>
                <w:color w:val="auto"/>
                <w:w w:val="86"/>
              </w:rPr>
              <w:t>Level 1</w:t>
            </w:r>
          </w:p>
        </w:tc>
        <w:tc>
          <w:tcPr>
            <w:tcW w:w="7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6"/>
              </w:rPr>
              <w:t>Level 2</w:t>
            </w:r>
          </w:p>
        </w:tc>
        <w:tc>
          <w:tcPr>
            <w:tcW w:w="24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w w:val="90"/>
              </w:rPr>
              <w:t>Level 3</w:t>
            </w:r>
          </w:p>
        </w:tc>
        <w:tc>
          <w:tcPr>
            <w:tcW w:w="0" w:type="dxa"/>
            <w:vAlign w:val="bottom"/>
          </w:tcPr>
          <w:p>
            <w:pPr>
              <w:spacing w:after="0"/>
              <w:rPr>
                <w:sz w:val="1"/>
                <w:szCs w:val="1"/>
                <w:color w:val="auto"/>
              </w:rPr>
            </w:pPr>
          </w:p>
        </w:tc>
      </w:tr>
      <w:tr>
        <w:trPr>
          <w:trHeight w:val="151"/>
        </w:trPr>
        <w:tc>
          <w:tcPr>
            <w:tcW w:w="47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440"/>
              <w:spacing w:after="0" w:line="151" w:lineRule="exact"/>
              <w:rPr>
                <w:sz w:val="20"/>
                <w:szCs w:val="20"/>
                <w:color w:val="auto"/>
              </w:rPr>
            </w:pPr>
            <w:r>
              <w:rPr>
                <w:rFonts w:ascii="Arial" w:cs="Arial" w:eastAsia="Arial" w:hAnsi="Arial"/>
                <w:sz w:val="15"/>
                <w:szCs w:val="15"/>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Financial Assets:</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780" w:type="dxa"/>
            <w:vAlign w:val="bottom"/>
          </w:tcPr>
          <w:p>
            <w:pPr>
              <w:ind w:left="380"/>
              <w:spacing w:after="0"/>
              <w:rPr>
                <w:sz w:val="20"/>
                <w:szCs w:val="20"/>
                <w:color w:val="auto"/>
              </w:rPr>
            </w:pPr>
            <w:r>
              <w:rPr>
                <w:rFonts w:ascii="Arial" w:cs="Arial" w:eastAsia="Arial" w:hAnsi="Arial"/>
                <w:sz w:val="19"/>
                <w:szCs w:val="19"/>
                <w:color w:val="auto"/>
              </w:rPr>
              <w:t>Certificate of deposit</w:t>
            </w:r>
          </w:p>
        </w:tc>
        <w:tc>
          <w:tcPr>
            <w:tcW w:w="35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250</w:t>
            </w:r>
          </w:p>
        </w:tc>
        <w:tc>
          <w:tcPr>
            <w:tcW w:w="2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w w:val="92"/>
              </w:rPr>
              <w:t>$ 250</w:t>
            </w:r>
          </w:p>
        </w:tc>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4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7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Prepaid expenses and other current assets</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250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250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780" w:type="dxa"/>
            <w:vAlign w:val="bottom"/>
          </w:tcPr>
          <w:p>
            <w:pPr>
              <w:ind w:left="380"/>
              <w:spacing w:after="0"/>
              <w:rPr>
                <w:sz w:val="20"/>
                <w:szCs w:val="20"/>
                <w:color w:val="auto"/>
              </w:rPr>
            </w:pPr>
            <w:r>
              <w:rPr>
                <w:rFonts w:ascii="Arial" w:cs="Arial" w:eastAsia="Arial" w:hAnsi="Arial"/>
                <w:sz w:val="19"/>
                <w:szCs w:val="19"/>
                <w:color w:val="auto"/>
              </w:rPr>
              <w:t>Certificate of deposit</w:t>
            </w:r>
          </w:p>
        </w:tc>
        <w:tc>
          <w:tcPr>
            <w:tcW w:w="4180" w:type="dxa"/>
            <w:vAlign w:val="bottom"/>
            <w:gridSpan w:val="3"/>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760"/>
              <w:spacing w:after="0"/>
              <w:rPr>
                <w:sz w:val="20"/>
                <w:szCs w:val="20"/>
                <w:color w:val="auto"/>
              </w:rPr>
            </w:pPr>
            <w:r>
              <w:rPr>
                <w:rFonts w:ascii="Arial" w:cs="Arial" w:eastAsia="Arial" w:hAnsi="Arial"/>
                <w:sz w:val="19"/>
                <w:szCs w:val="19"/>
                <w:color w:val="auto"/>
              </w:rPr>
              <w:t>Other assets, non-current</w:t>
            </w:r>
          </w:p>
        </w:tc>
        <w:tc>
          <w:tcPr>
            <w:tcW w:w="3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175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9"/>
                <w:szCs w:val="19"/>
                <w:color w:val="auto"/>
              </w:rPr>
              <w:t>Total financial assets</w:t>
            </w:r>
          </w:p>
        </w:tc>
        <w:tc>
          <w:tcPr>
            <w:tcW w:w="3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vMerge w:val="continue"/>
          </w:tcPr>
          <w:p>
            <w:pPr>
              <w:spacing w:after="0"/>
              <w:rPr>
                <w:sz w:val="20"/>
                <w:szCs w:val="20"/>
                <w:color w:val="auto"/>
              </w:rPr>
            </w:pPr>
          </w:p>
        </w:tc>
        <w:tc>
          <w:tcPr>
            <w:tcW w:w="3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425</w:t>
            </w:r>
          </w:p>
        </w:tc>
        <w:tc>
          <w:tcPr>
            <w:tcW w:w="2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9"/>
                <w:szCs w:val="19"/>
                <w:color w:val="auto"/>
                <w:w w:val="92"/>
              </w:rPr>
              <w:t>$ 425</w:t>
            </w:r>
          </w:p>
        </w:tc>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780" w:type="dxa"/>
            <w:vAlign w:val="bottom"/>
          </w:tcPr>
          <w:p>
            <w:pPr>
              <w:spacing w:after="0"/>
              <w:rPr>
                <w:sz w:val="24"/>
                <w:szCs w:val="24"/>
                <w:color w:val="auto"/>
              </w:rPr>
            </w:pPr>
          </w:p>
        </w:tc>
        <w:tc>
          <w:tcPr>
            <w:tcW w:w="4180" w:type="dxa"/>
            <w:vAlign w:val="bottom"/>
            <w:gridSpan w:val="3"/>
          </w:tcPr>
          <w:p>
            <w:pPr>
              <w:ind w:left="860"/>
              <w:spacing w:after="0"/>
              <w:rPr>
                <w:sz w:val="20"/>
                <w:szCs w:val="20"/>
                <w:color w:val="auto"/>
              </w:rPr>
            </w:pPr>
            <w:r>
              <w:rPr>
                <w:rFonts w:ascii="Arial" w:cs="Arial" w:eastAsia="Arial" w:hAnsi="Arial"/>
                <w:sz w:val="19"/>
                <w:szCs w:val="19"/>
                <w:color w:val="auto"/>
              </w:rPr>
              <w:t>F-18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57" w:name="page158"/>
    <w:bookmarkEnd w:id="15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45"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5"/>
                <w:szCs w:val="15"/>
                <w:b w:val="1"/>
                <w:bCs w:val="1"/>
                <w:color w:val="auto"/>
              </w:rPr>
              <w:t>January 31, 2018</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40" w:type="dxa"/>
            <w:vAlign w:val="bottom"/>
            <w:tcBorders>
              <w:bottom w:val="single" w:sz="8" w:color="auto"/>
            </w:tcBorders>
            <w:gridSpan w:val="3"/>
          </w:tcPr>
          <w:p>
            <w:pPr>
              <w:ind w:left="40"/>
              <w:spacing w:after="0" w:line="151" w:lineRule="exact"/>
              <w:rPr>
                <w:sz w:val="20"/>
                <w:szCs w:val="20"/>
                <w:color w:val="auto"/>
              </w:rPr>
            </w:pPr>
            <w:r>
              <w:rPr>
                <w:rFonts w:ascii="Arial" w:cs="Arial" w:eastAsia="Arial" w:hAnsi="Arial"/>
                <w:sz w:val="15"/>
                <w:szCs w:val="15"/>
                <w:b w:val="1"/>
                <w:bCs w:val="1"/>
                <w:color w:val="auto"/>
              </w:rPr>
              <w:t>Fair Value</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0"/>
              <w:spacing w:after="0" w:line="151" w:lineRule="exact"/>
              <w:rPr>
                <w:sz w:val="20"/>
                <w:szCs w:val="20"/>
                <w:color w:val="auto"/>
              </w:rPr>
            </w:pPr>
            <w:r>
              <w:rPr>
                <w:rFonts w:ascii="Arial" w:cs="Arial" w:eastAsia="Arial" w:hAnsi="Arial"/>
                <w:sz w:val="15"/>
                <w:szCs w:val="15"/>
                <w:b w:val="1"/>
                <w:bCs w:val="1"/>
                <w:color w:val="auto"/>
                <w:w w:val="94"/>
              </w:rPr>
              <w:t>Level 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20"/>
              <w:spacing w:after="0" w:line="151" w:lineRule="exact"/>
              <w:rPr>
                <w:sz w:val="20"/>
                <w:szCs w:val="20"/>
                <w:color w:val="auto"/>
              </w:rPr>
            </w:pPr>
            <w:r>
              <w:rPr>
                <w:rFonts w:ascii="Arial" w:cs="Arial" w:eastAsia="Arial" w:hAnsi="Arial"/>
                <w:sz w:val="15"/>
                <w:szCs w:val="15"/>
                <w:b w:val="1"/>
                <w:bCs w:val="1"/>
                <w:color w:val="auto"/>
                <w:w w:val="94"/>
              </w:rPr>
              <w:t>Level 2</w:t>
            </w: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w w:val="90"/>
              </w:rPr>
              <w:t>Level 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6"/>
          </w:tcPr>
          <w:p>
            <w:pPr>
              <w:jc w:val="right"/>
              <w:ind w:right="680"/>
              <w:spacing w:after="0" w:line="151" w:lineRule="exact"/>
              <w:rPr>
                <w:sz w:val="20"/>
                <w:szCs w:val="20"/>
                <w:color w:val="auto"/>
              </w:rPr>
            </w:pPr>
            <w:r>
              <w:rPr>
                <w:rFonts w:ascii="Arial" w:cs="Arial" w:eastAsia="Arial" w:hAnsi="Arial"/>
                <w:sz w:val="15"/>
                <w:szCs w:val="15"/>
                <w:b w:val="1"/>
                <w:bCs w:val="1"/>
                <w:color w:val="auto"/>
              </w:rPr>
              <w:t>(in thousands)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Financial Assets: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9"/>
                <w:szCs w:val="19"/>
                <w:color w:val="auto"/>
              </w:rPr>
              <w:t>Money market fund</w:t>
            </w:r>
          </w:p>
        </w:tc>
        <w:tc>
          <w:tcPr>
            <w:tcW w:w="2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7,471</w:t>
            </w:r>
          </w:p>
        </w:tc>
        <w:tc>
          <w:tcPr>
            <w:tcW w:w="2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7,471</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740"/>
              <w:spacing w:after="0"/>
              <w:rPr>
                <w:sz w:val="20"/>
                <w:szCs w:val="20"/>
                <w:color w:val="auto"/>
              </w:rPr>
            </w:pPr>
            <w:r>
              <w:rPr>
                <w:rFonts w:ascii="Arial" w:cs="Arial" w:eastAsia="Arial" w:hAnsi="Arial"/>
                <w:sz w:val="19"/>
                <w:szCs w:val="19"/>
                <w:color w:val="auto"/>
              </w:rPr>
              <w:t>Cash equivalents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7,471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7,471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60"/>
              <w:spacing w:after="0"/>
              <w:rPr>
                <w:sz w:val="20"/>
                <w:szCs w:val="20"/>
                <w:color w:val="auto"/>
              </w:rPr>
            </w:pPr>
            <w:r>
              <w:rPr>
                <w:rFonts w:ascii="Arial" w:cs="Arial" w:eastAsia="Arial" w:hAnsi="Arial"/>
                <w:sz w:val="19"/>
                <w:szCs w:val="19"/>
                <w:color w:val="auto"/>
              </w:rPr>
              <w:t>Commercial paper</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3,838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3,838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Corporate bonds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41,403</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41,403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9"/>
                <w:szCs w:val="19"/>
                <w:color w:val="auto"/>
              </w:rPr>
              <w:t>Agency bonds</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44,707</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44,707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U.S. government agency securities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13,108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13,108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740"/>
              <w:spacing w:after="0"/>
              <w:rPr>
                <w:sz w:val="20"/>
                <w:szCs w:val="20"/>
                <w:color w:val="auto"/>
              </w:rPr>
            </w:pPr>
            <w:r>
              <w:rPr>
                <w:rFonts w:ascii="Arial" w:cs="Arial" w:eastAsia="Arial" w:hAnsi="Arial"/>
                <w:sz w:val="19"/>
                <w:szCs w:val="19"/>
                <w:color w:val="auto"/>
              </w:rPr>
              <w:t>Marketable securities</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w w:val="87"/>
              </w:rPr>
              <w:t>103,056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w w:val="87"/>
              </w:rPr>
              <w:t>103,056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9"/>
                <w:szCs w:val="19"/>
                <w:color w:val="auto"/>
              </w:rPr>
              <w:t>Certificate of deposit</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675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740"/>
              <w:spacing w:after="0"/>
              <w:rPr>
                <w:sz w:val="20"/>
                <w:szCs w:val="20"/>
                <w:color w:val="auto"/>
              </w:rPr>
            </w:pPr>
            <w:r>
              <w:rPr>
                <w:rFonts w:ascii="Arial" w:cs="Arial" w:eastAsia="Arial" w:hAnsi="Arial"/>
                <w:sz w:val="19"/>
                <w:szCs w:val="19"/>
                <w:color w:val="auto"/>
              </w:rPr>
              <w:t>Other assets, non-current</w:t>
            </w: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9"/>
                <w:szCs w:val="19"/>
                <w:color w:val="auto"/>
              </w:rPr>
              <w:t>675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9"/>
                <w:szCs w:val="19"/>
                <w:color w:val="auto"/>
              </w:rPr>
              <w:t>Total financial assets</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87"/>
              </w:rPr>
              <w:t>111,202</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7,471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w w:val="87"/>
              </w:rPr>
              <w:t>103,731</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9"/>
                <w:szCs w:val="19"/>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color w:val="auto"/>
        </w:rPr>
        <w:t>We classify our highly liquid money market funds within Level 1 of the fair value hierarchy because they are valued based on quoted market prices in active markets. We classify our commercial paper, agency bonds, corporate bond, U.S. government agency securities and certificate of deposit within Level 2 because they are valued using inputs other than quoted prices which are directly or indirectly observable in the market, including readily-available pricing sources for the identical underlying security which may not be actively traded. There were no transfers of financial instruments between Level 1, Level 2 and Level 3 during the periods presented.</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4. Consolidated Balance Sheet Components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Property and equipment, net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6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67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56"/>
              <w:spacing w:after="0" w:line="151" w:lineRule="exact"/>
              <w:rPr>
                <w:sz w:val="20"/>
                <w:szCs w:val="20"/>
                <w:color w:val="auto"/>
              </w:rPr>
            </w:pPr>
            <w:r>
              <w:rPr>
                <w:rFonts w:ascii="Arial" w:cs="Arial" w:eastAsia="Arial" w:hAnsi="Arial"/>
                <w:sz w:val="15"/>
                <w:szCs w:val="15"/>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67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80" w:type="dxa"/>
            <w:vAlign w:val="bottom"/>
            <w:gridSpan w:val="3"/>
          </w:tcPr>
          <w:p>
            <w:pPr>
              <w:jc w:val="right"/>
              <w:ind w:right="28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6780" w:type="dxa"/>
            <w:vAlign w:val="bottom"/>
            <w:shd w:val="clear" w:color="auto" w:fill="CCEEFF"/>
          </w:tcPr>
          <w:p>
            <w:pPr>
              <w:spacing w:after="0"/>
              <w:rPr>
                <w:sz w:val="20"/>
                <w:szCs w:val="20"/>
                <w:color w:val="auto"/>
              </w:rPr>
            </w:pPr>
            <w:r>
              <w:rPr>
                <w:rFonts w:ascii="Arial" w:cs="Arial" w:eastAsia="Arial" w:hAnsi="Arial"/>
                <w:sz w:val="19"/>
                <w:szCs w:val="19"/>
                <w:color w:val="auto"/>
              </w:rPr>
              <w:t>Computer and office equipment</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$ 5,830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w w:val="87"/>
              </w:rPr>
              <w:t>$13,865</w:t>
            </w:r>
          </w:p>
        </w:tc>
      </w:tr>
      <w:tr>
        <w:trPr>
          <w:trHeight w:val="228"/>
        </w:trPr>
        <w:tc>
          <w:tcPr>
            <w:tcW w:w="6780" w:type="dxa"/>
            <w:vAlign w:val="bottom"/>
          </w:tcPr>
          <w:p>
            <w:pPr>
              <w:spacing w:after="0"/>
              <w:rPr>
                <w:sz w:val="20"/>
                <w:szCs w:val="20"/>
                <w:color w:val="auto"/>
              </w:rPr>
            </w:pPr>
            <w:r>
              <w:rPr>
                <w:rFonts w:ascii="Arial" w:cs="Arial" w:eastAsia="Arial" w:hAnsi="Arial"/>
                <w:sz w:val="19"/>
                <w:szCs w:val="19"/>
                <w:color w:val="auto"/>
              </w:rPr>
              <w:t>Furniture and fixtures</w:t>
            </w:r>
          </w:p>
        </w:tc>
        <w:tc>
          <w:tcPr>
            <w:tcW w:w="4120" w:type="dxa"/>
            <w:vAlign w:val="bottom"/>
            <w:gridSpan w:val="3"/>
          </w:tcPr>
          <w:p>
            <w:pPr>
              <w:jc w:val="right"/>
              <w:ind w:right="460"/>
              <w:spacing w:after="0"/>
              <w:rPr>
                <w:sz w:val="20"/>
                <w:szCs w:val="20"/>
                <w:color w:val="auto"/>
              </w:rPr>
            </w:pPr>
            <w:r>
              <w:rPr>
                <w:rFonts w:ascii="Arial" w:cs="Arial" w:eastAsia="Arial" w:hAnsi="Arial"/>
                <w:sz w:val="19"/>
                <w:szCs w:val="19"/>
                <w:color w:val="auto"/>
              </w:rPr>
              <w:t>110</w:t>
            </w:r>
          </w:p>
        </w:tc>
        <w:tc>
          <w:tcPr>
            <w:tcW w:w="740" w:type="dxa"/>
            <w:vAlign w:val="bottom"/>
            <w:gridSpan w:val="2"/>
          </w:tcPr>
          <w:p>
            <w:pPr>
              <w:jc w:val="right"/>
              <w:ind w:right="120"/>
              <w:spacing w:after="0"/>
              <w:rPr>
                <w:sz w:val="20"/>
                <w:szCs w:val="20"/>
                <w:color w:val="auto"/>
              </w:rPr>
            </w:pPr>
            <w:r>
              <w:rPr>
                <w:rFonts w:ascii="Arial" w:cs="Arial" w:eastAsia="Arial" w:hAnsi="Arial"/>
                <w:sz w:val="19"/>
                <w:szCs w:val="19"/>
                <w:color w:val="auto"/>
              </w:rPr>
              <w:t>512</w:t>
            </w:r>
          </w:p>
        </w:tc>
      </w:tr>
      <w:tr>
        <w:trPr>
          <w:trHeight w:val="228"/>
        </w:trPr>
        <w:tc>
          <w:tcPr>
            <w:tcW w:w="6780" w:type="dxa"/>
            <w:vAlign w:val="bottom"/>
            <w:shd w:val="clear" w:color="auto" w:fill="CCEEFF"/>
          </w:tcPr>
          <w:p>
            <w:pPr>
              <w:spacing w:after="0"/>
              <w:rPr>
                <w:sz w:val="20"/>
                <w:szCs w:val="20"/>
                <w:color w:val="auto"/>
              </w:rPr>
            </w:pPr>
            <w:r>
              <w:rPr>
                <w:rFonts w:ascii="Arial" w:cs="Arial" w:eastAsia="Arial" w:hAnsi="Arial"/>
                <w:sz w:val="19"/>
                <w:szCs w:val="19"/>
                <w:color w:val="auto"/>
              </w:rPr>
              <w:t>Software</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944</w:t>
            </w:r>
          </w:p>
        </w:tc>
        <w:tc>
          <w:tcPr>
            <w:tcW w:w="6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1,818</w:t>
            </w:r>
          </w:p>
        </w:tc>
        <w:tc>
          <w:tcPr>
            <w:tcW w:w="120" w:type="dxa"/>
            <w:vAlign w:val="bottom"/>
            <w:shd w:val="clear" w:color="auto" w:fill="CCEEFF"/>
          </w:tcPr>
          <w:p>
            <w:pPr>
              <w:spacing w:after="0"/>
              <w:rPr>
                <w:sz w:val="19"/>
                <w:szCs w:val="19"/>
                <w:color w:val="auto"/>
              </w:rPr>
            </w:pPr>
          </w:p>
        </w:tc>
      </w:tr>
      <w:tr>
        <w:trPr>
          <w:trHeight w:val="237"/>
        </w:trPr>
        <w:tc>
          <w:tcPr>
            <w:tcW w:w="6780" w:type="dxa"/>
            <w:vAlign w:val="bottom"/>
          </w:tcPr>
          <w:p>
            <w:pPr>
              <w:spacing w:after="0"/>
              <w:rPr>
                <w:sz w:val="20"/>
                <w:szCs w:val="20"/>
                <w:color w:val="auto"/>
              </w:rPr>
            </w:pPr>
            <w:r>
              <w:rPr>
                <w:rFonts w:ascii="Arial" w:cs="Arial" w:eastAsia="Arial" w:hAnsi="Arial"/>
                <w:sz w:val="19"/>
                <w:szCs w:val="19"/>
                <w:color w:val="auto"/>
              </w:rPr>
              <w:t>Leasehold improvements</w:t>
            </w:r>
          </w:p>
        </w:tc>
        <w:tc>
          <w:tcPr>
            <w:tcW w:w="306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638</w:t>
            </w:r>
          </w:p>
        </w:tc>
        <w:tc>
          <w:tcPr>
            <w:tcW w:w="4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1,537</w:t>
            </w:r>
          </w:p>
        </w:tc>
        <w:tc>
          <w:tcPr>
            <w:tcW w:w="120" w:type="dxa"/>
            <w:vAlign w:val="bottom"/>
          </w:tcPr>
          <w:p>
            <w:pPr>
              <w:spacing w:after="0"/>
              <w:rPr>
                <w:sz w:val="20"/>
                <w:szCs w:val="20"/>
                <w:color w:val="auto"/>
              </w:rPr>
            </w:pPr>
          </w:p>
        </w:tc>
      </w:tr>
      <w:tr>
        <w:trPr>
          <w:trHeight w:val="228"/>
        </w:trPr>
        <w:tc>
          <w:tcPr>
            <w:tcW w:w="67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gross</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7,522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17,732</w:t>
            </w:r>
          </w:p>
        </w:tc>
      </w:tr>
      <w:tr>
        <w:trPr>
          <w:trHeight w:val="228"/>
        </w:trPr>
        <w:tc>
          <w:tcPr>
            <w:tcW w:w="6780" w:type="dxa"/>
            <w:vAlign w:val="bottom"/>
          </w:tcPr>
          <w:p>
            <w:pPr>
              <w:spacing w:after="0"/>
              <w:rPr>
                <w:sz w:val="20"/>
                <w:szCs w:val="20"/>
                <w:color w:val="auto"/>
              </w:rPr>
            </w:pPr>
            <w:r>
              <w:rPr>
                <w:rFonts w:ascii="Arial" w:cs="Arial" w:eastAsia="Arial" w:hAnsi="Arial"/>
                <w:sz w:val="19"/>
                <w:szCs w:val="19"/>
                <w:color w:val="auto"/>
              </w:rPr>
              <w:t>Less: accumulated depreciation and amortization</w:t>
            </w:r>
          </w:p>
        </w:tc>
        <w:tc>
          <w:tcPr>
            <w:tcW w:w="30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9"/>
                <w:szCs w:val="19"/>
                <w:color w:val="auto"/>
              </w:rPr>
              <w:t>(1,862)</w:t>
            </w: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(4,700)</w:t>
            </w:r>
          </w:p>
        </w:tc>
      </w:tr>
      <w:tr>
        <w:trPr>
          <w:trHeight w:val="29"/>
        </w:trPr>
        <w:tc>
          <w:tcPr>
            <w:tcW w:w="67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6780" w:type="dxa"/>
            <w:vAlign w:val="bottom"/>
            <w:shd w:val="clear" w:color="auto" w:fill="CCEEFF"/>
          </w:tcPr>
          <w:p>
            <w:pPr>
              <w:ind w:left="380"/>
              <w:spacing w:after="0"/>
              <w:rPr>
                <w:sz w:val="20"/>
                <w:szCs w:val="20"/>
                <w:color w:val="auto"/>
              </w:rPr>
            </w:pPr>
            <w:r>
              <w:rPr>
                <w:rFonts w:ascii="Arial" w:cs="Arial" w:eastAsia="Arial" w:hAnsi="Arial"/>
                <w:sz w:val="19"/>
                <w:szCs w:val="19"/>
                <w:color w:val="auto"/>
              </w:rPr>
              <w:t>Property and equipment, net</w:t>
            </w:r>
          </w:p>
        </w:tc>
        <w:tc>
          <w:tcPr>
            <w:tcW w:w="4120" w:type="dxa"/>
            <w:vAlign w:val="bottom"/>
            <w:gridSpan w:val="3"/>
            <w:shd w:val="clear" w:color="auto" w:fill="CCEEFF"/>
          </w:tcPr>
          <w:p>
            <w:pPr>
              <w:jc w:val="right"/>
              <w:ind w:right="460"/>
              <w:spacing w:after="0"/>
              <w:rPr>
                <w:sz w:val="20"/>
                <w:szCs w:val="20"/>
                <w:color w:val="auto"/>
              </w:rPr>
            </w:pPr>
            <w:r>
              <w:rPr>
                <w:rFonts w:ascii="Arial" w:cs="Arial" w:eastAsia="Arial" w:hAnsi="Arial"/>
                <w:sz w:val="19"/>
                <w:szCs w:val="19"/>
                <w:color w:val="auto"/>
              </w:rPr>
              <w:t>$ 5,660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u w:val="single" w:color="auto"/>
                <w:color w:val="auto"/>
                <w:w w:val="87"/>
              </w:rPr>
              <w:t>$</w:t>
            </w:r>
            <w:r>
              <w:rPr>
                <w:rFonts w:ascii="Arial" w:cs="Arial" w:eastAsia="Arial" w:hAnsi="Arial"/>
                <w:sz w:val="19"/>
                <w:szCs w:val="19"/>
                <w:color w:val="auto"/>
                <w:w w:val="87"/>
              </w:rPr>
              <w:t>13,032</w:t>
            </w:r>
          </w:p>
        </w:tc>
      </w:tr>
      <w:tr>
        <w:trPr>
          <w:trHeight w:val="20"/>
        </w:trPr>
        <w:tc>
          <w:tcPr>
            <w:tcW w:w="6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was $1.2 million and $2.8 million for the fiscal years ended January 31, 2017 and 2018, respectively.</w:t>
      </w:r>
    </w:p>
    <w:p>
      <w:pPr>
        <w:spacing w:after="0" w:line="249" w:lineRule="exact"/>
        <w:rPr>
          <w:sz w:val="20"/>
          <w:szCs w:val="20"/>
          <w:color w:val="auto"/>
        </w:rPr>
      </w:pPr>
    </w:p>
    <w:p>
      <w:pPr>
        <w:ind w:left="180" w:right="160" w:firstLine="465"/>
        <w:spacing w:after="0" w:line="275" w:lineRule="auto"/>
        <w:rPr>
          <w:sz w:val="20"/>
          <w:szCs w:val="20"/>
          <w:color w:val="auto"/>
        </w:rPr>
      </w:pPr>
      <w:r>
        <w:rPr>
          <w:rFonts w:ascii="Arial" w:cs="Arial" w:eastAsia="Arial" w:hAnsi="Arial"/>
          <w:sz w:val="19"/>
          <w:szCs w:val="19"/>
          <w:color w:val="auto"/>
        </w:rPr>
        <w:t>We had no property and equipment financed under capital leases during the fiscal year ended January 31, 2017. As of January 31, 2018, property and equipment financed under capital leases was immaterial.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F-19</w:t>
      </w:r>
    </w:p>
    <w:p>
      <w:pPr>
        <w:sectPr>
          <w:pgSz w:w="12240" w:h="15840" w:orient="portrait"/>
          <w:cols w:equalWidth="0" w:num="1">
            <w:col w:w="11820"/>
          </w:cols>
          <w:pgMar w:left="120" w:top="336" w:right="300" w:bottom="1440" w:gutter="0" w:footer="0" w:header="0"/>
        </w:sectPr>
      </w:pPr>
    </w:p>
    <w:bookmarkStart w:id="158" w:name="page159"/>
    <w:bookmarkEnd w:id="15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Accrued Expenses and Other Current Liabilities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Accrued expenses and other current liabilities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0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5"/>
          </w:tcPr>
          <w:p>
            <w:pPr>
              <w:ind w:left="38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39"/>
              <w:spacing w:after="0" w:line="151" w:lineRule="exact"/>
              <w:rPr>
                <w:sz w:val="20"/>
                <w:szCs w:val="20"/>
                <w:color w:val="auto"/>
              </w:rPr>
            </w:pPr>
            <w:r>
              <w:rPr>
                <w:rFonts w:ascii="Arial" w:cs="Arial" w:eastAsia="Arial" w:hAnsi="Arial"/>
                <w:sz w:val="15"/>
                <w:szCs w:val="15"/>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9"/>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10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4"/>
          </w:tcPr>
          <w:p>
            <w:pPr>
              <w:jc w:val="right"/>
              <w:ind w:right="229"/>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Accrued compensation and benefits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w w:val="89"/>
              </w:rPr>
              <w:t>$3,642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9,206</w:t>
            </w:r>
          </w:p>
        </w:tc>
      </w:tr>
      <w:tr>
        <w:trPr>
          <w:trHeight w:val="228"/>
        </w:trPr>
        <w:tc>
          <w:tcPr>
            <w:tcW w:w="10020" w:type="dxa"/>
            <w:vAlign w:val="bottom"/>
          </w:tcPr>
          <w:p>
            <w:pPr>
              <w:spacing w:after="0"/>
              <w:rPr>
                <w:sz w:val="20"/>
                <w:szCs w:val="20"/>
                <w:color w:val="auto"/>
              </w:rPr>
            </w:pPr>
            <w:r>
              <w:rPr>
                <w:rFonts w:ascii="Arial" w:cs="Arial" w:eastAsia="Arial" w:hAnsi="Arial"/>
                <w:sz w:val="19"/>
                <w:szCs w:val="19"/>
                <w:color w:val="auto"/>
              </w:rPr>
              <w:t>Accrued expenses</w:t>
            </w: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798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3,920</w:t>
            </w:r>
          </w:p>
        </w:tc>
      </w:tr>
      <w:tr>
        <w:trPr>
          <w:trHeight w:val="228"/>
        </w:trPr>
        <w:tc>
          <w:tcPr>
            <w:tcW w:w="1002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1,621</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2,329</w:t>
            </w:r>
          </w:p>
        </w:tc>
        <w:tc>
          <w:tcPr>
            <w:tcW w:w="60" w:type="dxa"/>
            <w:vAlign w:val="bottom"/>
            <w:shd w:val="clear" w:color="auto" w:fill="CCEEFF"/>
          </w:tcPr>
          <w:p>
            <w:pPr>
              <w:spacing w:after="0"/>
              <w:rPr>
                <w:sz w:val="19"/>
                <w:szCs w:val="19"/>
                <w:color w:val="auto"/>
              </w:rPr>
            </w:pPr>
          </w:p>
        </w:tc>
      </w:tr>
      <w:tr>
        <w:trPr>
          <w:trHeight w:val="236"/>
        </w:trPr>
        <w:tc>
          <w:tcPr>
            <w:tcW w:w="10020" w:type="dxa"/>
            <w:vAlign w:val="bottom"/>
          </w:tcPr>
          <w:p>
            <w:pPr>
              <w:ind w:left="380"/>
              <w:spacing w:after="0"/>
              <w:rPr>
                <w:sz w:val="20"/>
                <w:szCs w:val="20"/>
                <w:color w:val="auto"/>
              </w:rPr>
            </w:pPr>
            <w:r>
              <w:rPr>
                <w:rFonts w:ascii="Arial" w:cs="Arial" w:eastAsia="Arial" w:hAnsi="Arial"/>
                <w:sz w:val="19"/>
                <w:szCs w:val="19"/>
                <w:color w:val="auto"/>
              </w:rPr>
              <w:t>Accrued expenses and other current liabilities</w:t>
            </w:r>
          </w:p>
        </w:tc>
        <w:tc>
          <w:tcPr>
            <w:tcW w:w="540" w:type="dxa"/>
            <w:vAlign w:val="bottom"/>
            <w:gridSpan w:val="2"/>
          </w:tcPr>
          <w:p>
            <w:pPr>
              <w:jc w:val="right"/>
              <w:spacing w:after="0"/>
              <w:rPr>
                <w:sz w:val="20"/>
                <w:szCs w:val="20"/>
                <w:color w:val="auto"/>
              </w:rPr>
            </w:pPr>
            <w:r>
              <w:rPr>
                <w:rFonts w:ascii="Arial" w:cs="Arial" w:eastAsia="Arial" w:hAnsi="Arial"/>
                <w:sz w:val="19"/>
                <w:szCs w:val="19"/>
                <w:u w:val="single" w:color="auto"/>
                <w:color w:val="auto"/>
                <w:w w:val="89"/>
              </w:rPr>
              <w:t>$</w:t>
            </w:r>
            <w:r>
              <w:rPr>
                <w:rFonts w:ascii="Arial" w:cs="Arial" w:eastAsia="Arial" w:hAnsi="Arial"/>
                <w:sz w:val="19"/>
                <w:szCs w:val="19"/>
                <w:color w:val="auto"/>
                <w:w w:val="89"/>
              </w:rPr>
              <w:t>6,061</w:t>
            </w: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w w:val="85"/>
              </w:rPr>
              <w:t>15,455</w:t>
            </w:r>
          </w:p>
        </w:tc>
      </w:tr>
      <w:tr>
        <w:trPr>
          <w:trHeight w:val="20"/>
        </w:trPr>
        <w:tc>
          <w:tcPr>
            <w:tcW w:w="10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5. Commitments and Contingencies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Operating Leases</w:t>
      </w:r>
    </w:p>
    <w:p>
      <w:pPr>
        <w:spacing w:after="0" w:line="124"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We lease our office facilities in Australia, China, the United Kingdom and the United States under noncancelable agreements that expire at various dates through January 2022. Rent expense for operating leases during the fiscal year ended January 31, 2017 and 2018 was $1.6 million and $3.3 million, respectively.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Future minimum payments related to operating leases as of January 31, 2018 are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0660" w:type="dxa"/>
            <w:vAlign w:val="bottom"/>
          </w:tcPr>
          <w:p>
            <w:pPr>
              <w:spacing w:after="0"/>
              <w:rPr>
                <w:sz w:val="15"/>
                <w:szCs w:val="15"/>
                <w:color w:val="auto"/>
              </w:rPr>
            </w:pPr>
          </w:p>
        </w:tc>
        <w:tc>
          <w:tcPr>
            <w:tcW w:w="980" w:type="dxa"/>
            <w:vAlign w:val="bottom"/>
            <w:gridSpan w:val="3"/>
          </w:tcPr>
          <w:p>
            <w:pPr>
              <w:ind w:left="80"/>
              <w:spacing w:after="0"/>
              <w:rPr>
                <w:sz w:val="20"/>
                <w:szCs w:val="20"/>
                <w:color w:val="auto"/>
              </w:rPr>
            </w:pPr>
            <w:r>
              <w:rPr>
                <w:rFonts w:ascii="Arial" w:cs="Arial" w:eastAsia="Arial" w:hAnsi="Arial"/>
                <w:sz w:val="15"/>
                <w:szCs w:val="15"/>
                <w:b w:val="1"/>
                <w:bCs w:val="1"/>
                <w:color w:val="auto"/>
              </w:rPr>
              <w:t>January 31,</w:t>
            </w:r>
          </w:p>
        </w:tc>
      </w:tr>
      <w:tr>
        <w:trPr>
          <w:trHeight w:val="180"/>
        </w:trPr>
        <w:tc>
          <w:tcPr>
            <w:tcW w:w="10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5"/>
                <w:szCs w:val="15"/>
                <w:color w:val="auto"/>
              </w:rPr>
            </w:pPr>
          </w:p>
        </w:tc>
      </w:tr>
      <w:tr>
        <w:trPr>
          <w:trHeight w:val="151"/>
        </w:trPr>
        <w:tc>
          <w:tcPr>
            <w:tcW w:w="10660" w:type="dxa"/>
            <w:vAlign w:val="bottom"/>
          </w:tcPr>
          <w:p>
            <w:pPr>
              <w:spacing w:after="0"/>
              <w:rPr>
                <w:sz w:val="13"/>
                <w:szCs w:val="13"/>
                <w:color w:val="auto"/>
              </w:rPr>
            </w:pPr>
          </w:p>
        </w:tc>
        <w:tc>
          <w:tcPr>
            <w:tcW w:w="92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10660" w:type="dxa"/>
            <w:vAlign w:val="bottom"/>
            <w:shd w:val="clear" w:color="auto" w:fill="CCEEFF"/>
          </w:tcPr>
          <w:p>
            <w:pPr>
              <w:spacing w:after="0"/>
              <w:rPr>
                <w:sz w:val="20"/>
                <w:szCs w:val="20"/>
                <w:color w:val="auto"/>
              </w:rPr>
            </w:pPr>
            <w:r>
              <w:rPr>
                <w:rFonts w:ascii="Arial" w:cs="Arial" w:eastAsia="Arial" w:hAnsi="Arial"/>
                <w:sz w:val="19"/>
                <w:szCs w:val="19"/>
                <w:color w:val="auto"/>
              </w:rPr>
              <w:t>Year Ending January 31,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10660" w:type="dxa"/>
            <w:vAlign w:val="bottom"/>
          </w:tcPr>
          <w:p>
            <w:pPr>
              <w:ind w:left="380"/>
              <w:spacing w:after="0"/>
              <w:rPr>
                <w:sz w:val="20"/>
                <w:szCs w:val="20"/>
                <w:color w:val="auto"/>
              </w:rPr>
            </w:pPr>
            <w:r>
              <w:rPr>
                <w:rFonts w:ascii="Arial" w:cs="Arial" w:eastAsia="Arial" w:hAnsi="Arial"/>
                <w:sz w:val="19"/>
                <w:szCs w:val="19"/>
                <w:color w:val="auto"/>
              </w:rPr>
              <w:t>2019</w:t>
            </w:r>
          </w:p>
        </w:tc>
        <w:tc>
          <w:tcPr>
            <w:tcW w:w="200" w:type="dxa"/>
            <w:vAlign w:val="bottom"/>
          </w:tcPr>
          <w:p>
            <w:pPr>
              <w:spacing w:after="0"/>
              <w:rPr>
                <w:sz w:val="20"/>
                <w:szCs w:val="20"/>
                <w:color w:val="auto"/>
              </w:rPr>
            </w:pPr>
            <w:r>
              <w:rPr>
                <w:rFonts w:ascii="Arial" w:cs="Arial" w:eastAsia="Arial" w:hAnsi="Arial"/>
                <w:sz w:val="19"/>
                <w:szCs w:val="19"/>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3,749</w:t>
            </w: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2020</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3,305</w:t>
            </w:r>
          </w:p>
        </w:tc>
      </w:tr>
      <w:tr>
        <w:trPr>
          <w:trHeight w:val="228"/>
        </w:trPr>
        <w:tc>
          <w:tcPr>
            <w:tcW w:w="10660" w:type="dxa"/>
            <w:vAlign w:val="bottom"/>
          </w:tcPr>
          <w:p>
            <w:pPr>
              <w:ind w:left="380"/>
              <w:spacing w:after="0"/>
              <w:rPr>
                <w:sz w:val="20"/>
                <w:szCs w:val="20"/>
                <w:color w:val="auto"/>
              </w:rPr>
            </w:pPr>
            <w:r>
              <w:rPr>
                <w:rFonts w:ascii="Arial" w:cs="Arial" w:eastAsia="Arial" w:hAnsi="Arial"/>
                <w:sz w:val="19"/>
                <w:szCs w:val="19"/>
                <w:color w:val="auto"/>
              </w:rPr>
              <w:t>2021</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9"/>
                <w:szCs w:val="19"/>
                <w:color w:val="auto"/>
              </w:rPr>
              <w:t>2,254</w:t>
            </w:r>
          </w:p>
        </w:tc>
      </w:tr>
      <w:tr>
        <w:trPr>
          <w:trHeight w:val="228"/>
        </w:trPr>
        <w:tc>
          <w:tcPr>
            <w:tcW w:w="106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2022</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1,541</w:t>
            </w:r>
          </w:p>
        </w:tc>
      </w:tr>
      <w:tr>
        <w:trPr>
          <w:trHeight w:val="237"/>
        </w:trPr>
        <w:tc>
          <w:tcPr>
            <w:tcW w:w="10660" w:type="dxa"/>
            <w:vAlign w:val="bottom"/>
          </w:tcPr>
          <w:p>
            <w:pPr>
              <w:ind w:left="380"/>
              <w:spacing w:after="0"/>
              <w:rPr>
                <w:sz w:val="20"/>
                <w:szCs w:val="20"/>
                <w:color w:val="auto"/>
              </w:rPr>
            </w:pPr>
            <w:r>
              <w:rPr>
                <w:rFonts w:ascii="Arial" w:cs="Arial" w:eastAsia="Arial" w:hAnsi="Arial"/>
                <w:sz w:val="19"/>
                <w:szCs w:val="19"/>
                <w:color w:val="auto"/>
              </w:rPr>
              <w:t>2023 and thereafter</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0"/>
                <w:szCs w:val="20"/>
                <w:color w:val="auto"/>
              </w:rPr>
            </w:pPr>
          </w:p>
        </w:tc>
      </w:tr>
      <w:tr>
        <w:trPr>
          <w:trHeight w:val="228"/>
        </w:trPr>
        <w:tc>
          <w:tcPr>
            <w:tcW w:w="106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Total future minimum payments</w:t>
            </w:r>
          </w:p>
        </w:tc>
        <w:tc>
          <w:tcPr>
            <w:tcW w:w="20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10,849</w:t>
            </w:r>
          </w:p>
        </w:tc>
      </w:tr>
      <w:tr>
        <w:trPr>
          <w:trHeight w:val="20"/>
        </w:trPr>
        <w:tc>
          <w:tcPr>
            <w:tcW w:w="10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Non-cancelable Purchase Obligations</w:t>
      </w:r>
    </w:p>
    <w:p>
      <w:pPr>
        <w:spacing w:after="0" w:line="124" w:lineRule="exact"/>
        <w:rPr>
          <w:sz w:val="20"/>
          <w:szCs w:val="20"/>
          <w:color w:val="auto"/>
        </w:rPr>
      </w:pPr>
    </w:p>
    <w:p>
      <w:pPr>
        <w:ind w:left="180" w:right="280" w:firstLine="465"/>
        <w:spacing w:after="0" w:line="304" w:lineRule="auto"/>
        <w:rPr>
          <w:sz w:val="20"/>
          <w:szCs w:val="20"/>
          <w:color w:val="auto"/>
        </w:rPr>
      </w:pPr>
      <w:r>
        <w:rPr>
          <w:rFonts w:ascii="Arial" w:cs="Arial" w:eastAsia="Arial" w:hAnsi="Arial"/>
          <w:sz w:val="18"/>
          <w:szCs w:val="18"/>
          <w:color w:val="auto"/>
        </w:rPr>
        <w:t>In the normal course of business, we enter into non-cancelable purchase commitments with various parties to purchase software services. As of January 31, 2018, we had outstanding non-cancelable purchase obligations with a term of 12 months or longer of $8.0 million.</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Indemnifications and Contingency</w:t>
      </w:r>
    </w:p>
    <w:p>
      <w:pPr>
        <w:spacing w:after="0" w:line="124" w:lineRule="exact"/>
        <w:rPr>
          <w:sz w:val="20"/>
          <w:szCs w:val="20"/>
          <w:color w:val="auto"/>
        </w:rPr>
      </w:pPr>
    </w:p>
    <w:p>
      <w:pPr>
        <w:ind w:left="180" w:right="20" w:firstLine="465"/>
        <w:spacing w:after="0" w:line="256" w:lineRule="auto"/>
        <w:rPr>
          <w:sz w:val="20"/>
          <w:szCs w:val="20"/>
          <w:color w:val="auto"/>
        </w:rPr>
      </w:pPr>
      <w:r>
        <w:rPr>
          <w:rFonts w:ascii="Arial" w:cs="Arial" w:eastAsia="Arial" w:hAnsi="Arial"/>
          <w:sz w:val="19"/>
          <w:szCs w:val="19"/>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F-20</w:t>
      </w:r>
    </w:p>
    <w:p>
      <w:pPr>
        <w:sectPr>
          <w:pgSz w:w="12240" w:h="15840" w:orient="portrait"/>
          <w:cols w:equalWidth="0" w:num="1">
            <w:col w:w="11820"/>
          </w:cols>
          <w:pgMar w:left="120" w:top="336" w:right="300" w:bottom="1440" w:gutter="0" w:footer="0" w:header="0"/>
        </w:sectPr>
      </w:pPr>
    </w:p>
    <w:bookmarkStart w:id="159" w:name="page160"/>
    <w:bookmarkEnd w:id="15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80" w:firstLine="465"/>
        <w:spacing w:after="0" w:line="272" w:lineRule="auto"/>
        <w:rPr>
          <w:sz w:val="20"/>
          <w:szCs w:val="20"/>
          <w:color w:val="auto"/>
        </w:rPr>
      </w:pPr>
      <w:r>
        <w:rPr>
          <w:rFonts w:ascii="Arial" w:cs="Arial" w:eastAsia="Arial" w:hAnsi="Arial"/>
          <w:sz w:val="18"/>
          <w:szCs w:val="18"/>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indemnification provisions.</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Sales and Other Tax Liabilities</w:t>
      </w:r>
    </w:p>
    <w:p>
      <w:pPr>
        <w:spacing w:after="0" w:line="124" w:lineRule="exact"/>
        <w:rPr>
          <w:sz w:val="20"/>
          <w:szCs w:val="20"/>
          <w:color w:val="auto"/>
        </w:rPr>
      </w:pPr>
    </w:p>
    <w:p>
      <w:pPr>
        <w:ind w:left="180" w:firstLine="465"/>
        <w:spacing w:after="0" w:line="286" w:lineRule="auto"/>
        <w:rPr>
          <w:sz w:val="20"/>
          <w:szCs w:val="20"/>
          <w:color w:val="auto"/>
        </w:rPr>
      </w:pPr>
      <w:r>
        <w:rPr>
          <w:rFonts w:ascii="Arial" w:cs="Arial" w:eastAsia="Arial" w:hAnsi="Arial"/>
          <w:sz w:val="17"/>
          <w:szCs w:val="17"/>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2017 and 2018, we recorded sales and other tax liabilities of $3.2 million and $8.9 million, respectively, of which $0.3 million and $0.5 million are included in accrued expenses and other current liabilities, respectively, and $2.9 million and $8.4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each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Other Contingencies</w:t>
      </w:r>
    </w:p>
    <w:p>
      <w:pPr>
        <w:spacing w:after="0" w:line="124" w:lineRule="exact"/>
        <w:rPr>
          <w:sz w:val="20"/>
          <w:szCs w:val="20"/>
          <w:color w:val="auto"/>
        </w:rPr>
      </w:pPr>
    </w:p>
    <w:p>
      <w:pPr>
        <w:ind w:left="180" w:right="20" w:firstLine="465"/>
        <w:spacing w:after="0" w:line="289"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180" w:right="60" w:firstLine="465"/>
        <w:spacing w:after="0" w:line="270" w:lineRule="auto"/>
        <w:rPr>
          <w:sz w:val="20"/>
          <w:szCs w:val="20"/>
          <w:color w:val="auto"/>
        </w:rPr>
      </w:pPr>
      <w:r>
        <w:rPr>
          <w:rFonts w:ascii="Arial" w:cs="Arial" w:eastAsia="Arial" w:hAnsi="Arial"/>
          <w:sz w:val="18"/>
          <w:szCs w:val="18"/>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notifications of voluntary self-disclosure concerning potential violations to both the U.S. Department of Commerce’s Bureau of Industry and Security and OFAC. If we are found to be in violation of U.S. economic sanctions or export control laws, it could result in fines and penalties for us. We may also be adversely affected through other penalties, reputational harm, loss of access to certain markets or otherwise. No loss has been recognized in the financial statements for this loss contingency as it is not probable a loss has been incurred and the range of a possible loss is not yet estimable.</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F-21</w:t>
      </w:r>
    </w:p>
    <w:p>
      <w:pPr>
        <w:sectPr>
          <w:pgSz w:w="12240" w:h="15840" w:orient="portrait"/>
          <w:cols w:equalWidth="0" w:num="1">
            <w:col w:w="11720"/>
          </w:cols>
          <w:pgMar w:left="120" w:top="337" w:right="400" w:bottom="1440" w:gutter="0" w:footer="0" w:header="0"/>
        </w:sectPr>
      </w:pPr>
    </w:p>
    <w:bookmarkStart w:id="160" w:name="page161"/>
    <w:bookmarkEnd w:id="16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Legal Proceedings</w:t>
      </w:r>
    </w:p>
    <w:p>
      <w:pPr>
        <w:spacing w:after="0" w:line="124" w:lineRule="exact"/>
        <w:rPr>
          <w:sz w:val="20"/>
          <w:szCs w:val="20"/>
          <w:color w:val="auto"/>
        </w:rPr>
      </w:pPr>
    </w:p>
    <w:p>
      <w:pPr>
        <w:jc w:val="both"/>
        <w:ind w:left="180" w:right="120" w:firstLine="465"/>
        <w:spacing w:after="0" w:line="263" w:lineRule="auto"/>
        <w:rPr>
          <w:sz w:val="20"/>
          <w:szCs w:val="20"/>
          <w:color w:val="auto"/>
        </w:rPr>
      </w:pPr>
      <w:r>
        <w:rPr>
          <w:rFonts w:ascii="Arial" w:cs="Arial" w:eastAsia="Arial" w:hAnsi="Arial"/>
          <w:sz w:val="19"/>
          <w:szCs w:val="19"/>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45" w:lineRule="exact"/>
        <w:rPr>
          <w:sz w:val="20"/>
          <w:szCs w:val="20"/>
          <w:color w:val="auto"/>
        </w:rPr>
      </w:pPr>
    </w:p>
    <w:p>
      <w:pPr>
        <w:ind w:left="760" w:hanging="581"/>
        <w:spacing w:after="0"/>
        <w:tabs>
          <w:tab w:leader="none" w:pos="76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Stockholders’ (Deficit) Equity and Equity Incentive Plan</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Convertible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Convertible preferred stock consisted of the following:</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0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5"/>
                <w:szCs w:val="15"/>
                <w:b w:val="1"/>
                <w:bCs w:val="1"/>
                <w:color w:val="auto"/>
                <w:w w:val="91"/>
              </w:rPr>
              <w:t>January 31, 2017</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28"/>
        </w:trPr>
        <w:tc>
          <w:tcPr>
            <w:tcW w:w="802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2"/>
              </w:rPr>
              <w:t>Designated</w:t>
            </w:r>
          </w:p>
        </w:tc>
        <w:tc>
          <w:tcPr>
            <w:tcW w:w="20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4"/>
              </w:rPr>
              <w:t>Shares Issued</w:t>
            </w:r>
          </w:p>
        </w:tc>
        <w:tc>
          <w:tcPr>
            <w:tcW w:w="140" w:type="dxa"/>
            <w:vAlign w:val="bottom"/>
          </w:tcPr>
          <w:p>
            <w:pPr>
              <w:spacing w:after="0"/>
              <w:rPr>
                <w:sz w:val="11"/>
                <w:szCs w:val="11"/>
                <w:color w:val="auto"/>
              </w:rPr>
            </w:pPr>
          </w:p>
        </w:tc>
        <w:tc>
          <w:tcPr>
            <w:tcW w:w="82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80" w:type="dxa"/>
            <w:vAlign w:val="bottom"/>
          </w:tcPr>
          <w:p>
            <w:pPr>
              <w:spacing w:after="0"/>
              <w:rPr>
                <w:sz w:val="11"/>
                <w:szCs w:val="11"/>
                <w:color w:val="auto"/>
              </w:rPr>
            </w:pPr>
          </w:p>
        </w:tc>
      </w:tr>
      <w:tr>
        <w:trPr>
          <w:trHeight w:val="157"/>
        </w:trPr>
        <w:tc>
          <w:tcPr>
            <w:tcW w:w="8020" w:type="dxa"/>
            <w:vAlign w:val="bottom"/>
          </w:tcPr>
          <w:p>
            <w:pPr>
              <w:spacing w:after="0"/>
              <w:rPr>
                <w:sz w:val="13"/>
                <w:szCs w:val="13"/>
                <w:color w:val="auto"/>
              </w:rPr>
            </w:pP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3"/>
              </w:rPr>
              <w:t>Shares</w:t>
            </w:r>
          </w:p>
        </w:tc>
        <w:tc>
          <w:tcPr>
            <w:tcW w:w="200" w:type="dxa"/>
            <w:vAlign w:val="bottom"/>
          </w:tcPr>
          <w:p>
            <w:pPr>
              <w:spacing w:after="0"/>
              <w:rPr>
                <w:sz w:val="13"/>
                <w:szCs w:val="13"/>
                <w:color w:val="auto"/>
              </w:rPr>
            </w:pP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7"/>
              </w:rPr>
              <w:t>and</w:t>
            </w:r>
          </w:p>
        </w:tc>
        <w:tc>
          <w:tcPr>
            <w:tcW w:w="140" w:type="dxa"/>
            <w:vAlign w:val="bottom"/>
          </w:tcPr>
          <w:p>
            <w:pPr>
              <w:spacing w:after="0"/>
              <w:rPr>
                <w:sz w:val="13"/>
                <w:szCs w:val="13"/>
                <w:color w:val="auto"/>
              </w:rPr>
            </w:pPr>
          </w:p>
        </w:tc>
        <w:tc>
          <w:tcPr>
            <w:tcW w:w="90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96"/>
              </w:rPr>
              <w:t>Liquidation</w:t>
            </w:r>
          </w:p>
        </w:tc>
      </w:tr>
      <w:tr>
        <w:trPr>
          <w:trHeight w:val="180"/>
        </w:trPr>
        <w:tc>
          <w:tcPr>
            <w:tcW w:w="802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Authorized</w:t>
            </w:r>
          </w:p>
        </w:tc>
        <w:tc>
          <w:tcPr>
            <w:tcW w:w="2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0"/>
              </w:rPr>
              <w:t>Preference</w:t>
            </w:r>
          </w:p>
        </w:tc>
      </w:tr>
      <w:tr>
        <w:trPr>
          <w:trHeight w:val="151"/>
        </w:trPr>
        <w:tc>
          <w:tcPr>
            <w:tcW w:w="8020" w:type="dxa"/>
            <w:vAlign w:val="bottom"/>
          </w:tcPr>
          <w:p>
            <w:pPr>
              <w:spacing w:after="0"/>
              <w:rPr>
                <w:sz w:val="13"/>
                <w:szCs w:val="13"/>
                <w:color w:val="auto"/>
              </w:rPr>
            </w:pPr>
          </w:p>
        </w:tc>
        <w:tc>
          <w:tcPr>
            <w:tcW w:w="2880" w:type="dxa"/>
            <w:vAlign w:val="bottom"/>
            <w:tcBorders>
              <w:top w:val="single" w:sz="8" w:color="auto"/>
            </w:tcBorders>
            <w:gridSpan w:val="7"/>
          </w:tcPr>
          <w:p>
            <w:pPr>
              <w:jc w:val="center"/>
              <w:ind w:left="574"/>
              <w:spacing w:after="0" w:line="151" w:lineRule="exact"/>
              <w:rPr>
                <w:sz w:val="20"/>
                <w:szCs w:val="20"/>
                <w:color w:val="auto"/>
              </w:rPr>
            </w:pPr>
            <w:r>
              <w:rPr>
                <w:rFonts w:ascii="Arial" w:cs="Arial" w:eastAsia="Arial" w:hAnsi="Arial"/>
                <w:sz w:val="15"/>
                <w:szCs w:val="15"/>
                <w:b w:val="1"/>
                <w:bCs w:val="1"/>
                <w:color w:val="auto"/>
                <w:w w:val="89"/>
              </w:rPr>
              <w:t>(in thousands, except share data)</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A</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67,083,500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63,083,500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9,463</w:t>
            </w:r>
          </w:p>
        </w:tc>
        <w:tc>
          <w:tcPr>
            <w:tcW w:w="80" w:type="dxa"/>
            <w:vAlign w:val="bottom"/>
            <w:shd w:val="clear" w:color="auto" w:fill="CCEEFF"/>
          </w:tcPr>
          <w:p>
            <w:pPr>
              <w:spacing w:after="0"/>
              <w:rPr>
                <w:sz w:val="19"/>
                <w:szCs w:val="19"/>
                <w:color w:val="auto"/>
              </w:rPr>
            </w:pP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B</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25,857,784</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25,857,784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6,500</w:t>
            </w:r>
          </w:p>
        </w:tc>
        <w:tc>
          <w:tcPr>
            <w:tcW w:w="80" w:type="dxa"/>
            <w:vAlign w:val="bottom"/>
          </w:tcPr>
          <w:p>
            <w:pPr>
              <w:spacing w:after="0"/>
              <w:rPr>
                <w:sz w:val="19"/>
                <w:szCs w:val="19"/>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34,363,256</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34,363,256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30,000</w:t>
            </w: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D</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30,800,000</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30,727,064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w w:val="93"/>
              </w:rPr>
              <w:t>114,966</w:t>
            </w:r>
          </w:p>
        </w:tc>
      </w:tr>
      <w:tr>
        <w:trPr>
          <w:trHeight w:val="29"/>
        </w:trPr>
        <w:tc>
          <w:tcPr>
            <w:tcW w:w="80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80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w w:val="98"/>
              </w:rPr>
              <w:t>158,104,540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160,929</w:t>
            </w:r>
          </w:p>
        </w:tc>
        <w:tc>
          <w:tcPr>
            <w:tcW w:w="80" w:type="dxa"/>
            <w:vAlign w:val="bottom"/>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1"/>
        </w:trPr>
        <w:tc>
          <w:tcPr>
            <w:tcW w:w="80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5"/>
                <w:szCs w:val="15"/>
                <w:b w:val="1"/>
                <w:bCs w:val="1"/>
                <w:color w:val="auto"/>
                <w:w w:val="91"/>
              </w:rPr>
              <w:t>January 31, 2018</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28"/>
        </w:trPr>
        <w:tc>
          <w:tcPr>
            <w:tcW w:w="802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2"/>
              </w:rPr>
              <w:t>Designated</w:t>
            </w:r>
          </w:p>
        </w:tc>
        <w:tc>
          <w:tcPr>
            <w:tcW w:w="200" w:type="dxa"/>
            <w:vAlign w:val="bottom"/>
          </w:tcPr>
          <w:p>
            <w:pPr>
              <w:spacing w:after="0"/>
              <w:rPr>
                <w:sz w:val="11"/>
                <w:szCs w:val="11"/>
                <w:color w:val="auto"/>
              </w:rPr>
            </w:pPr>
          </w:p>
        </w:tc>
        <w:tc>
          <w:tcPr>
            <w:tcW w:w="124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4"/>
              </w:rPr>
              <w:t>Shares Issued</w:t>
            </w:r>
          </w:p>
        </w:tc>
        <w:tc>
          <w:tcPr>
            <w:tcW w:w="140" w:type="dxa"/>
            <w:vAlign w:val="bottom"/>
          </w:tcPr>
          <w:p>
            <w:pPr>
              <w:spacing w:after="0"/>
              <w:rPr>
                <w:sz w:val="11"/>
                <w:szCs w:val="11"/>
                <w:color w:val="auto"/>
              </w:rPr>
            </w:pPr>
          </w:p>
        </w:tc>
        <w:tc>
          <w:tcPr>
            <w:tcW w:w="82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5"/>
              </w:rPr>
              <w:t>Aggregate</w:t>
            </w:r>
          </w:p>
        </w:tc>
        <w:tc>
          <w:tcPr>
            <w:tcW w:w="80" w:type="dxa"/>
            <w:vAlign w:val="bottom"/>
          </w:tcPr>
          <w:p>
            <w:pPr>
              <w:spacing w:after="0"/>
              <w:rPr>
                <w:sz w:val="11"/>
                <w:szCs w:val="11"/>
                <w:color w:val="auto"/>
              </w:rPr>
            </w:pPr>
          </w:p>
        </w:tc>
      </w:tr>
      <w:tr>
        <w:trPr>
          <w:trHeight w:val="157"/>
        </w:trPr>
        <w:tc>
          <w:tcPr>
            <w:tcW w:w="8020" w:type="dxa"/>
            <w:vAlign w:val="bottom"/>
          </w:tcPr>
          <w:p>
            <w:pPr>
              <w:spacing w:after="0"/>
              <w:rPr>
                <w:sz w:val="13"/>
                <w:szCs w:val="13"/>
                <w:color w:val="auto"/>
              </w:rPr>
            </w:pP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5"/>
                <w:szCs w:val="15"/>
                <w:b w:val="1"/>
                <w:bCs w:val="1"/>
                <w:color w:val="auto"/>
                <w:w w:val="83"/>
              </w:rPr>
              <w:t>Shares</w:t>
            </w:r>
          </w:p>
        </w:tc>
        <w:tc>
          <w:tcPr>
            <w:tcW w:w="200" w:type="dxa"/>
            <w:vAlign w:val="bottom"/>
          </w:tcPr>
          <w:p>
            <w:pPr>
              <w:spacing w:after="0"/>
              <w:rPr>
                <w:sz w:val="13"/>
                <w:szCs w:val="13"/>
                <w:color w:val="auto"/>
              </w:rPr>
            </w:pPr>
          </w:p>
        </w:tc>
        <w:tc>
          <w:tcPr>
            <w:tcW w:w="1240" w:type="dxa"/>
            <w:vAlign w:val="bottom"/>
            <w:gridSpan w:val="2"/>
          </w:tcPr>
          <w:p>
            <w:pPr>
              <w:jc w:val="center"/>
              <w:ind w:right="140"/>
              <w:spacing w:after="0" w:line="157" w:lineRule="exact"/>
              <w:rPr>
                <w:sz w:val="20"/>
                <w:szCs w:val="20"/>
                <w:color w:val="auto"/>
              </w:rPr>
            </w:pPr>
            <w:r>
              <w:rPr>
                <w:rFonts w:ascii="Arial" w:cs="Arial" w:eastAsia="Arial" w:hAnsi="Arial"/>
                <w:sz w:val="15"/>
                <w:szCs w:val="15"/>
                <w:b w:val="1"/>
                <w:bCs w:val="1"/>
                <w:color w:val="auto"/>
                <w:w w:val="97"/>
              </w:rPr>
              <w:t>and</w:t>
            </w:r>
          </w:p>
        </w:tc>
        <w:tc>
          <w:tcPr>
            <w:tcW w:w="140" w:type="dxa"/>
            <w:vAlign w:val="bottom"/>
          </w:tcPr>
          <w:p>
            <w:pPr>
              <w:spacing w:after="0"/>
              <w:rPr>
                <w:sz w:val="13"/>
                <w:szCs w:val="13"/>
                <w:color w:val="auto"/>
              </w:rPr>
            </w:pPr>
          </w:p>
        </w:tc>
        <w:tc>
          <w:tcPr>
            <w:tcW w:w="900" w:type="dxa"/>
            <w:vAlign w:val="bottom"/>
            <w:gridSpan w:val="3"/>
          </w:tcPr>
          <w:p>
            <w:pPr>
              <w:jc w:val="center"/>
              <w:ind w:right="80"/>
              <w:spacing w:after="0" w:line="157" w:lineRule="exact"/>
              <w:rPr>
                <w:sz w:val="20"/>
                <w:szCs w:val="20"/>
                <w:color w:val="auto"/>
              </w:rPr>
            </w:pPr>
            <w:r>
              <w:rPr>
                <w:rFonts w:ascii="Arial" w:cs="Arial" w:eastAsia="Arial" w:hAnsi="Arial"/>
                <w:sz w:val="15"/>
                <w:szCs w:val="15"/>
                <w:b w:val="1"/>
                <w:bCs w:val="1"/>
                <w:color w:val="auto"/>
                <w:w w:val="96"/>
              </w:rPr>
              <w:t>Liquidation</w:t>
            </w:r>
          </w:p>
        </w:tc>
      </w:tr>
      <w:tr>
        <w:trPr>
          <w:trHeight w:val="180"/>
        </w:trPr>
        <w:tc>
          <w:tcPr>
            <w:tcW w:w="802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Authorized</w:t>
            </w:r>
          </w:p>
        </w:tc>
        <w:tc>
          <w:tcPr>
            <w:tcW w:w="2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Outstanding</w:t>
            </w:r>
          </w:p>
        </w:tc>
        <w:tc>
          <w:tcPr>
            <w:tcW w:w="140" w:type="dxa"/>
            <w:vAlign w:val="bottom"/>
          </w:tcPr>
          <w:p>
            <w:pPr>
              <w:spacing w:after="0"/>
              <w:rPr>
                <w:sz w:val="15"/>
                <w:szCs w:val="15"/>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w w:val="90"/>
              </w:rPr>
              <w:t>Preference</w:t>
            </w:r>
          </w:p>
        </w:tc>
      </w:tr>
      <w:tr>
        <w:trPr>
          <w:trHeight w:val="151"/>
        </w:trPr>
        <w:tc>
          <w:tcPr>
            <w:tcW w:w="8020" w:type="dxa"/>
            <w:vAlign w:val="bottom"/>
          </w:tcPr>
          <w:p>
            <w:pPr>
              <w:spacing w:after="0"/>
              <w:rPr>
                <w:sz w:val="13"/>
                <w:szCs w:val="13"/>
                <w:color w:val="auto"/>
              </w:rPr>
            </w:pPr>
          </w:p>
        </w:tc>
        <w:tc>
          <w:tcPr>
            <w:tcW w:w="2880" w:type="dxa"/>
            <w:vAlign w:val="bottom"/>
            <w:tcBorders>
              <w:top w:val="single" w:sz="8" w:color="auto"/>
            </w:tcBorders>
            <w:gridSpan w:val="7"/>
          </w:tcPr>
          <w:p>
            <w:pPr>
              <w:jc w:val="center"/>
              <w:ind w:left="574"/>
              <w:spacing w:after="0" w:line="151" w:lineRule="exact"/>
              <w:rPr>
                <w:sz w:val="20"/>
                <w:szCs w:val="20"/>
                <w:color w:val="auto"/>
              </w:rPr>
            </w:pPr>
            <w:r>
              <w:rPr>
                <w:rFonts w:ascii="Arial" w:cs="Arial" w:eastAsia="Arial" w:hAnsi="Arial"/>
                <w:sz w:val="15"/>
                <w:szCs w:val="15"/>
                <w:b w:val="1"/>
                <w:bCs w:val="1"/>
                <w:color w:val="auto"/>
                <w:w w:val="89"/>
              </w:rPr>
              <w:t>(in thousands, except share data)</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A</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67,083,500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61,717,700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9,258</w:t>
            </w:r>
          </w:p>
        </w:tc>
        <w:tc>
          <w:tcPr>
            <w:tcW w:w="80" w:type="dxa"/>
            <w:vAlign w:val="bottom"/>
            <w:shd w:val="clear" w:color="auto" w:fill="CCEEFF"/>
          </w:tcPr>
          <w:p>
            <w:pPr>
              <w:spacing w:after="0"/>
              <w:rPr>
                <w:sz w:val="19"/>
                <w:szCs w:val="19"/>
                <w:color w:val="auto"/>
              </w:rPr>
            </w:pP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B</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25,857,784</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25,857,784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6,500</w:t>
            </w:r>
          </w:p>
        </w:tc>
        <w:tc>
          <w:tcPr>
            <w:tcW w:w="80" w:type="dxa"/>
            <w:vAlign w:val="bottom"/>
          </w:tcPr>
          <w:p>
            <w:pPr>
              <w:spacing w:after="0"/>
              <w:rPr>
                <w:sz w:val="19"/>
                <w:szCs w:val="19"/>
                <w:color w:val="auto"/>
              </w:rPr>
            </w:pPr>
          </w:p>
        </w:tc>
      </w:tr>
      <w:tr>
        <w:trPr>
          <w:trHeight w:val="228"/>
        </w:trPr>
        <w:tc>
          <w:tcPr>
            <w:tcW w:w="8020" w:type="dxa"/>
            <w:vAlign w:val="bottom"/>
            <w:shd w:val="clear" w:color="auto" w:fill="CCEEFF"/>
          </w:tcPr>
          <w:p>
            <w:pPr>
              <w:spacing w:after="0"/>
              <w:rPr>
                <w:sz w:val="20"/>
                <w:szCs w:val="20"/>
                <w:color w:val="auto"/>
              </w:rPr>
            </w:pPr>
            <w:r>
              <w:rPr>
                <w:rFonts w:ascii="Arial" w:cs="Arial" w:eastAsia="Arial" w:hAnsi="Arial"/>
                <w:sz w:val="19"/>
                <w:szCs w:val="19"/>
                <w:color w:val="auto"/>
              </w:rPr>
              <w:t>Series C</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34,363,256</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9"/>
                <w:szCs w:val="19"/>
                <w:color w:val="auto"/>
              </w:rPr>
              <w:t>34,363,256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30,000</w:t>
            </w:r>
          </w:p>
        </w:tc>
      </w:tr>
      <w:tr>
        <w:trPr>
          <w:trHeight w:val="228"/>
        </w:trPr>
        <w:tc>
          <w:tcPr>
            <w:tcW w:w="8020" w:type="dxa"/>
            <w:vAlign w:val="bottom"/>
          </w:tcPr>
          <w:p>
            <w:pPr>
              <w:spacing w:after="0"/>
              <w:rPr>
                <w:sz w:val="20"/>
                <w:szCs w:val="20"/>
                <w:color w:val="auto"/>
              </w:rPr>
            </w:pPr>
            <w:r>
              <w:rPr>
                <w:rFonts w:ascii="Arial" w:cs="Arial" w:eastAsia="Arial" w:hAnsi="Arial"/>
                <w:sz w:val="19"/>
                <w:szCs w:val="19"/>
                <w:color w:val="auto"/>
              </w:rPr>
              <w:t>Series D</w:t>
            </w:r>
          </w:p>
        </w:tc>
        <w:tc>
          <w:tcPr>
            <w:tcW w:w="1140" w:type="dxa"/>
            <w:vAlign w:val="bottom"/>
            <w:gridSpan w:val="2"/>
          </w:tcPr>
          <w:p>
            <w:pPr>
              <w:jc w:val="right"/>
              <w:ind w:right="80"/>
              <w:spacing w:after="0"/>
              <w:rPr>
                <w:sz w:val="20"/>
                <w:szCs w:val="20"/>
                <w:color w:val="auto"/>
              </w:rPr>
            </w:pPr>
            <w:r>
              <w:rPr>
                <w:rFonts w:ascii="Arial" w:cs="Arial" w:eastAsia="Arial" w:hAnsi="Arial"/>
                <w:sz w:val="19"/>
                <w:szCs w:val="19"/>
                <w:color w:val="auto"/>
              </w:rPr>
              <w:t>30,800,000</w:t>
            </w:r>
          </w:p>
        </w:tc>
        <w:tc>
          <w:tcPr>
            <w:tcW w:w="1440" w:type="dxa"/>
            <w:vAlign w:val="bottom"/>
            <w:gridSpan w:val="3"/>
          </w:tcPr>
          <w:p>
            <w:pPr>
              <w:jc w:val="right"/>
              <w:ind w:right="140"/>
              <w:spacing w:after="0"/>
              <w:rPr>
                <w:sz w:val="20"/>
                <w:szCs w:val="20"/>
                <w:color w:val="auto"/>
              </w:rPr>
            </w:pPr>
            <w:r>
              <w:rPr>
                <w:rFonts w:ascii="Arial" w:cs="Arial" w:eastAsia="Arial" w:hAnsi="Arial"/>
                <w:sz w:val="19"/>
                <w:szCs w:val="19"/>
                <w:color w:val="auto"/>
              </w:rPr>
              <w:t>30,727,064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9"/>
                <w:szCs w:val="19"/>
                <w:color w:val="auto"/>
                <w:w w:val="93"/>
              </w:rPr>
              <w:t>114,966</w:t>
            </w:r>
          </w:p>
        </w:tc>
      </w:tr>
      <w:tr>
        <w:trPr>
          <w:trHeight w:val="29"/>
        </w:trPr>
        <w:tc>
          <w:tcPr>
            <w:tcW w:w="80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8"/>
        </w:trPr>
        <w:tc>
          <w:tcPr>
            <w:tcW w:w="802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convertible preferred stock</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w w:val="98"/>
              </w:rPr>
              <w:t>158,104,540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93"/>
              </w:rPr>
              <w:t>160,724</w:t>
            </w:r>
          </w:p>
        </w:tc>
        <w:tc>
          <w:tcPr>
            <w:tcW w:w="80" w:type="dxa"/>
            <w:vAlign w:val="bottom"/>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holders of the convertible preferred stock have the following rights, preferences and privileges:</w:t>
      </w:r>
    </w:p>
    <w:p>
      <w:pPr>
        <w:spacing w:after="0" w:line="238" w:lineRule="exact"/>
        <w:rPr>
          <w:sz w:val="20"/>
          <w:szCs w:val="20"/>
          <w:color w:val="auto"/>
        </w:rPr>
      </w:pPr>
    </w:p>
    <w:p>
      <w:pPr>
        <w:ind w:left="180" w:right="40" w:firstLine="465"/>
        <w:spacing w:after="0" w:line="256" w:lineRule="auto"/>
        <w:rPr>
          <w:sz w:val="20"/>
          <w:szCs w:val="20"/>
          <w:color w:val="auto"/>
        </w:rPr>
      </w:pPr>
      <w:r>
        <w:rPr>
          <w:rFonts w:ascii="Arial" w:cs="Arial" w:eastAsia="Arial" w:hAnsi="Arial"/>
          <w:sz w:val="19"/>
          <w:szCs w:val="19"/>
          <w:i w:val="1"/>
          <w:iCs w:val="1"/>
          <w:color w:val="auto"/>
        </w:rPr>
        <w:t xml:space="preserve">Dividend Rights </w:t>
      </w:r>
      <w:r>
        <w:rPr>
          <w:rFonts w:ascii="Arial" w:cs="Arial" w:eastAsia="Arial" w:hAnsi="Arial"/>
          <w:sz w:val="19"/>
          <w:szCs w:val="19"/>
          <w:color w:val="auto"/>
        </w:rPr>
        <w:t>– Holders of convertible preferred stock are entitled to receive noncumulative dividends at the rate of 6% of their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204" w:lineRule="exact"/>
        <w:rPr>
          <w:sz w:val="20"/>
          <w:szCs w:val="20"/>
          <w:color w:val="auto"/>
        </w:rPr>
      </w:pPr>
    </w:p>
    <w:p>
      <w:pPr>
        <w:ind w:left="180" w:right="180" w:firstLine="465"/>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Holders of convertible preferred stock have the right to convert at any time into shares of common stock at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ratio arrived at by dividing the original issuance price by the applicable conversion price. All shares of the convertible preferred stock shall be automatically converted into shares of common stock (i) upon the written request from holders of each of (a) a majority of the Series A convertible preferred stock then outstanding, (b) a majority of the Series B convertible preferred stock then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F-22</w:t>
      </w:r>
    </w:p>
    <w:p>
      <w:pPr>
        <w:sectPr>
          <w:pgSz w:w="12240" w:h="15840" w:orient="portrait"/>
          <w:cols w:equalWidth="0" w:num="1">
            <w:col w:w="11820"/>
          </w:cols>
          <w:pgMar w:left="120" w:top="336" w:right="300" w:bottom="1440" w:gutter="0" w:footer="0" w:header="0"/>
        </w:sectPr>
      </w:pPr>
    </w:p>
    <w:bookmarkStart w:id="161" w:name="page162"/>
    <w:bookmarkEnd w:id="16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00"/>
        <w:spacing w:after="0" w:line="256" w:lineRule="auto"/>
        <w:rPr>
          <w:sz w:val="20"/>
          <w:szCs w:val="20"/>
          <w:color w:val="auto"/>
        </w:rPr>
      </w:pPr>
      <w:r>
        <w:rPr>
          <w:rFonts w:ascii="Arial" w:cs="Arial" w:eastAsia="Arial" w:hAnsi="Arial"/>
          <w:sz w:val="19"/>
          <w:szCs w:val="19"/>
          <w:color w:val="auto"/>
        </w:rPr>
        <w:t>outstanding, (c) a majority of the Series C convertible preferred stock then outstanding, and (d) a majority of the Series D convertible preferred stock outstanding, or (ii) into shares of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204" w:lineRule="exact"/>
        <w:rPr>
          <w:sz w:val="20"/>
          <w:szCs w:val="20"/>
          <w:color w:val="auto"/>
        </w:rPr>
      </w:pPr>
    </w:p>
    <w:p>
      <w:pPr>
        <w:ind w:left="180" w:right="60" w:firstLine="465"/>
        <w:spacing w:after="0" w:line="268" w:lineRule="auto"/>
        <w:rPr>
          <w:sz w:val="20"/>
          <w:szCs w:val="20"/>
          <w:color w:val="auto"/>
        </w:rPr>
      </w:pPr>
      <w:r>
        <w:rPr>
          <w:rFonts w:ascii="Arial" w:cs="Arial" w:eastAsia="Arial" w:hAnsi="Arial"/>
          <w:sz w:val="18"/>
          <w:szCs w:val="18"/>
          <w:i w:val="1"/>
          <w:iCs w:val="1"/>
          <w:color w:val="auto"/>
        </w:rPr>
        <w:t xml:space="preserve">Liquidation Preference </w:t>
      </w:r>
      <w:r>
        <w:rPr>
          <w:rFonts w:ascii="Arial" w:cs="Arial" w:eastAsia="Arial" w:hAnsi="Arial"/>
          <w:sz w:val="18"/>
          <w:szCs w:val="18"/>
          <w:color w:val="auto"/>
        </w:rPr>
        <w:t>– In the event of any liquidation, dissolution or winding up of the Company, either voluntary or involuntary,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 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common stock. The remaining funds are distributed with equal priority and pro rata among the holders of preferred stock and common stock.</w:t>
      </w:r>
    </w:p>
    <w:p>
      <w:pPr>
        <w:spacing w:after="0" w:line="193" w:lineRule="exact"/>
        <w:rPr>
          <w:sz w:val="20"/>
          <w:szCs w:val="20"/>
          <w:color w:val="auto"/>
        </w:rPr>
      </w:pPr>
    </w:p>
    <w:p>
      <w:pPr>
        <w:ind w:left="180" w:right="200" w:firstLine="465"/>
        <w:spacing w:after="0" w:line="28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The holders of convertible preferred stock are entitled to vote on all matters and are entitled to the number of votes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of common stock into which each share of convertible preferred stock is then convertible. The holders of convertible preferred stock vote together with the holders of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common stock, voting as a separate class, are entitled to elect two members of the board of directors. The holders of convertible preferred stock and common stock, voting together as a single class on an as-if-converted basis, are entitled to elect remaining members of the board of directors.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Redemption </w:t>
      </w:r>
      <w:r>
        <w:rPr>
          <w:rFonts w:ascii="Arial" w:cs="Arial" w:eastAsia="Arial" w:hAnsi="Arial"/>
          <w:sz w:val="19"/>
          <w:szCs w:val="19"/>
          <w:color w:val="auto"/>
        </w:rPr>
        <w:t>– The convertible preferred stock does not contain any date-certain redemption features.</w:t>
      </w:r>
    </w:p>
    <w:p>
      <w:pPr>
        <w:spacing w:after="0" w:line="238" w:lineRule="exact"/>
        <w:rPr>
          <w:sz w:val="20"/>
          <w:szCs w:val="20"/>
          <w:color w:val="auto"/>
        </w:rPr>
      </w:pPr>
    </w:p>
    <w:p>
      <w:pPr>
        <w:ind w:left="180" w:right="320" w:firstLine="465"/>
        <w:spacing w:after="0" w:line="263" w:lineRule="auto"/>
        <w:rPr>
          <w:sz w:val="20"/>
          <w:szCs w:val="20"/>
          <w:color w:val="auto"/>
        </w:rPr>
      </w:pPr>
      <w:r>
        <w:rPr>
          <w:rFonts w:ascii="Arial" w:cs="Arial" w:eastAsia="Arial" w:hAnsi="Arial"/>
          <w:sz w:val="19"/>
          <w:szCs w:val="19"/>
          <w:i w:val="1"/>
          <w:iCs w:val="1"/>
          <w:color w:val="auto"/>
        </w:rPr>
        <w:t xml:space="preserve">Classification of Convertible Preferred Stock </w:t>
      </w:r>
      <w:r>
        <w:rPr>
          <w:rFonts w:ascii="Arial" w:cs="Arial" w:eastAsia="Arial" w:hAnsi="Arial"/>
          <w:sz w:val="19"/>
          <w:szCs w:val="19"/>
          <w:color w:val="auto"/>
        </w:rPr>
        <w:t>– The deemed liquidation preference provisions of the convertible preferred stock are considered</w:t>
      </w:r>
      <w:r>
        <w:rPr>
          <w:rFonts w:ascii="Arial" w:cs="Arial" w:eastAsia="Arial" w:hAnsi="Arial"/>
          <w:sz w:val="19"/>
          <w:szCs w:val="19"/>
          <w:i w:val="1"/>
          <w:iCs w:val="1"/>
          <w:color w:val="auto"/>
        </w:rPr>
        <w:t xml:space="preserve"> </w:t>
      </w:r>
      <w:r>
        <w:rPr>
          <w:rFonts w:ascii="Arial" w:cs="Arial" w:eastAsia="Arial" w:hAnsi="Arial"/>
          <w:sz w:val="19"/>
          <w:szCs w:val="19"/>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Repurchases of Convertible Preferred Stock</w:t>
      </w:r>
    </w:p>
    <w:p>
      <w:pPr>
        <w:spacing w:after="0" w:line="124" w:lineRule="exact"/>
        <w:rPr>
          <w:sz w:val="20"/>
          <w:szCs w:val="20"/>
          <w:color w:val="auto"/>
        </w:rPr>
      </w:pPr>
    </w:p>
    <w:p>
      <w:pPr>
        <w:ind w:left="180" w:firstLine="465"/>
        <w:spacing w:after="0" w:line="256" w:lineRule="auto"/>
        <w:rPr>
          <w:sz w:val="20"/>
          <w:szCs w:val="20"/>
          <w:color w:val="auto"/>
        </w:rPr>
      </w:pPr>
      <w:r>
        <w:rPr>
          <w:rFonts w:ascii="Arial" w:cs="Arial" w:eastAsia="Arial" w:hAnsi="Arial"/>
          <w:sz w:val="19"/>
          <w:szCs w:val="19"/>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F-23</w:t>
      </w:r>
    </w:p>
    <w:p>
      <w:pPr>
        <w:sectPr>
          <w:pgSz w:w="12240" w:h="15840" w:orient="portrait"/>
          <w:cols w:equalWidth="0" w:num="1">
            <w:col w:w="11800"/>
          </w:cols>
          <w:pgMar w:left="120" w:top="337" w:right="320" w:bottom="1440" w:gutter="0" w:footer="0" w:header="0"/>
        </w:sectPr>
      </w:pPr>
    </w:p>
    <w:bookmarkStart w:id="162" w:name="page163"/>
    <w:bookmarkEnd w:id="162"/>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68260" cy="39370"/>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60" w:firstLine="465"/>
        <w:spacing w:after="0" w:line="277" w:lineRule="auto"/>
        <w:rPr>
          <w:sz w:val="20"/>
          <w:szCs w:val="20"/>
          <w:color w:val="auto"/>
        </w:rPr>
      </w:pPr>
      <w:r>
        <w:rPr>
          <w:rFonts w:ascii="Arial" w:cs="Arial" w:eastAsia="Arial" w:hAnsi="Arial"/>
          <w:sz w:val="18"/>
          <w:szCs w:val="18"/>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Series A convertible preferred stock that we repurchased were retired immediately thereafter.</w:t>
      </w:r>
    </w:p>
    <w:p>
      <w:pPr>
        <w:spacing w:after="0" w:line="29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Common Stock</w:t>
      </w:r>
    </w:p>
    <w:p>
      <w:pPr>
        <w:spacing w:after="0" w:line="124" w:lineRule="exact"/>
        <w:rPr>
          <w:sz w:val="20"/>
          <w:szCs w:val="20"/>
          <w:color w:val="auto"/>
        </w:rPr>
      </w:pPr>
    </w:p>
    <w:p>
      <w:pPr>
        <w:ind w:left="180" w:right="140" w:firstLine="465"/>
        <w:spacing w:after="0" w:line="263" w:lineRule="auto"/>
        <w:rPr>
          <w:sz w:val="20"/>
          <w:szCs w:val="20"/>
          <w:color w:val="auto"/>
        </w:rPr>
      </w:pPr>
      <w:r>
        <w:rPr>
          <w:rFonts w:ascii="Arial" w:cs="Arial" w:eastAsia="Arial" w:hAnsi="Arial"/>
          <w:sz w:val="19"/>
          <w:szCs w:val="19"/>
          <w:color w:val="auto"/>
        </w:rPr>
        <w:t>As of January 31, 2018, there were 320,000,000 shares of common stock authorized, of which 82,609,638 shares were issued and outstanding. Holders of common stock are entitled to receive dividends whenever funds are legally available and when declared by the board of directors, subject to the priority rights of holders of all series of convertible preferred stock outstanding.</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Common stock reserved for issuance is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060" w:type="dxa"/>
            <w:vAlign w:val="bottom"/>
          </w:tcPr>
          <w:p>
            <w:pPr>
              <w:spacing w:after="0"/>
              <w:rPr>
                <w:sz w:val="15"/>
                <w:szCs w:val="15"/>
                <w:color w:val="auto"/>
              </w:rPr>
            </w:pPr>
          </w:p>
        </w:tc>
        <w:tc>
          <w:tcPr>
            <w:tcW w:w="2580" w:type="dxa"/>
            <w:vAlign w:val="bottom"/>
            <w:gridSpan w:val="4"/>
          </w:tcPr>
          <w:p>
            <w:pPr>
              <w:jc w:val="right"/>
              <w:ind w:right="940"/>
              <w:spacing w:after="0"/>
              <w:rPr>
                <w:sz w:val="20"/>
                <w:szCs w:val="20"/>
                <w:color w:val="auto"/>
              </w:rPr>
            </w:pPr>
            <w:r>
              <w:rPr>
                <w:rFonts w:ascii="Arial" w:cs="Arial" w:eastAsia="Arial" w:hAnsi="Arial"/>
                <w:sz w:val="15"/>
                <w:szCs w:val="15"/>
                <w:b w:val="1"/>
                <w:bCs w:val="1"/>
                <w:color w:val="auto"/>
              </w:rPr>
              <w:t>January 31,</w:t>
            </w:r>
          </w:p>
        </w:tc>
      </w:tr>
      <w:tr>
        <w:trPr>
          <w:trHeight w:val="151"/>
        </w:trPr>
        <w:tc>
          <w:tcPr>
            <w:tcW w:w="906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1"/>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9"/>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Conversion of convertible preferred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80" w:type="dxa"/>
            <w:vAlign w:val="bottom"/>
            <w:shd w:val="clear" w:color="auto" w:fill="CCEEFF"/>
          </w:tcPr>
          <w:p>
            <w:pPr>
              <w:spacing w:after="0"/>
              <w:rPr>
                <w:sz w:val="19"/>
                <w:szCs w:val="19"/>
                <w:color w:val="auto"/>
              </w:rPr>
            </w:pPr>
          </w:p>
        </w:tc>
      </w:tr>
      <w:tr>
        <w:trPr>
          <w:trHeight w:val="228"/>
        </w:trPr>
        <w:tc>
          <w:tcPr>
            <w:tcW w:w="9060" w:type="dxa"/>
            <w:vAlign w:val="bottom"/>
          </w:tcPr>
          <w:p>
            <w:pPr>
              <w:spacing w:after="0"/>
              <w:rPr>
                <w:sz w:val="20"/>
                <w:szCs w:val="20"/>
                <w:color w:val="auto"/>
              </w:rPr>
            </w:pPr>
            <w:r>
              <w:rPr>
                <w:rFonts w:ascii="Arial" w:cs="Arial" w:eastAsia="Arial" w:hAnsi="Arial"/>
                <w:sz w:val="19"/>
                <w:szCs w:val="19"/>
                <w:color w:val="auto"/>
              </w:rPr>
              <w:t>Outstanding stock options</w:t>
            </w:r>
          </w:p>
        </w:tc>
        <w:tc>
          <w:tcPr>
            <w:tcW w:w="1400" w:type="dxa"/>
            <w:vAlign w:val="bottom"/>
            <w:gridSpan w:val="2"/>
          </w:tcPr>
          <w:p>
            <w:pPr>
              <w:jc w:val="right"/>
              <w:ind w:right="300"/>
              <w:spacing w:after="0"/>
              <w:rPr>
                <w:sz w:val="20"/>
                <w:szCs w:val="20"/>
                <w:color w:val="auto"/>
              </w:rPr>
            </w:pPr>
            <w:r>
              <w:rPr>
                <w:rFonts w:ascii="Arial" w:cs="Arial" w:eastAsia="Arial" w:hAnsi="Arial"/>
                <w:sz w:val="19"/>
                <w:szCs w:val="19"/>
                <w:color w:val="auto"/>
              </w:rPr>
              <w:t>28,011,000</w:t>
            </w: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34,170,489</w:t>
            </w:r>
          </w:p>
        </w:tc>
      </w:tr>
      <w:tr>
        <w:trPr>
          <w:trHeight w:val="228"/>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Remaining shares available for future issuance under the 2011 Plan</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5,578,104</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9"/>
                <w:szCs w:val="19"/>
                <w:color w:val="auto"/>
              </w:rPr>
              <w:t>10,459,873</w:t>
            </w:r>
          </w:p>
        </w:tc>
      </w:tr>
      <w:tr>
        <w:trPr>
          <w:trHeight w:val="236"/>
        </w:trPr>
        <w:tc>
          <w:tcPr>
            <w:tcW w:w="9060" w:type="dxa"/>
            <w:vAlign w:val="bottom"/>
          </w:tcPr>
          <w:p>
            <w:pPr>
              <w:ind w:left="380"/>
              <w:spacing w:after="0"/>
              <w:rPr>
                <w:sz w:val="20"/>
                <w:szCs w:val="20"/>
                <w:color w:val="auto"/>
              </w:rPr>
            </w:pPr>
            <w:r>
              <w:rPr>
                <w:rFonts w:ascii="Arial" w:cs="Arial" w:eastAsia="Arial" w:hAnsi="Arial"/>
                <w:sz w:val="19"/>
                <w:szCs w:val="19"/>
                <w:color w:val="auto"/>
              </w:rPr>
              <w:t>Total shares of common stock reserved</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187,620,708</w:t>
            </w:r>
          </w:p>
        </w:tc>
        <w:tc>
          <w:tcPr>
            <w:tcW w:w="3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197,296,166</w:t>
            </w:r>
          </w:p>
        </w:tc>
        <w:tc>
          <w:tcPr>
            <w:tcW w:w="8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Equity Incentive Plan</w:t>
      </w:r>
    </w:p>
    <w:p>
      <w:pPr>
        <w:spacing w:after="0" w:line="124" w:lineRule="exact"/>
        <w:rPr>
          <w:sz w:val="20"/>
          <w:szCs w:val="20"/>
          <w:color w:val="auto"/>
        </w:rPr>
      </w:pPr>
    </w:p>
    <w:p>
      <w:pPr>
        <w:ind w:left="180" w:right="40" w:firstLine="465"/>
        <w:spacing w:after="0" w:line="277" w:lineRule="auto"/>
        <w:rPr>
          <w:sz w:val="20"/>
          <w:szCs w:val="20"/>
          <w:color w:val="auto"/>
        </w:rPr>
      </w:pPr>
      <w:r>
        <w:rPr>
          <w:rFonts w:ascii="Arial" w:cs="Arial" w:eastAsia="Arial" w:hAnsi="Arial"/>
          <w:sz w:val="18"/>
          <w:szCs w:val="18"/>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85" w:lineRule="exact"/>
        <w:rPr>
          <w:sz w:val="20"/>
          <w:szCs w:val="20"/>
          <w:color w:val="auto"/>
        </w:rPr>
      </w:pPr>
    </w:p>
    <w:p>
      <w:pPr>
        <w:ind w:left="180" w:right="340" w:firstLine="465"/>
        <w:spacing w:after="0" w:line="275" w:lineRule="auto"/>
        <w:rPr>
          <w:sz w:val="20"/>
          <w:szCs w:val="20"/>
          <w:color w:val="auto"/>
        </w:rPr>
      </w:pPr>
      <w:r>
        <w:rPr>
          <w:rFonts w:ascii="Arial" w:cs="Arial" w:eastAsia="Arial" w:hAnsi="Arial"/>
          <w:sz w:val="19"/>
          <w:szCs w:val="19"/>
          <w:color w:val="auto"/>
        </w:rPr>
        <w:t>As of January 31, 2017 and 2018, our board of directors had authorized 57,240,000 and 71,240,000 shares of common stock to be reserved for grants of awards under the 2011 Plan.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F-24</w:t>
      </w:r>
    </w:p>
    <w:p>
      <w:pPr>
        <w:sectPr>
          <w:pgSz w:w="12240" w:h="15840" w:orient="portrait"/>
          <w:cols w:equalWidth="0" w:num="1">
            <w:col w:w="11820"/>
          </w:cols>
          <w:pgMar w:left="120" w:top="336" w:right="300" w:bottom="1440" w:gutter="0" w:footer="0" w:header="0"/>
        </w:sectPr>
      </w:pPr>
    </w:p>
    <w:bookmarkStart w:id="163" w:name="page164"/>
    <w:bookmarkEnd w:id="16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summary of stock option activity under our equity incentive plan and related information is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5"/>
                <w:szCs w:val="15"/>
                <w:b w:val="1"/>
                <w:bCs w:val="1"/>
                <w:color w:val="auto"/>
                <w:w w:val="91"/>
              </w:rPr>
              <w:t>Options Outstanding</w:t>
            </w: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240"/>
              <w:spacing w:after="0" w:line="157" w:lineRule="exact"/>
              <w:rPr>
                <w:sz w:val="20"/>
                <w:szCs w:val="20"/>
                <w:color w:val="auto"/>
              </w:rPr>
            </w:pPr>
            <w:r>
              <w:rPr>
                <w:rFonts w:ascii="Arial" w:cs="Arial" w:eastAsia="Arial" w:hAnsi="Arial"/>
                <w:sz w:val="15"/>
                <w:szCs w:val="15"/>
                <w:b w:val="1"/>
                <w:bCs w:val="1"/>
                <w:color w:val="auto"/>
              </w:rPr>
              <w:t>Weighted-</w:t>
            </w:r>
          </w:p>
        </w:tc>
        <w:tc>
          <w:tcPr>
            <w:tcW w:w="1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87"/>
              </w:rPr>
              <w:t>Shares</w:t>
            </w:r>
          </w:p>
        </w:tc>
        <w:tc>
          <w:tcPr>
            <w:tcW w:w="1200" w:type="dxa"/>
            <w:vAlign w:val="bottom"/>
            <w:gridSpan w:val="2"/>
          </w:tcPr>
          <w:p>
            <w:pPr>
              <w:jc w:val="center"/>
              <w:ind w:right="300"/>
              <w:spacing w:after="0" w:line="157" w:lineRule="exact"/>
              <w:rPr>
                <w:sz w:val="20"/>
                <w:szCs w:val="20"/>
                <w:color w:val="auto"/>
              </w:rPr>
            </w:pPr>
            <w:r>
              <w:rPr>
                <w:rFonts w:ascii="Arial" w:cs="Arial" w:eastAsia="Arial" w:hAnsi="Arial"/>
                <w:sz w:val="15"/>
                <w:szCs w:val="15"/>
                <w:b w:val="1"/>
                <w:bCs w:val="1"/>
                <w:color w:val="auto"/>
                <w:w w:val="92"/>
              </w:rPr>
              <w:t>Outstanding</w:t>
            </w:r>
          </w:p>
        </w:tc>
        <w:tc>
          <w:tcPr>
            <w:tcW w:w="11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Average</w:t>
            </w:r>
          </w:p>
        </w:tc>
        <w:tc>
          <w:tcPr>
            <w:tcW w:w="12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3"/>
              </w:rPr>
              <w:t>Remaining</w:t>
            </w:r>
          </w:p>
        </w:tc>
        <w:tc>
          <w:tcPr>
            <w:tcW w:w="960" w:type="dxa"/>
            <w:vAlign w:val="bottom"/>
            <w:gridSpan w:val="3"/>
          </w:tcPr>
          <w:p>
            <w:pPr>
              <w:ind w:left="240"/>
              <w:spacing w:after="0" w:line="157" w:lineRule="exact"/>
              <w:rPr>
                <w:sz w:val="20"/>
                <w:szCs w:val="20"/>
                <w:color w:val="auto"/>
              </w:rPr>
            </w:pPr>
            <w:r>
              <w:rPr>
                <w:rFonts w:ascii="Arial" w:cs="Arial" w:eastAsia="Arial" w:hAnsi="Arial"/>
                <w:sz w:val="15"/>
                <w:szCs w:val="15"/>
                <w:b w:val="1"/>
                <w:bCs w:val="1"/>
                <w:color w:val="auto"/>
                <w:w w:val="94"/>
              </w:rPr>
              <w:t>Aggregate</w:t>
            </w: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40" w:type="dxa"/>
            <w:vAlign w:val="bottom"/>
            <w:gridSpan w:val="2"/>
          </w:tcPr>
          <w:p>
            <w:pPr>
              <w:jc w:val="center"/>
              <w:ind w:right="520"/>
              <w:spacing w:after="0" w:line="157" w:lineRule="exact"/>
              <w:rPr>
                <w:sz w:val="20"/>
                <w:szCs w:val="20"/>
                <w:color w:val="auto"/>
              </w:rPr>
            </w:pPr>
            <w:r>
              <w:rPr>
                <w:rFonts w:ascii="Arial" w:cs="Arial" w:eastAsia="Arial" w:hAnsi="Arial"/>
                <w:sz w:val="15"/>
                <w:szCs w:val="15"/>
                <w:b w:val="1"/>
                <w:bCs w:val="1"/>
                <w:color w:val="auto"/>
                <w:w w:val="93"/>
              </w:rPr>
              <w:t>Available for</w:t>
            </w:r>
          </w:p>
        </w:tc>
        <w:tc>
          <w:tcPr>
            <w:tcW w:w="120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8"/>
              </w:rPr>
              <w:t>Stock</w:t>
            </w:r>
          </w:p>
        </w:tc>
        <w:tc>
          <w:tcPr>
            <w:tcW w:w="114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87"/>
              </w:rPr>
              <w:t>Exercise</w:t>
            </w:r>
          </w:p>
        </w:tc>
        <w:tc>
          <w:tcPr>
            <w:tcW w:w="1280" w:type="dxa"/>
            <w:vAlign w:val="bottom"/>
          </w:tcPr>
          <w:p>
            <w:pPr>
              <w:jc w:val="right"/>
              <w:ind w:right="156"/>
              <w:spacing w:after="0" w:line="157" w:lineRule="exact"/>
              <w:rPr>
                <w:sz w:val="20"/>
                <w:szCs w:val="20"/>
                <w:color w:val="auto"/>
              </w:rPr>
            </w:pPr>
            <w:r>
              <w:rPr>
                <w:rFonts w:ascii="Arial" w:cs="Arial" w:eastAsia="Arial" w:hAnsi="Arial"/>
                <w:sz w:val="15"/>
                <w:szCs w:val="15"/>
                <w:b w:val="1"/>
                <w:bCs w:val="1"/>
                <w:color w:val="auto"/>
              </w:rPr>
              <w:t>Contractual</w:t>
            </w:r>
          </w:p>
        </w:tc>
        <w:tc>
          <w:tcPr>
            <w:tcW w:w="960" w:type="dxa"/>
            <w:vAlign w:val="bottom"/>
            <w:gridSpan w:val="3"/>
          </w:tcPr>
          <w:p>
            <w:pPr>
              <w:jc w:val="center"/>
              <w:ind w:left="73"/>
              <w:spacing w:after="0" w:line="157" w:lineRule="exact"/>
              <w:rPr>
                <w:sz w:val="20"/>
                <w:szCs w:val="20"/>
                <w:color w:val="auto"/>
              </w:rPr>
            </w:pPr>
            <w:r>
              <w:rPr>
                <w:rFonts w:ascii="Arial" w:cs="Arial" w:eastAsia="Arial" w:hAnsi="Arial"/>
                <w:sz w:val="15"/>
                <w:szCs w:val="15"/>
                <w:b w:val="1"/>
                <w:bCs w:val="1"/>
                <w:color w:val="auto"/>
                <w:w w:val="95"/>
              </w:rPr>
              <w:t>Intrinsic</w:t>
            </w:r>
          </w:p>
        </w:tc>
      </w:tr>
      <w:tr>
        <w:trPr>
          <w:trHeight w:val="180"/>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9"/>
              </w:rPr>
              <w:t>Grant</w:t>
            </w: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Options</w:t>
            </w:r>
          </w:p>
        </w:tc>
        <w:tc>
          <w:tcPr>
            <w:tcW w:w="360" w:type="dxa"/>
            <w:vAlign w:val="bottom"/>
          </w:tcPr>
          <w:p>
            <w:pPr>
              <w:spacing w:after="0"/>
              <w:rPr>
                <w:sz w:val="15"/>
                <w:szCs w:val="15"/>
                <w:color w:val="auto"/>
              </w:rPr>
            </w:pPr>
          </w:p>
        </w:tc>
        <w:tc>
          <w:tcPr>
            <w:tcW w:w="780" w:type="dxa"/>
            <w:vAlign w:val="bottom"/>
          </w:tcPr>
          <w:p>
            <w:pPr>
              <w:jc w:val="center"/>
              <w:ind w:right="268"/>
              <w:spacing w:after="0"/>
              <w:rPr>
                <w:sz w:val="20"/>
                <w:szCs w:val="20"/>
                <w:color w:val="auto"/>
              </w:rPr>
            </w:pPr>
            <w:r>
              <w:rPr>
                <w:rFonts w:ascii="Arial" w:cs="Arial" w:eastAsia="Arial" w:hAnsi="Arial"/>
                <w:sz w:val="15"/>
                <w:szCs w:val="15"/>
                <w:b w:val="1"/>
                <w:bCs w:val="1"/>
                <w:color w:val="auto"/>
                <w:w w:val="92"/>
              </w:rPr>
              <w:t>Price</w:t>
            </w:r>
          </w:p>
        </w:tc>
        <w:tc>
          <w:tcPr>
            <w:tcW w:w="1280" w:type="dxa"/>
            <w:vAlign w:val="bottom"/>
          </w:tcPr>
          <w:p>
            <w:pPr>
              <w:jc w:val="right"/>
              <w:ind w:right="176"/>
              <w:spacing w:after="0"/>
              <w:rPr>
                <w:sz w:val="20"/>
                <w:szCs w:val="20"/>
                <w:color w:val="auto"/>
              </w:rPr>
            </w:pPr>
            <w:r>
              <w:rPr>
                <w:rFonts w:ascii="Arial" w:cs="Arial" w:eastAsia="Arial" w:hAnsi="Arial"/>
                <w:sz w:val="15"/>
                <w:szCs w:val="15"/>
                <w:b w:val="1"/>
                <w:bCs w:val="1"/>
                <w:color w:val="auto"/>
              </w:rPr>
              <w:t>Life (Years)</w:t>
            </w:r>
          </w:p>
        </w:tc>
        <w:tc>
          <w:tcPr>
            <w:tcW w:w="36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Value</w:t>
            </w:r>
          </w:p>
        </w:tc>
      </w:tr>
      <w:tr>
        <w:trPr>
          <w:trHeight w:val="15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620" w:type="dxa"/>
            <w:vAlign w:val="bottom"/>
            <w:tcBorders>
              <w:top w:val="single" w:sz="8" w:color="auto"/>
            </w:tcBorders>
            <w:gridSpan w:val="5"/>
          </w:tcPr>
          <w:p>
            <w:pPr>
              <w:jc w:val="right"/>
              <w:ind w:right="476"/>
              <w:spacing w:after="0" w:line="151" w:lineRule="exact"/>
              <w:rPr>
                <w:sz w:val="20"/>
                <w:szCs w:val="20"/>
                <w:color w:val="auto"/>
              </w:rPr>
            </w:pPr>
            <w:r>
              <w:rPr>
                <w:rFonts w:ascii="Arial" w:cs="Arial" w:eastAsia="Arial" w:hAnsi="Arial"/>
                <w:sz w:val="15"/>
                <w:szCs w:val="15"/>
                <w:b w:val="1"/>
                <w:bCs w:val="1"/>
                <w:color w:val="auto"/>
                <w:w w:val="89"/>
              </w:rPr>
              <w:t>(in thousands, except share and per share data)</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Balance as of February 1, 2016</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w w:val="94"/>
              </w:rPr>
              <w:t>10,758,016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4"/>
              </w:rPr>
              <w:t>31,802,500</w:t>
            </w:r>
          </w:p>
        </w:tc>
        <w:tc>
          <w:tcPr>
            <w:tcW w:w="3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0.06</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7.5</w:t>
            </w:r>
          </w:p>
        </w:tc>
        <w:tc>
          <w:tcPr>
            <w:tcW w:w="360" w:type="dxa"/>
            <w:vAlign w:val="bottom"/>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8,281</w:t>
            </w: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Granted</w:t>
            </w:r>
          </w:p>
        </w:tc>
        <w:tc>
          <w:tcPr>
            <w:tcW w:w="1440" w:type="dxa"/>
            <w:vAlign w:val="bottom"/>
            <w:gridSpan w:val="2"/>
          </w:tcPr>
          <w:p>
            <w:pPr>
              <w:jc w:val="right"/>
              <w:ind w:right="460"/>
              <w:spacing w:after="0"/>
              <w:rPr>
                <w:sz w:val="20"/>
                <w:szCs w:val="20"/>
                <w:color w:val="auto"/>
              </w:rPr>
            </w:pPr>
            <w:r>
              <w:rPr>
                <w:rFonts w:ascii="Arial" w:cs="Arial" w:eastAsia="Arial" w:hAnsi="Arial"/>
                <w:sz w:val="19"/>
                <w:szCs w:val="19"/>
                <w:color w:val="auto"/>
                <w:w w:val="98"/>
              </w:rPr>
              <w:t>(5,808,000)</w:t>
            </w:r>
          </w:p>
        </w:tc>
        <w:tc>
          <w:tcPr>
            <w:tcW w:w="920" w:type="dxa"/>
            <w:vAlign w:val="bottom"/>
          </w:tcPr>
          <w:p>
            <w:pPr>
              <w:jc w:val="right"/>
              <w:spacing w:after="0"/>
              <w:rPr>
                <w:sz w:val="20"/>
                <w:szCs w:val="20"/>
                <w:color w:val="auto"/>
              </w:rPr>
            </w:pPr>
            <w:r>
              <w:rPr>
                <w:rFonts w:ascii="Arial" w:cs="Arial" w:eastAsia="Arial" w:hAnsi="Arial"/>
                <w:sz w:val="19"/>
                <w:szCs w:val="19"/>
                <w:color w:val="auto"/>
              </w:rPr>
              <w:t>5,808,000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0.30</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Exercised</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9"/>
                <w:szCs w:val="19"/>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w w:val="98"/>
              </w:rPr>
              <w:t>(8,971,412)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0.04</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3,541</w:t>
            </w:r>
          </w:p>
        </w:tc>
      </w:tr>
      <w:tr>
        <w:trPr>
          <w:trHeight w:val="237"/>
        </w:trPr>
        <w:tc>
          <w:tcPr>
            <w:tcW w:w="20" w:type="dxa"/>
            <w:vAlign w:val="bottom"/>
          </w:tcPr>
          <w:p>
            <w:pPr>
              <w:spacing w:after="0"/>
              <w:rPr>
                <w:sz w:val="20"/>
                <w:szCs w:val="20"/>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920" w:type="dxa"/>
            <w:vAlign w:val="bottom"/>
          </w:tcPr>
          <w:p>
            <w:pPr>
              <w:jc w:val="right"/>
              <w:spacing w:after="0"/>
              <w:rPr>
                <w:sz w:val="20"/>
                <w:szCs w:val="20"/>
                <w:color w:val="auto"/>
              </w:rPr>
            </w:pPr>
            <w:r>
              <w:rPr>
                <w:rFonts w:ascii="Arial" w:cs="Arial" w:eastAsia="Arial" w:hAnsi="Arial"/>
                <w:sz w:val="19"/>
                <w:szCs w:val="19"/>
                <w:color w:val="auto"/>
              </w:rPr>
              <w:t>628,088</w:t>
            </w:r>
          </w:p>
        </w:tc>
        <w:tc>
          <w:tcPr>
            <w:tcW w:w="5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rPr>
              <w:t>(628,088)</w:t>
            </w:r>
          </w:p>
        </w:tc>
        <w:tc>
          <w:tcPr>
            <w:tcW w:w="360" w:type="dxa"/>
            <w:vAlign w:val="bottom"/>
          </w:tcPr>
          <w:p>
            <w:pPr>
              <w:spacing w:after="0"/>
              <w:rPr>
                <w:sz w:val="20"/>
                <w:szCs w:val="20"/>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0.19</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Balance as of January 31, 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5,578,104</w:t>
            </w:r>
          </w:p>
        </w:tc>
        <w:tc>
          <w:tcPr>
            <w:tcW w:w="52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4"/>
              </w:rPr>
              <w:t>28,011,000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0.11</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7.2</w:t>
            </w:r>
          </w:p>
        </w:tc>
        <w:tc>
          <w:tcPr>
            <w:tcW w:w="3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13,900</w:t>
            </w: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Shares authorized</w:t>
            </w:r>
          </w:p>
        </w:tc>
        <w:tc>
          <w:tcPr>
            <w:tcW w:w="1440" w:type="dxa"/>
            <w:vAlign w:val="bottom"/>
            <w:gridSpan w:val="2"/>
          </w:tcPr>
          <w:p>
            <w:pPr>
              <w:jc w:val="right"/>
              <w:ind w:right="520"/>
              <w:spacing w:after="0"/>
              <w:rPr>
                <w:sz w:val="20"/>
                <w:szCs w:val="20"/>
                <w:color w:val="auto"/>
              </w:rPr>
            </w:pPr>
            <w:r>
              <w:rPr>
                <w:rFonts w:ascii="Arial" w:cs="Arial" w:eastAsia="Arial" w:hAnsi="Arial"/>
                <w:sz w:val="19"/>
                <w:szCs w:val="19"/>
                <w:color w:val="auto"/>
                <w:w w:val="94"/>
              </w:rPr>
              <w:t>14,000,000</w:t>
            </w:r>
          </w:p>
        </w:tc>
        <w:tc>
          <w:tcPr>
            <w:tcW w:w="120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Granted</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9"/>
                <w:szCs w:val="19"/>
                <w:color w:val="auto"/>
                <w:w w:val="98"/>
              </w:rPr>
              <w:t>(9,765,200)</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9,765,200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0.87</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360"/>
              <w:spacing w:after="0"/>
              <w:rPr>
                <w:sz w:val="20"/>
                <w:szCs w:val="20"/>
                <w:color w:val="auto"/>
              </w:rPr>
            </w:pPr>
            <w:r>
              <w:rPr>
                <w:rFonts w:ascii="Arial" w:cs="Arial" w:eastAsia="Arial" w:hAnsi="Arial"/>
                <w:sz w:val="19"/>
                <w:szCs w:val="19"/>
                <w:color w:val="auto"/>
              </w:rPr>
              <w:t>Exercised</w:t>
            </w:r>
          </w:p>
        </w:tc>
        <w:tc>
          <w:tcPr>
            <w:tcW w:w="1440" w:type="dxa"/>
            <w:vAlign w:val="bottom"/>
            <w:gridSpan w:val="2"/>
          </w:tcPr>
          <w:p>
            <w:pPr>
              <w:jc w:val="right"/>
              <w:ind w:right="520"/>
              <w:spacing w:after="0"/>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9"/>
                <w:szCs w:val="19"/>
                <w:color w:val="auto"/>
                <w:w w:val="98"/>
              </w:rPr>
              <w:t>(2,958,742)</w:t>
            </w:r>
          </w:p>
        </w:tc>
        <w:tc>
          <w:tcPr>
            <w:tcW w:w="360" w:type="dxa"/>
            <w:vAlign w:val="bottom"/>
          </w:tcPr>
          <w:p>
            <w:pPr>
              <w:spacing w:after="0"/>
              <w:rPr>
                <w:sz w:val="19"/>
                <w:szCs w:val="19"/>
                <w:color w:val="auto"/>
              </w:rPr>
            </w:pP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0.25</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2,497</w:t>
            </w:r>
          </w:p>
        </w:tc>
      </w:tr>
      <w:tr>
        <w:trPr>
          <w:trHeight w:val="228"/>
        </w:trPr>
        <w:tc>
          <w:tcPr>
            <w:tcW w:w="20" w:type="dxa"/>
            <w:vAlign w:val="bottom"/>
          </w:tcPr>
          <w:p>
            <w:pPr>
              <w:spacing w:after="0"/>
              <w:rPr>
                <w:sz w:val="19"/>
                <w:szCs w:val="19"/>
                <w:color w:val="auto"/>
              </w:rPr>
            </w:pPr>
          </w:p>
        </w:tc>
        <w:tc>
          <w:tcPr>
            <w:tcW w:w="560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Forfeited</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646,969</w:t>
            </w: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9"/>
                <w:szCs w:val="19"/>
                <w:color w:val="auto"/>
              </w:rPr>
              <w:t>(646,969)</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0.39</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6"/>
        </w:trPr>
        <w:tc>
          <w:tcPr>
            <w:tcW w:w="5620" w:type="dxa"/>
            <w:vAlign w:val="bottom"/>
            <w:gridSpan w:val="2"/>
          </w:tcPr>
          <w:p>
            <w:pPr>
              <w:spacing w:after="0"/>
              <w:rPr>
                <w:sz w:val="20"/>
                <w:szCs w:val="20"/>
                <w:color w:val="auto"/>
              </w:rPr>
            </w:pPr>
            <w:r>
              <w:rPr>
                <w:rFonts w:ascii="Arial" w:cs="Arial" w:eastAsia="Arial" w:hAnsi="Arial"/>
                <w:sz w:val="19"/>
                <w:szCs w:val="19"/>
                <w:color w:val="auto"/>
              </w:rPr>
              <w:t>Balance as of January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10,459,873</w:t>
            </w:r>
          </w:p>
        </w:tc>
        <w:tc>
          <w:tcPr>
            <w:tcW w:w="5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94"/>
              </w:rPr>
              <w:t>34,170,489</w:t>
            </w:r>
          </w:p>
        </w:tc>
        <w:tc>
          <w:tcPr>
            <w:tcW w:w="280" w:type="dxa"/>
            <w:vAlign w:val="bottom"/>
          </w:tcPr>
          <w:p>
            <w:pPr>
              <w:spacing w:after="0"/>
              <w:rPr>
                <w:sz w:val="20"/>
                <w:szCs w:val="20"/>
                <w:color w:val="auto"/>
              </w:rPr>
            </w:pPr>
          </w:p>
        </w:tc>
        <w:tc>
          <w:tcPr>
            <w:tcW w:w="360" w:type="dxa"/>
            <w:vAlign w:val="bottom"/>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ind w:right="148"/>
              <w:spacing w:after="0"/>
              <w:rPr>
                <w:sz w:val="20"/>
                <w:szCs w:val="20"/>
                <w:color w:val="auto"/>
              </w:rPr>
            </w:pPr>
            <w:r>
              <w:rPr>
                <w:rFonts w:ascii="Arial" w:cs="Arial" w:eastAsia="Arial" w:hAnsi="Arial"/>
                <w:sz w:val="19"/>
                <w:szCs w:val="19"/>
                <w:color w:val="auto"/>
              </w:rPr>
              <w:t>0.31</w:t>
            </w:r>
          </w:p>
        </w:tc>
        <w:tc>
          <w:tcPr>
            <w:tcW w:w="1280" w:type="dxa"/>
            <w:vAlign w:val="bottom"/>
          </w:tcPr>
          <w:p>
            <w:pPr>
              <w:jc w:val="right"/>
              <w:ind w:right="156"/>
              <w:spacing w:after="0"/>
              <w:rPr>
                <w:sz w:val="20"/>
                <w:szCs w:val="20"/>
                <w:color w:val="auto"/>
              </w:rPr>
            </w:pPr>
            <w:r>
              <w:rPr>
                <w:rFonts w:ascii="Arial" w:cs="Arial" w:eastAsia="Arial" w:hAnsi="Arial"/>
                <w:sz w:val="19"/>
                <w:szCs w:val="19"/>
                <w:color w:val="auto"/>
              </w:rPr>
              <w:t>6.9</w:t>
            </w:r>
          </w:p>
        </w:tc>
        <w:tc>
          <w:tcPr>
            <w:tcW w:w="360" w:type="dxa"/>
            <w:vAlign w:val="bottom"/>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53,947</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9"/>
                <w:szCs w:val="19"/>
                <w:color w:val="auto"/>
              </w:rPr>
              <w:t>Vested and exercisable as of January 31, 2018</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9"/>
                <w:szCs w:val="19"/>
                <w:color w:val="auto"/>
                <w:w w:val="94"/>
              </w:rPr>
              <w:t>19,287,895</w:t>
            </w:r>
          </w:p>
        </w:tc>
        <w:tc>
          <w:tcPr>
            <w:tcW w:w="360" w:type="dxa"/>
            <w:vAlign w:val="bottom"/>
            <w:shd w:val="clear" w:color="auto" w:fill="CCEEFF"/>
          </w:tcPr>
          <w:p>
            <w:pPr>
              <w:ind w:left="240"/>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9"/>
                <w:szCs w:val="19"/>
                <w:color w:val="auto"/>
              </w:rPr>
              <w:t>0.09</w:t>
            </w:r>
          </w:p>
        </w:tc>
        <w:tc>
          <w:tcPr>
            <w:tcW w:w="1280" w:type="dxa"/>
            <w:vAlign w:val="bottom"/>
            <w:shd w:val="clear" w:color="auto" w:fill="CCEEFF"/>
          </w:tcPr>
          <w:p>
            <w:pPr>
              <w:jc w:val="right"/>
              <w:ind w:right="156"/>
              <w:spacing w:after="0"/>
              <w:rPr>
                <w:sz w:val="20"/>
                <w:szCs w:val="20"/>
                <w:color w:val="auto"/>
              </w:rPr>
            </w:pPr>
            <w:r>
              <w:rPr>
                <w:rFonts w:ascii="Arial" w:cs="Arial" w:eastAsia="Arial" w:hAnsi="Arial"/>
                <w:sz w:val="19"/>
                <w:szCs w:val="19"/>
                <w:color w:val="auto"/>
              </w:rPr>
              <w:t>5.5</w:t>
            </w:r>
          </w:p>
        </w:tc>
        <w:tc>
          <w:tcPr>
            <w:tcW w:w="360" w:type="dxa"/>
            <w:vAlign w:val="bottom"/>
            <w:shd w:val="clear" w:color="auto" w:fill="CCEEFF"/>
          </w:tcPr>
          <w:p>
            <w:pPr>
              <w:ind w:left="22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34,810</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left="180" w:right="480" w:firstLine="465"/>
        <w:spacing w:after="0" w:line="263" w:lineRule="auto"/>
        <w:rPr>
          <w:sz w:val="20"/>
          <w:szCs w:val="20"/>
          <w:color w:val="auto"/>
        </w:rPr>
      </w:pPr>
      <w:r>
        <w:rPr>
          <w:rFonts w:ascii="Arial" w:cs="Arial" w:eastAsia="Arial" w:hAnsi="Arial"/>
          <w:sz w:val="19"/>
          <w:szCs w:val="19"/>
          <w:color w:val="auto"/>
        </w:rPr>
        <w:t>The weighted-average grant date fair value of options granted during the fiscal years ended January 31, 2017 and 2018 was $0.23 and $0.67, respectively. As of January 31, 2018, unrecognized stock-based compensation cost related to outstanding unvested stock options was $7.4 million, which is expected to be recognized over a weighted-average period of 1.6 years.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Black-Scholes assumptions used to value the employee options at the grant dates are as follows:</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3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w w:val="92"/>
              </w:rPr>
              <w:t>Year Ended January 31,</w:t>
            </w:r>
          </w:p>
        </w:tc>
        <w:tc>
          <w:tcPr>
            <w:tcW w:w="840" w:type="dxa"/>
            <w:vAlign w:val="bottom"/>
            <w:tcBorders>
              <w:bottom w:val="single" w:sz="8" w:color="auto"/>
            </w:tcBorders>
          </w:tcPr>
          <w:p>
            <w:pPr>
              <w:spacing w:after="0"/>
              <w:rPr>
                <w:sz w:val="15"/>
                <w:szCs w:val="15"/>
                <w:color w:val="auto"/>
              </w:rPr>
            </w:pPr>
          </w:p>
        </w:tc>
      </w:tr>
      <w:tr>
        <w:trPr>
          <w:trHeight w:val="151"/>
        </w:trPr>
        <w:tc>
          <w:tcPr>
            <w:tcW w:w="83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2"/>
          </w:tcPr>
          <w:p>
            <w:pPr>
              <w:jc w:val="right"/>
              <w:ind w:right="510"/>
              <w:spacing w:after="0" w:line="151" w:lineRule="exact"/>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25"/>
              <w:spacing w:after="0" w:line="151" w:lineRule="exact"/>
              <w:rPr>
                <w:sz w:val="20"/>
                <w:szCs w:val="20"/>
                <w:color w:val="auto"/>
              </w:rPr>
            </w:pPr>
            <w:r>
              <w:rPr>
                <w:rFonts w:ascii="Arial" w:cs="Arial" w:eastAsia="Arial" w:hAnsi="Arial"/>
                <w:sz w:val="15"/>
                <w:szCs w:val="15"/>
                <w:b w:val="1"/>
                <w:bCs w:val="1"/>
                <w:color w:val="auto"/>
              </w:rPr>
              <w:t>2018</w:t>
            </w:r>
          </w:p>
        </w:tc>
      </w:tr>
      <w:tr>
        <w:trPr>
          <w:trHeight w:val="222"/>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Expected term (years)</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5.4</w:t>
            </w:r>
          </w:p>
        </w:tc>
        <w:tc>
          <w:tcPr>
            <w:tcW w:w="820" w:type="dxa"/>
            <w:vAlign w:val="bottom"/>
            <w:shd w:val="clear" w:color="auto" w:fill="CCEEFF"/>
          </w:tcPr>
          <w:p>
            <w:pPr>
              <w:ind w:left="20"/>
              <w:spacing w:after="0"/>
              <w:rPr>
                <w:sz w:val="20"/>
                <w:szCs w:val="20"/>
                <w:color w:val="auto"/>
              </w:rPr>
            </w:pPr>
            <w:r>
              <w:rPr>
                <w:rFonts w:ascii="Arial" w:cs="Arial" w:eastAsia="Arial" w:hAnsi="Arial"/>
                <w:sz w:val="19"/>
                <w:szCs w:val="19"/>
                <w:color w:val="auto"/>
              </w:rPr>
              <w:t>– 6.1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5.6</w:t>
            </w:r>
          </w:p>
        </w:tc>
        <w:tc>
          <w:tcPr>
            <w:tcW w:w="840" w:type="dxa"/>
            <w:vAlign w:val="bottom"/>
            <w:shd w:val="clear" w:color="auto" w:fill="CCEEFF"/>
          </w:tcPr>
          <w:p>
            <w:pPr>
              <w:ind w:left="20"/>
              <w:spacing w:after="0"/>
              <w:rPr>
                <w:sz w:val="20"/>
                <w:szCs w:val="20"/>
                <w:color w:val="auto"/>
              </w:rPr>
            </w:pPr>
            <w:r>
              <w:rPr>
                <w:rFonts w:ascii="Arial" w:cs="Arial" w:eastAsia="Arial" w:hAnsi="Arial"/>
                <w:sz w:val="19"/>
                <w:szCs w:val="19"/>
                <w:color w:val="auto"/>
              </w:rPr>
              <w:t>– 6.7</w:t>
            </w:r>
          </w:p>
        </w:tc>
      </w:tr>
      <w:tr>
        <w:trPr>
          <w:trHeight w:val="228"/>
        </w:trPr>
        <w:tc>
          <w:tcPr>
            <w:tcW w:w="8380" w:type="dxa"/>
            <w:vAlign w:val="bottom"/>
          </w:tcPr>
          <w:p>
            <w:pPr>
              <w:spacing w:after="0"/>
              <w:rPr>
                <w:sz w:val="20"/>
                <w:szCs w:val="20"/>
                <w:color w:val="auto"/>
              </w:rPr>
            </w:pPr>
            <w:r>
              <w:rPr>
                <w:rFonts w:ascii="Arial" w:cs="Arial" w:eastAsia="Arial" w:hAnsi="Arial"/>
                <w:sz w:val="19"/>
                <w:szCs w:val="19"/>
                <w:color w:val="auto"/>
              </w:rPr>
              <w:t>Expected volatility</w:t>
            </w:r>
          </w:p>
        </w:tc>
        <w:tc>
          <w:tcPr>
            <w:tcW w:w="680" w:type="dxa"/>
            <w:vAlign w:val="bottom"/>
          </w:tcPr>
          <w:p>
            <w:pPr>
              <w:jc w:val="right"/>
              <w:spacing w:after="0"/>
              <w:rPr>
                <w:sz w:val="20"/>
                <w:szCs w:val="20"/>
                <w:color w:val="auto"/>
              </w:rPr>
            </w:pPr>
            <w:r>
              <w:rPr>
                <w:rFonts w:ascii="Arial" w:cs="Arial" w:eastAsia="Arial" w:hAnsi="Arial"/>
                <w:sz w:val="19"/>
                <w:szCs w:val="19"/>
                <w:color w:val="auto"/>
              </w:rPr>
              <w:t>48.2%</w:t>
            </w:r>
          </w:p>
        </w:tc>
        <w:tc>
          <w:tcPr>
            <w:tcW w:w="1060" w:type="dxa"/>
            <w:vAlign w:val="bottom"/>
            <w:gridSpan w:val="2"/>
          </w:tcPr>
          <w:p>
            <w:pPr>
              <w:ind w:left="20"/>
              <w:spacing w:after="0"/>
              <w:rPr>
                <w:sz w:val="20"/>
                <w:szCs w:val="20"/>
                <w:color w:val="auto"/>
              </w:rPr>
            </w:pPr>
            <w:r>
              <w:rPr>
                <w:rFonts w:ascii="Arial" w:cs="Arial" w:eastAsia="Arial" w:hAnsi="Arial"/>
                <w:sz w:val="19"/>
                <w:szCs w:val="19"/>
                <w:color w:val="auto"/>
              </w:rPr>
              <w:t>– 56.3%</w:t>
            </w:r>
          </w:p>
        </w:tc>
        <w:tc>
          <w:tcPr>
            <w:tcW w:w="680" w:type="dxa"/>
            <w:vAlign w:val="bottom"/>
          </w:tcPr>
          <w:p>
            <w:pPr>
              <w:jc w:val="right"/>
              <w:spacing w:after="0"/>
              <w:rPr>
                <w:sz w:val="20"/>
                <w:szCs w:val="20"/>
                <w:color w:val="auto"/>
              </w:rPr>
            </w:pPr>
            <w:r>
              <w:rPr>
                <w:rFonts w:ascii="Arial" w:cs="Arial" w:eastAsia="Arial" w:hAnsi="Arial"/>
                <w:sz w:val="19"/>
                <w:szCs w:val="19"/>
                <w:color w:val="auto"/>
              </w:rPr>
              <w:t>47.7%</w:t>
            </w:r>
          </w:p>
        </w:tc>
        <w:tc>
          <w:tcPr>
            <w:tcW w:w="840" w:type="dxa"/>
            <w:vAlign w:val="bottom"/>
          </w:tcPr>
          <w:p>
            <w:pPr>
              <w:ind w:left="20"/>
              <w:spacing w:after="0"/>
              <w:rPr>
                <w:sz w:val="20"/>
                <w:szCs w:val="20"/>
                <w:color w:val="auto"/>
              </w:rPr>
            </w:pPr>
            <w:r>
              <w:rPr>
                <w:rFonts w:ascii="Arial" w:cs="Arial" w:eastAsia="Arial" w:hAnsi="Arial"/>
                <w:sz w:val="19"/>
                <w:szCs w:val="19"/>
                <w:color w:val="auto"/>
              </w:rPr>
              <w:t>– 52.0%</w:t>
            </w:r>
          </w:p>
        </w:tc>
      </w:tr>
      <w:tr>
        <w:trPr>
          <w:trHeight w:val="228"/>
        </w:trPr>
        <w:tc>
          <w:tcPr>
            <w:tcW w:w="8380" w:type="dxa"/>
            <w:vAlign w:val="bottom"/>
            <w:shd w:val="clear" w:color="auto" w:fill="CCEEFF"/>
          </w:tcPr>
          <w:p>
            <w:pPr>
              <w:spacing w:after="0"/>
              <w:rPr>
                <w:sz w:val="20"/>
                <w:szCs w:val="20"/>
                <w:color w:val="auto"/>
              </w:rPr>
            </w:pPr>
            <w:r>
              <w:rPr>
                <w:rFonts w:ascii="Arial" w:cs="Arial" w:eastAsia="Arial" w:hAnsi="Arial"/>
                <w:sz w:val="19"/>
                <w:szCs w:val="19"/>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 1.5%</w:t>
            </w:r>
          </w:p>
        </w:tc>
        <w:tc>
          <w:tcPr>
            <w:tcW w:w="6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w:t>
            </w:r>
          </w:p>
        </w:tc>
        <w:tc>
          <w:tcPr>
            <w:tcW w:w="840" w:type="dxa"/>
            <w:vAlign w:val="bottom"/>
            <w:shd w:val="clear" w:color="auto" w:fill="CCEEFF"/>
          </w:tcPr>
          <w:p>
            <w:pPr>
              <w:ind w:left="20"/>
              <w:spacing w:after="0"/>
              <w:rPr>
                <w:sz w:val="20"/>
                <w:szCs w:val="20"/>
                <w:color w:val="auto"/>
              </w:rPr>
            </w:pPr>
            <w:r>
              <w:rPr>
                <w:rFonts w:ascii="Arial" w:cs="Arial" w:eastAsia="Arial" w:hAnsi="Arial"/>
                <w:sz w:val="19"/>
                <w:szCs w:val="19"/>
                <w:color w:val="auto"/>
              </w:rPr>
              <w:t>– 2.3%</w:t>
            </w:r>
          </w:p>
        </w:tc>
      </w:tr>
      <w:tr>
        <w:trPr>
          <w:trHeight w:val="241"/>
        </w:trPr>
        <w:tc>
          <w:tcPr>
            <w:tcW w:w="8380" w:type="dxa"/>
            <w:vAlign w:val="bottom"/>
          </w:tcPr>
          <w:p>
            <w:pPr>
              <w:spacing w:after="0"/>
              <w:rPr>
                <w:sz w:val="20"/>
                <w:szCs w:val="20"/>
                <w:color w:val="auto"/>
              </w:rPr>
            </w:pPr>
            <w:r>
              <w:rPr>
                <w:rFonts w:ascii="Arial" w:cs="Arial" w:eastAsia="Arial" w:hAnsi="Arial"/>
                <w:sz w:val="19"/>
                <w:szCs w:val="19"/>
                <w:color w:val="auto"/>
              </w:rPr>
              <w:t>Expected dividend yield</w:t>
            </w:r>
          </w:p>
        </w:tc>
        <w:tc>
          <w:tcPr>
            <w:tcW w:w="1500" w:type="dxa"/>
            <w:vAlign w:val="bottom"/>
            <w:gridSpan w:val="2"/>
          </w:tcPr>
          <w:p>
            <w:pPr>
              <w:jc w:val="right"/>
              <w:ind w:right="470"/>
              <w:spacing w:after="0"/>
              <w:rPr>
                <w:sz w:val="20"/>
                <w:szCs w:val="20"/>
                <w:color w:val="auto"/>
              </w:rPr>
            </w:pPr>
            <w:r>
              <w:rPr>
                <w:rFonts w:ascii="Arial" w:cs="Arial" w:eastAsia="Arial" w:hAnsi="Arial"/>
                <w:sz w:val="19"/>
                <w:szCs w:val="19"/>
                <w:color w:val="auto"/>
              </w:rPr>
              <w:t>0.0%</w:t>
            </w:r>
          </w:p>
        </w:tc>
        <w:tc>
          <w:tcPr>
            <w:tcW w:w="240" w:type="dxa"/>
            <w:vAlign w:val="bottom"/>
          </w:tcPr>
          <w:p>
            <w:pPr>
              <w:spacing w:after="0"/>
              <w:rPr>
                <w:sz w:val="20"/>
                <w:szCs w:val="20"/>
                <w:color w:val="auto"/>
              </w:rPr>
            </w:pPr>
          </w:p>
        </w:tc>
        <w:tc>
          <w:tcPr>
            <w:tcW w:w="1520" w:type="dxa"/>
            <w:vAlign w:val="bottom"/>
            <w:gridSpan w:val="2"/>
          </w:tcPr>
          <w:p>
            <w:pPr>
              <w:jc w:val="right"/>
              <w:ind w:right="465"/>
              <w:spacing w:after="0"/>
              <w:rPr>
                <w:sz w:val="20"/>
                <w:szCs w:val="20"/>
                <w:color w:val="auto"/>
              </w:rPr>
            </w:pPr>
            <w:r>
              <w:rPr>
                <w:rFonts w:ascii="Arial" w:cs="Arial" w:eastAsia="Arial" w:hAnsi="Arial"/>
                <w:sz w:val="19"/>
                <w:szCs w:val="19"/>
                <w:color w:val="auto"/>
              </w:rPr>
              <w:t>0.0%</w:t>
            </w: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These assumptions and estimates were determined as follows:</w:t>
      </w:r>
    </w:p>
    <w:p>
      <w:pPr>
        <w:spacing w:after="0" w:line="138" w:lineRule="exact"/>
        <w:rPr>
          <w:sz w:val="20"/>
          <w:szCs w:val="20"/>
          <w:color w:val="auto"/>
        </w:rPr>
      </w:pPr>
    </w:p>
    <w:p>
      <w:pPr>
        <w:ind w:left="1100" w:right="100" w:hanging="464"/>
        <w:spacing w:after="0" w:line="259"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 xml:space="preserve">Fair Value of Common Stock. </w:t>
      </w:r>
      <w:r>
        <w:rPr>
          <w:rFonts w:ascii="Arial" w:cs="Arial" w:eastAsia="Arial" w:hAnsi="Arial"/>
          <w:sz w:val="19"/>
          <w:szCs w:val="19"/>
          <w:color w:val="auto"/>
        </w:rPr>
        <w:t>As our common stock is not publicly traded, the fair value was determined by our board of directors, with</w:t>
      </w:r>
      <w:r>
        <w:rPr>
          <w:rFonts w:ascii="Arial" w:cs="Arial" w:eastAsia="Arial" w:hAnsi="Arial"/>
          <w:sz w:val="19"/>
          <w:szCs w:val="19"/>
          <w:i w:val="1"/>
          <w:iCs w:val="1"/>
          <w:color w:val="auto"/>
        </w:rPr>
        <w:t xml:space="preserve"> </w:t>
      </w:r>
      <w:r>
        <w:rPr>
          <w:rFonts w:ascii="Arial" w:cs="Arial" w:eastAsia="Arial" w:hAnsi="Arial"/>
          <w:sz w:val="19"/>
          <w:szCs w:val="19"/>
          <w:color w:val="auto"/>
        </w:rPr>
        <w:t>input from management and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97" w:lineRule="exact"/>
        <w:rPr>
          <w:rFonts w:ascii="Arial" w:cs="Arial" w:eastAsia="Arial" w:hAnsi="Arial"/>
          <w:sz w:val="19"/>
          <w:szCs w:val="19"/>
          <w:color w:val="auto"/>
        </w:rPr>
      </w:pPr>
    </w:p>
    <w:p>
      <w:pPr>
        <w:ind w:left="1100" w:right="180" w:hanging="464"/>
        <w:spacing w:after="0" w:line="275" w:lineRule="auto"/>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 xml:space="preserve">Risk-Free Interest Rate. </w:t>
      </w:r>
      <w:r>
        <w:rPr>
          <w:rFonts w:ascii="Arial" w:cs="Arial" w:eastAsia="Arial" w:hAnsi="Arial"/>
          <w:sz w:val="19"/>
          <w:szCs w:val="19"/>
          <w:color w:val="auto"/>
        </w:rPr>
        <w:t>The risk-free interest rate for the expected term of the options was based on the U.S. Treasury yield curve in effect</w:t>
      </w:r>
      <w:r>
        <w:rPr>
          <w:rFonts w:ascii="Arial" w:cs="Arial" w:eastAsia="Arial" w:hAnsi="Arial"/>
          <w:sz w:val="19"/>
          <w:szCs w:val="19"/>
          <w:i w:val="1"/>
          <w:iCs w:val="1"/>
          <w:color w:val="auto"/>
        </w:rPr>
        <w:t xml:space="preserve"> </w:t>
      </w:r>
      <w:r>
        <w:rPr>
          <w:rFonts w:ascii="Arial" w:cs="Arial" w:eastAsia="Arial" w:hAnsi="Arial"/>
          <w:sz w:val="19"/>
          <w:szCs w:val="19"/>
          <w:color w:val="auto"/>
        </w:rPr>
        <w:t>at the time of the grant.</w:t>
      </w:r>
    </w:p>
    <w:p>
      <w:pPr>
        <w:spacing w:after="0" w:line="84" w:lineRule="exact"/>
        <w:rPr>
          <w:rFonts w:ascii="Arial" w:cs="Arial" w:eastAsia="Arial" w:hAnsi="Arial"/>
          <w:sz w:val="19"/>
          <w:szCs w:val="19"/>
          <w:color w:val="auto"/>
        </w:rPr>
      </w:pPr>
    </w:p>
    <w:p>
      <w:pPr>
        <w:jc w:val="both"/>
        <w:ind w:left="1100" w:right="100" w:hanging="464"/>
        <w:spacing w:after="0" w:line="308" w:lineRule="auto"/>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options represents the period of time that options are expected to be outstanding. Our historical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F-25</w:t>
      </w:r>
    </w:p>
    <w:p>
      <w:pPr>
        <w:sectPr>
          <w:pgSz w:w="12240" w:h="15840" w:orient="portrait"/>
          <w:cols w:equalWidth="0" w:num="1">
            <w:col w:w="11820"/>
          </w:cols>
          <w:pgMar w:left="120" w:top="336" w:right="300" w:bottom="1440" w:gutter="0" w:footer="0" w:header="0"/>
        </w:sectPr>
      </w:pPr>
    </w:p>
    <w:bookmarkStart w:id="164" w:name="page165"/>
    <w:bookmarkEnd w:id="16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100" w:right="620"/>
        <w:spacing w:after="0" w:line="275" w:lineRule="auto"/>
        <w:rPr>
          <w:sz w:val="20"/>
          <w:szCs w:val="20"/>
          <w:color w:val="auto"/>
        </w:rPr>
      </w:pPr>
      <w:r>
        <w:rPr>
          <w:rFonts w:ascii="Arial" w:cs="Arial" w:eastAsia="Arial" w:hAnsi="Arial"/>
          <w:sz w:val="19"/>
          <w:szCs w:val="19"/>
          <w:color w:val="auto"/>
        </w:rPr>
        <w:t>calculates the expected term as the average of the time-to-vesting and the contractual life of the options. For stock options granted to non-employees, the expected term equals the contractual term of the option.</w:t>
      </w:r>
    </w:p>
    <w:p>
      <w:pPr>
        <w:spacing w:after="0" w:line="84" w:lineRule="exact"/>
        <w:rPr>
          <w:sz w:val="20"/>
          <w:szCs w:val="20"/>
          <w:color w:val="auto"/>
        </w:rPr>
      </w:pPr>
    </w:p>
    <w:p>
      <w:pPr>
        <w:jc w:val="both"/>
        <w:ind w:left="1100" w:right="180" w:hanging="464"/>
        <w:spacing w:after="0" w:line="263" w:lineRule="auto"/>
        <w:tabs>
          <w:tab w:leader="none" w:pos="110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 xml:space="preserve">Expected Volatility. </w:t>
      </w:r>
      <w:r>
        <w:rPr>
          <w:rFonts w:ascii="Arial" w:cs="Arial" w:eastAsia="Arial" w:hAnsi="Arial"/>
          <w:sz w:val="19"/>
          <w:szCs w:val="19"/>
          <w:color w:val="auto"/>
        </w:rPr>
        <w:t>As we do not have a trading history for our common stock, the expected volatility was estimated by taking the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94" w:lineRule="exact"/>
        <w:rPr>
          <w:rFonts w:ascii="Arial" w:cs="Arial" w:eastAsia="Arial" w:hAnsi="Arial"/>
          <w:sz w:val="19"/>
          <w:szCs w:val="19"/>
          <w:color w:val="auto"/>
        </w:rPr>
      </w:pPr>
    </w:p>
    <w:p>
      <w:pPr>
        <w:ind w:left="1100" w:right="720" w:hanging="464"/>
        <w:spacing w:after="0" w:line="275" w:lineRule="auto"/>
        <w:tabs>
          <w:tab w:leader="none" w:pos="110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 xml:space="preserve">Expected Dividend Yield. </w:t>
      </w:r>
      <w:r>
        <w:rPr>
          <w:rFonts w:ascii="Arial" w:cs="Arial" w:eastAsia="Arial" w:hAnsi="Arial"/>
          <w:sz w:val="19"/>
          <w:szCs w:val="19"/>
          <w:color w:val="auto"/>
        </w:rPr>
        <w:t>We have never declared or paid any cash dividends and do not presently plan to pay cash dividends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foreseeable future. As a result, an expected dividend yield of zero percent was used.</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Early Exercise of Common Stock</w:t>
      </w:r>
    </w:p>
    <w:p>
      <w:pPr>
        <w:spacing w:after="0" w:line="124" w:lineRule="exact"/>
        <w:rPr>
          <w:sz w:val="20"/>
          <w:szCs w:val="20"/>
          <w:color w:val="auto"/>
        </w:rPr>
      </w:pPr>
    </w:p>
    <w:p>
      <w:pPr>
        <w:ind w:left="180" w:right="40" w:firstLine="465"/>
        <w:spacing w:after="0" w:line="255" w:lineRule="auto"/>
        <w:rPr>
          <w:sz w:val="20"/>
          <w:szCs w:val="20"/>
          <w:color w:val="auto"/>
        </w:rPr>
      </w:pPr>
      <w:r>
        <w:rPr>
          <w:rFonts w:ascii="Arial" w:cs="Arial" w:eastAsia="Arial" w:hAnsi="Arial"/>
          <w:sz w:val="19"/>
          <w:szCs w:val="19"/>
          <w:color w:val="auto"/>
        </w:rPr>
        <w:t>Our board of directors allowed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2017 and 2018, 2,475,000 and 1,941,667 shares of common stock were subject to repurchase at a weighted average price of $0.14 and $0.26 per share, respectively. As of January 31, 2017 and 2018, the cash proceeds received for unvested shares of common stock recorded within accrued expenses and other current liabilities in the consolidated balance sheets were $0.3 million and $0.5 million, respectively.</w:t>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Restricted Stock Award</w:t>
      </w:r>
    </w:p>
    <w:p>
      <w:pPr>
        <w:spacing w:after="0" w:line="124" w:lineRule="exact"/>
        <w:rPr>
          <w:sz w:val="20"/>
          <w:szCs w:val="20"/>
          <w:color w:val="auto"/>
        </w:rPr>
      </w:pPr>
    </w:p>
    <w:p>
      <w:pPr>
        <w:jc w:val="both"/>
        <w:ind w:left="180" w:right="60" w:firstLine="465"/>
        <w:spacing w:after="0" w:line="308" w:lineRule="auto"/>
        <w:rPr>
          <w:sz w:val="20"/>
          <w:szCs w:val="20"/>
          <w:color w:val="auto"/>
        </w:rPr>
      </w:pPr>
      <w:r>
        <w:rPr>
          <w:rFonts w:ascii="Arial" w:cs="Arial" w:eastAsia="Arial" w:hAnsi="Arial"/>
          <w:sz w:val="17"/>
          <w:szCs w:val="17"/>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60" w:lineRule="exact"/>
        <w:rPr>
          <w:sz w:val="20"/>
          <w:szCs w:val="20"/>
          <w:color w:val="auto"/>
        </w:rPr>
      </w:pPr>
    </w:p>
    <w:p>
      <w:pPr>
        <w:jc w:val="both"/>
        <w:ind w:left="180" w:right="40" w:firstLine="465"/>
        <w:spacing w:after="0" w:line="263" w:lineRule="auto"/>
        <w:rPr>
          <w:sz w:val="20"/>
          <w:szCs w:val="20"/>
          <w:color w:val="auto"/>
        </w:rPr>
      </w:pPr>
      <w:r>
        <w:rPr>
          <w:rFonts w:ascii="Arial" w:cs="Arial" w:eastAsia="Arial" w:hAnsi="Arial"/>
          <w:sz w:val="19"/>
          <w:szCs w:val="19"/>
          <w:color w:val="auto"/>
        </w:rPr>
        <w:t>For the fiscal years ended January 31, 2017 and 2018, 180,408 shares of the restricted common stock vested in each period, and the related stock-based compensation expense for such shares of common stock was immaterial. As of January 31, 2018, 360,816 shares of common stock were unvested and subject to repurchase.</w:t>
      </w:r>
    </w:p>
    <w:p>
      <w:pPr>
        <w:spacing w:after="0" w:line="30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Third-Party Stock Transactions</w:t>
      </w:r>
    </w:p>
    <w:p>
      <w:pPr>
        <w:spacing w:after="0" w:line="124"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F-26</w:t>
      </w:r>
    </w:p>
    <w:p>
      <w:pPr>
        <w:sectPr>
          <w:pgSz w:w="12240" w:h="15840" w:orient="portrait"/>
          <w:cols w:equalWidth="0" w:num="1">
            <w:col w:w="11800"/>
          </w:cols>
          <w:pgMar w:left="120" w:top="336" w:right="320" w:bottom="1440" w:gutter="0" w:footer="0" w:header="0"/>
        </w:sectPr>
      </w:pPr>
    </w:p>
    <w:bookmarkStart w:id="165" w:name="page166"/>
    <w:bookmarkEnd w:id="16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stock-based compensation expense by line item in the accompanying consolidated statements of operations is summarized as follows:</w:t>
      </w:r>
    </w:p>
    <w:p>
      <w:pPr>
        <w:spacing w:after="0" w:line="269" w:lineRule="exact"/>
        <w:rPr>
          <w:sz w:val="20"/>
          <w:szCs w:val="20"/>
          <w:color w:val="auto"/>
        </w:rPr>
      </w:pPr>
    </w:p>
    <w:p>
      <w:pPr>
        <w:ind w:left="10600"/>
        <w:spacing w:after="0"/>
        <w:rPr>
          <w:sz w:val="20"/>
          <w:szCs w:val="20"/>
          <w:color w:val="auto"/>
        </w:rPr>
      </w:pPr>
      <w:r>
        <w:rPr>
          <w:rFonts w:ascii="Arial" w:cs="Arial" w:eastAsia="Arial" w:hAnsi="Arial"/>
          <w:sz w:val="15"/>
          <w:szCs w:val="15"/>
          <w:b w:val="1"/>
          <w:bCs w:val="1"/>
          <w:color w:val="auto"/>
        </w:rPr>
        <w:t>Year Ended</w:t>
      </w:r>
    </w:p>
    <w:p>
      <w:pPr>
        <w:ind w:left="106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0"/>
              <w:spacing w:after="0" w:line="151" w:lineRule="exact"/>
              <w:rPr>
                <w:sz w:val="20"/>
                <w:szCs w:val="20"/>
                <w:color w:val="auto"/>
              </w:rPr>
            </w:pPr>
            <w:r>
              <w:rPr>
                <w:rFonts w:ascii="Arial" w:cs="Arial" w:eastAsia="Arial" w:hAnsi="Arial"/>
                <w:sz w:val="15"/>
                <w:szCs w:val="15"/>
                <w:b w:val="1"/>
                <w:bCs w:val="1"/>
                <w:color w:val="auto"/>
                <w:w w:val="89"/>
              </w:rPr>
              <w:t>2017</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6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4"/>
          </w:tcPr>
          <w:p>
            <w:pPr>
              <w:jc w:val="right"/>
              <w:ind w:right="228"/>
              <w:spacing w:after="0" w:line="151" w:lineRule="exact"/>
              <w:rPr>
                <w:sz w:val="20"/>
                <w:szCs w:val="20"/>
                <w:color w:val="auto"/>
              </w:rPr>
            </w:pPr>
            <w:r>
              <w:rPr>
                <w:rFonts w:ascii="Arial" w:cs="Arial" w:eastAsia="Arial" w:hAnsi="Arial"/>
                <w:sz w:val="15"/>
                <w:szCs w:val="15"/>
                <w:b w:val="1"/>
                <w:bCs w:val="1"/>
                <w:color w:val="auto"/>
              </w:rPr>
              <w:t>(in thousands)</w:t>
            </w:r>
          </w:p>
        </w:tc>
        <w:tc>
          <w:tcPr>
            <w:tcW w:w="60" w:type="dxa"/>
            <w:vAlign w:val="bottom"/>
          </w:tcPr>
          <w:p>
            <w:pPr>
              <w:spacing w:after="0"/>
              <w:rPr>
                <w:sz w:val="13"/>
                <w:szCs w:val="13"/>
                <w:color w:val="auto"/>
              </w:rPr>
            </w:pPr>
          </w:p>
        </w:tc>
      </w:tr>
      <w:tr>
        <w:trPr>
          <w:trHeight w:val="228"/>
        </w:trPr>
        <w:tc>
          <w:tcPr>
            <w:tcW w:w="6760" w:type="dxa"/>
            <w:vAlign w:val="bottom"/>
            <w:shd w:val="clear" w:color="auto" w:fill="CCEEFF"/>
          </w:tcPr>
          <w:p>
            <w:pPr>
              <w:spacing w:after="0"/>
              <w:rPr>
                <w:sz w:val="20"/>
                <w:szCs w:val="20"/>
                <w:color w:val="auto"/>
              </w:rPr>
            </w:pPr>
            <w:r>
              <w:rPr>
                <w:rFonts w:ascii="Arial" w:cs="Arial" w:eastAsia="Arial" w:hAnsi="Arial"/>
                <w:sz w:val="19"/>
                <w:szCs w:val="19"/>
                <w:color w:val="auto"/>
              </w:rPr>
              <w:t>Cost of 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204</w:t>
            </w:r>
          </w:p>
        </w:tc>
      </w:tr>
      <w:tr>
        <w:trPr>
          <w:trHeight w:val="228"/>
        </w:trPr>
        <w:tc>
          <w:tcPr>
            <w:tcW w:w="676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9"/>
                <w:szCs w:val="19"/>
                <w:color w:val="auto"/>
              </w:rPr>
              <w:t>278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9"/>
                <w:szCs w:val="19"/>
                <w:color w:val="auto"/>
              </w:rPr>
              <w:t>360</w:t>
            </w:r>
          </w:p>
        </w:tc>
      </w:tr>
      <w:tr>
        <w:trPr>
          <w:trHeight w:val="228"/>
        </w:trPr>
        <w:tc>
          <w:tcPr>
            <w:tcW w:w="6760" w:type="dxa"/>
            <w:vAlign w:val="bottom"/>
            <w:shd w:val="clear" w:color="auto" w:fill="CCEEFF"/>
          </w:tcPr>
          <w:p>
            <w:pPr>
              <w:spacing w:after="0"/>
              <w:rPr>
                <w:sz w:val="20"/>
                <w:szCs w:val="20"/>
                <w:color w:val="auto"/>
              </w:rPr>
            </w:pPr>
            <w:r>
              <w:rPr>
                <w:rFonts w:ascii="Arial" w:cs="Arial" w:eastAsia="Arial" w:hAnsi="Arial"/>
                <w:sz w:val="19"/>
                <w:szCs w:val="19"/>
                <w:color w:val="auto"/>
              </w:rPr>
              <w:t>Sales and marketing</w:t>
            </w:r>
          </w:p>
        </w:tc>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rPr>
              <w:t>467</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812</w:t>
            </w:r>
          </w:p>
        </w:tc>
      </w:tr>
      <w:tr>
        <w:trPr>
          <w:trHeight w:val="237"/>
        </w:trPr>
        <w:tc>
          <w:tcPr>
            <w:tcW w:w="676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207</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8,953</w:t>
            </w:r>
          </w:p>
        </w:tc>
        <w:tc>
          <w:tcPr>
            <w:tcW w:w="60" w:type="dxa"/>
            <w:vAlign w:val="bottom"/>
          </w:tcPr>
          <w:p>
            <w:pPr>
              <w:spacing w:after="0"/>
              <w:rPr>
                <w:sz w:val="20"/>
                <w:szCs w:val="20"/>
                <w:color w:val="auto"/>
              </w:rPr>
            </w:pPr>
          </w:p>
        </w:tc>
      </w:tr>
      <w:tr>
        <w:trPr>
          <w:trHeight w:val="228"/>
        </w:trPr>
        <w:tc>
          <w:tcPr>
            <w:tcW w:w="67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 stock-based compensation expense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9"/>
                <w:szCs w:val="19"/>
                <w:u w:val="single" w:color="auto"/>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9"/>
                <w:szCs w:val="19"/>
                <w:color w:val="auto"/>
                <w:w w:val="88"/>
              </w:rPr>
              <w:t>1,039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5"/>
              </w:rPr>
              <w:t>10,329</w:t>
            </w:r>
          </w:p>
        </w:tc>
      </w:tr>
      <w:tr>
        <w:trPr>
          <w:trHeight w:val="20"/>
        </w:trPr>
        <w:tc>
          <w:tcPr>
            <w:tcW w:w="6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7. Income Taxes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components of the net income (loss) before the provision for income taxes were as follows:</w:t>
      </w: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5"/>
          <w:szCs w:val="15"/>
          <w:b w:val="1"/>
          <w:bCs w:val="1"/>
          <w:color w:val="auto"/>
        </w:rPr>
        <w:t>Year Ended</w:t>
      </w:r>
    </w:p>
    <w:p>
      <w:pPr>
        <w:ind w:left="1056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54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140"/>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r>
      <w:tr>
        <w:trPr>
          <w:trHeight w:val="151"/>
        </w:trPr>
        <w:tc>
          <w:tcPr>
            <w:tcW w:w="54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500" w:type="dxa"/>
            <w:vAlign w:val="bottom"/>
            <w:gridSpan w:val="4"/>
          </w:tcPr>
          <w:p>
            <w:pPr>
              <w:jc w:val="right"/>
              <w:ind w:right="280"/>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r>
      <w:tr>
        <w:trPr>
          <w:trHeight w:val="228"/>
        </w:trPr>
        <w:tc>
          <w:tcPr>
            <w:tcW w:w="5400" w:type="dxa"/>
            <w:vAlign w:val="bottom"/>
            <w:shd w:val="clear" w:color="auto" w:fill="CCEEFF"/>
          </w:tcPr>
          <w:p>
            <w:pPr>
              <w:spacing w:after="0"/>
              <w:rPr>
                <w:sz w:val="20"/>
                <w:szCs w:val="20"/>
                <w:color w:val="auto"/>
              </w:rPr>
            </w:pPr>
            <w:r>
              <w:rPr>
                <w:rFonts w:ascii="Arial" w:cs="Arial" w:eastAsia="Arial" w:hAnsi="Arial"/>
                <w:sz w:val="19"/>
                <w:szCs w:val="19"/>
                <w:color w:val="auto"/>
              </w:rPr>
              <w:t>Domestic</w:t>
            </w:r>
          </w:p>
        </w:tc>
        <w:tc>
          <w:tcPr>
            <w:tcW w:w="5320" w:type="dxa"/>
            <w:vAlign w:val="bottom"/>
            <w:gridSpan w:val="3"/>
            <w:shd w:val="clear" w:color="auto" w:fill="CCEEFF"/>
          </w:tcPr>
          <w:p>
            <w:pPr>
              <w:jc w:val="right"/>
              <w:ind w:right="180"/>
              <w:spacing w:after="0"/>
              <w:rPr>
                <w:sz w:val="20"/>
                <w:szCs w:val="20"/>
                <w:color w:val="auto"/>
              </w:rPr>
            </w:pPr>
            <w:r>
              <w:rPr>
                <w:rFonts w:ascii="Arial" w:cs="Arial" w:eastAsia="Arial" w:hAnsi="Arial"/>
                <w:sz w:val="19"/>
                <w:szCs w:val="19"/>
                <w:color w:val="auto"/>
              </w:rPr>
              <w:t>$(115)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$(3,782)</w:t>
            </w:r>
          </w:p>
        </w:tc>
      </w:tr>
      <w:tr>
        <w:trPr>
          <w:trHeight w:val="228"/>
        </w:trPr>
        <w:tc>
          <w:tcPr>
            <w:tcW w:w="5400" w:type="dxa"/>
            <w:vAlign w:val="bottom"/>
          </w:tcPr>
          <w:p>
            <w:pPr>
              <w:spacing w:after="0"/>
              <w:rPr>
                <w:sz w:val="20"/>
                <w:szCs w:val="20"/>
                <w:color w:val="auto"/>
              </w:rPr>
            </w:pPr>
            <w:r>
              <w:rPr>
                <w:rFonts w:ascii="Arial" w:cs="Arial" w:eastAsia="Arial" w:hAnsi="Arial"/>
                <w:sz w:val="19"/>
                <w:szCs w:val="19"/>
                <w:color w:val="auto"/>
              </w:rPr>
              <w:t>Foreign</w:t>
            </w:r>
          </w:p>
        </w:tc>
        <w:tc>
          <w:tcPr>
            <w:tcW w:w="46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9"/>
                <w:szCs w:val="19"/>
                <w:color w:val="auto"/>
              </w:rPr>
              <w:t>273</w:t>
            </w:r>
          </w:p>
        </w:tc>
        <w:tc>
          <w:tcPr>
            <w:tcW w:w="920" w:type="dxa"/>
            <w:vAlign w:val="bottom"/>
            <w:gridSpan w:val="3"/>
          </w:tcPr>
          <w:p>
            <w:pPr>
              <w:jc w:val="right"/>
              <w:ind w:right="120"/>
              <w:spacing w:after="0"/>
              <w:rPr>
                <w:sz w:val="20"/>
                <w:szCs w:val="20"/>
                <w:color w:val="auto"/>
              </w:rPr>
            </w:pPr>
            <w:r>
              <w:rPr>
                <w:rFonts w:ascii="Arial" w:cs="Arial" w:eastAsia="Arial" w:hAnsi="Arial"/>
                <w:sz w:val="19"/>
                <w:szCs w:val="19"/>
                <w:color w:val="auto"/>
              </w:rPr>
              <w:t>264</w:t>
            </w:r>
          </w:p>
        </w:tc>
      </w:tr>
      <w:tr>
        <w:trPr>
          <w:trHeight w:val="29"/>
        </w:trPr>
        <w:tc>
          <w:tcPr>
            <w:tcW w:w="5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8"/>
        </w:trPr>
        <w:tc>
          <w:tcPr>
            <w:tcW w:w="5400" w:type="dxa"/>
            <w:vAlign w:val="bottom"/>
            <w:shd w:val="clear" w:color="auto" w:fill="CCEEFF"/>
          </w:tcPr>
          <w:p>
            <w:pPr>
              <w:ind w:left="380"/>
              <w:spacing w:after="0"/>
              <w:rPr>
                <w:sz w:val="20"/>
                <w:szCs w:val="20"/>
                <w:color w:val="auto"/>
              </w:rPr>
            </w:pPr>
            <w:r>
              <w:rPr>
                <w:rFonts w:ascii="Arial" w:cs="Arial" w:eastAsia="Arial" w:hAnsi="Arial"/>
                <w:sz w:val="19"/>
                <w:szCs w:val="19"/>
                <w:color w:val="auto"/>
              </w:rPr>
              <w:t>Total</w:t>
            </w:r>
          </w:p>
        </w:tc>
        <w:tc>
          <w:tcPr>
            <w:tcW w:w="4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88"/>
              </w:rPr>
              <w:t>$ 158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(3,518)</w:t>
            </w:r>
          </w:p>
        </w:tc>
      </w:tr>
      <w:tr>
        <w:trPr>
          <w:trHeight w:val="20"/>
        </w:trPr>
        <w:tc>
          <w:tcPr>
            <w:tcW w:w="5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provision for income taxes were as follows:</w:t>
      </w:r>
    </w:p>
    <w:p>
      <w:pPr>
        <w:spacing w:after="0" w:line="258" w:lineRule="exact"/>
        <w:rPr>
          <w:sz w:val="20"/>
          <w:szCs w:val="20"/>
          <w:color w:val="auto"/>
        </w:rPr>
      </w:pPr>
    </w:p>
    <w:p>
      <w:pPr>
        <w:ind w:left="10800"/>
        <w:spacing w:after="0"/>
        <w:rPr>
          <w:sz w:val="20"/>
          <w:szCs w:val="20"/>
          <w:color w:val="auto"/>
        </w:rPr>
      </w:pPr>
      <w:r>
        <w:rPr>
          <w:rFonts w:ascii="Arial" w:cs="Arial" w:eastAsia="Arial" w:hAnsi="Arial"/>
          <w:sz w:val="15"/>
          <w:szCs w:val="15"/>
          <w:b w:val="1"/>
          <w:bCs w:val="1"/>
          <w:color w:val="auto"/>
        </w:rPr>
        <w:t>Year Ended</w:t>
      </w:r>
    </w:p>
    <w:p>
      <w:pPr>
        <w:ind w:left="108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w w:val="95"/>
              </w:rPr>
              <w:t>2017</w:t>
            </w: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160" w:type="dxa"/>
            <w:vAlign w:val="bottom"/>
            <w:gridSpan w:val="4"/>
          </w:tcPr>
          <w:p>
            <w:pPr>
              <w:jc w:val="right"/>
              <w:ind w:right="25"/>
              <w:spacing w:after="0" w:line="151" w:lineRule="exact"/>
              <w:rPr>
                <w:sz w:val="20"/>
                <w:szCs w:val="20"/>
                <w:color w:val="auto"/>
              </w:rPr>
            </w:pPr>
            <w:r>
              <w:rPr>
                <w:rFonts w:ascii="Arial" w:cs="Arial" w:eastAsia="Arial" w:hAnsi="Arial"/>
                <w:sz w:val="15"/>
                <w:szCs w:val="15"/>
                <w:b w:val="1"/>
                <w:bCs w:val="1"/>
                <w:color w:val="auto"/>
                <w:w w:val="98"/>
              </w:rPr>
              <w:t>(in thousands)</w:t>
            </w: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9"/>
                <w:szCs w:val="19"/>
                <w:color w:val="auto"/>
              </w:rPr>
              <w:t>Current:</w:t>
            </w:r>
          </w:p>
        </w:tc>
        <w:tc>
          <w:tcPr>
            <w:tcW w:w="3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Federal</w:t>
            </w:r>
          </w:p>
        </w:tc>
        <w:tc>
          <w:tcPr>
            <w:tcW w:w="4100" w:type="dxa"/>
            <w:vAlign w:val="bottom"/>
            <w:gridSpan w:val="3"/>
          </w:tcPr>
          <w:p>
            <w:pPr>
              <w:jc w:val="right"/>
              <w:ind w:right="200"/>
              <w:spacing w:after="0"/>
              <w:rPr>
                <w:sz w:val="20"/>
                <w:szCs w:val="20"/>
                <w:color w:val="auto"/>
              </w:rPr>
            </w:pPr>
            <w:r>
              <w:rPr>
                <w:rFonts w:ascii="Arial" w:cs="Arial" w:eastAsia="Arial" w:hAnsi="Arial"/>
                <w:sz w:val="19"/>
                <w:szCs w:val="19"/>
                <w:color w:val="auto"/>
              </w:rPr>
              <w:t>$ —</w:t>
            </w:r>
          </w:p>
        </w:tc>
        <w:tc>
          <w:tcPr>
            <w:tcW w:w="640" w:type="dxa"/>
            <w:vAlign w:val="bottom"/>
            <w:gridSpan w:val="3"/>
          </w:tcPr>
          <w:p>
            <w:pPr>
              <w:jc w:val="right"/>
              <w:ind w:right="60"/>
              <w:spacing w:after="0"/>
              <w:rPr>
                <w:sz w:val="20"/>
                <w:szCs w:val="20"/>
                <w:color w:val="auto"/>
              </w:rPr>
            </w:pPr>
            <w:r>
              <w:rPr>
                <w:rFonts w:ascii="Arial" w:cs="Arial" w:eastAsia="Arial" w:hAnsi="Arial"/>
                <w:sz w:val="19"/>
                <w:szCs w:val="19"/>
                <w:color w:val="auto"/>
              </w:rPr>
              <w:t>$ —</w:t>
            </w: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State</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46</w:t>
            </w:r>
          </w:p>
        </w:tc>
        <w:tc>
          <w:tcPr>
            <w:tcW w:w="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Foreign</w:t>
            </w:r>
          </w:p>
        </w:tc>
        <w:tc>
          <w:tcPr>
            <w:tcW w:w="352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258</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740"/>
              <w:spacing w:after="0"/>
              <w:rPr>
                <w:sz w:val="20"/>
                <w:szCs w:val="20"/>
                <w:color w:val="auto"/>
              </w:rPr>
            </w:pPr>
            <w:r>
              <w:rPr>
                <w:rFonts w:ascii="Arial" w:cs="Arial" w:eastAsia="Arial" w:hAnsi="Arial"/>
                <w:sz w:val="19"/>
                <w:szCs w:val="19"/>
                <w:color w:val="auto"/>
              </w:rPr>
              <w:t>Total current income tax expense</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color w:val="auto"/>
              </w:rPr>
              <w:t>172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color w:val="auto"/>
              </w:rPr>
              <w:t>304</w:t>
            </w:r>
          </w:p>
        </w:tc>
      </w:tr>
      <w:tr>
        <w:trPr>
          <w:trHeight w:val="236"/>
        </w:trPr>
        <w:tc>
          <w:tcPr>
            <w:tcW w:w="6900" w:type="dxa"/>
            <w:vAlign w:val="bottom"/>
            <w:gridSpan w:val="2"/>
          </w:tcPr>
          <w:p>
            <w:pPr>
              <w:spacing w:after="0"/>
              <w:rPr>
                <w:sz w:val="20"/>
                <w:szCs w:val="20"/>
                <w:color w:val="auto"/>
              </w:rPr>
            </w:pPr>
            <w:r>
              <w:rPr>
                <w:rFonts w:ascii="Arial" w:cs="Arial" w:eastAsia="Arial" w:hAnsi="Arial"/>
                <w:sz w:val="19"/>
                <w:szCs w:val="19"/>
                <w:color w:val="auto"/>
              </w:rPr>
              <w:t>Deferred:</w:t>
            </w:r>
          </w:p>
        </w:tc>
        <w:tc>
          <w:tcPr>
            <w:tcW w:w="35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Federal</w:t>
            </w:r>
          </w:p>
        </w:tc>
        <w:tc>
          <w:tcPr>
            <w:tcW w:w="3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9"/>
                <w:szCs w:val="19"/>
                <w:color w:val="auto"/>
              </w:rPr>
              <w:t>State</w:t>
            </w:r>
          </w:p>
        </w:tc>
        <w:tc>
          <w:tcPr>
            <w:tcW w:w="35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9"/>
                <w:szCs w:val="19"/>
                <w:color w:val="auto"/>
              </w:rPr>
              <w:t>Foreign</w:t>
            </w:r>
          </w:p>
        </w:tc>
        <w:tc>
          <w:tcPr>
            <w:tcW w:w="35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CCEEFF"/>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880" w:type="dxa"/>
            <w:vAlign w:val="bottom"/>
          </w:tcPr>
          <w:p>
            <w:pPr>
              <w:ind w:left="740"/>
              <w:spacing w:after="0"/>
              <w:rPr>
                <w:sz w:val="20"/>
                <w:szCs w:val="20"/>
                <w:color w:val="auto"/>
              </w:rPr>
            </w:pPr>
            <w:r>
              <w:rPr>
                <w:rFonts w:ascii="Arial" w:cs="Arial" w:eastAsia="Arial" w:hAnsi="Arial"/>
                <w:sz w:val="19"/>
                <w:szCs w:val="19"/>
                <w:color w:val="auto"/>
              </w:rPr>
              <w:t>Total deferred income tax expense</w:t>
            </w:r>
          </w:p>
        </w:tc>
        <w:tc>
          <w:tcPr>
            <w:tcW w:w="352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9"/>
                <w:szCs w:val="19"/>
                <w:color w:val="auto"/>
              </w:rPr>
              <w:t>Total provision for income taxes</w:t>
            </w:r>
          </w:p>
        </w:tc>
        <w:tc>
          <w:tcPr>
            <w:tcW w:w="4100" w:type="dxa"/>
            <w:vAlign w:val="bottom"/>
            <w:gridSpan w:val="3"/>
            <w:shd w:val="clear" w:color="auto" w:fill="CCEEFF"/>
          </w:tcPr>
          <w:p>
            <w:pPr>
              <w:jc w:val="right"/>
              <w:ind w:right="20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172</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304</w:t>
            </w: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20" w:firstLine="465"/>
        <w:spacing w:after="0" w:line="263" w:lineRule="auto"/>
        <w:rPr>
          <w:sz w:val="20"/>
          <w:szCs w:val="20"/>
          <w:color w:val="auto"/>
        </w:rPr>
      </w:pPr>
      <w:r>
        <w:rPr>
          <w:rFonts w:ascii="Arial" w:cs="Arial" w:eastAsia="Arial" w:hAnsi="Arial"/>
          <w:sz w:val="19"/>
          <w:szCs w:val="19"/>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F-27</w:t>
      </w:r>
    </w:p>
    <w:p>
      <w:pPr>
        <w:sectPr>
          <w:pgSz w:w="12240" w:h="15840" w:orient="portrait"/>
          <w:cols w:equalWidth="0" w:num="1">
            <w:col w:w="11820"/>
          </w:cols>
          <w:pgMar w:left="120" w:top="336" w:right="300" w:bottom="1440" w:gutter="0" w:footer="0" w:header="0"/>
        </w:sectPr>
      </w:pPr>
    </w:p>
    <w:bookmarkStart w:id="166" w:name="page167"/>
    <w:bookmarkEnd w:id="16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20"/>
        <w:spacing w:after="0" w:line="254" w:lineRule="auto"/>
        <w:rPr>
          <w:sz w:val="20"/>
          <w:szCs w:val="20"/>
          <w:color w:val="auto"/>
        </w:rPr>
      </w:pPr>
      <w:r>
        <w:rPr>
          <w:rFonts w:ascii="Arial" w:cs="Arial" w:eastAsia="Arial" w:hAnsi="Arial"/>
          <w:sz w:val="19"/>
          <w:szCs w:val="19"/>
          <w:color w:val="auto"/>
        </w:rPr>
        <w:t>earnings of foreign subsidiaries that is payable over eight years (Transition Tax) and a reduction in the corporate tax rate to 21%. The Tax Act also establishes new tax laws that will affect later years, a general limitation of U.S. 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performed a re-measurement of deferred tax assets and liabilities as a result of the decrease in the corporate federal income tax rate to 21%, which was offset by the valuation allowance.</w:t>
      </w:r>
    </w:p>
    <w:p>
      <w:pPr>
        <w:spacing w:after="0" w:line="207" w:lineRule="exact"/>
        <w:rPr>
          <w:sz w:val="20"/>
          <w:szCs w:val="20"/>
          <w:color w:val="auto"/>
        </w:rPr>
      </w:pPr>
    </w:p>
    <w:p>
      <w:pPr>
        <w:ind w:left="180" w:right="80" w:firstLine="465"/>
        <w:spacing w:after="0" w:line="271"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Additional work is necessary for a more detailed analysis of our deferred tax assets and liabilities and valuation allowance. Any subsequent adjustment to these amounts will be recorded in the first quarter of 2019 when the analysis is complete.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provision for income taxes differs from the amount computed by applying the statutory federal tax rate as follows:</w:t>
      </w:r>
    </w:p>
    <w:p>
      <w:pPr>
        <w:spacing w:after="0" w:line="258" w:lineRule="exact"/>
        <w:rPr>
          <w:sz w:val="20"/>
          <w:szCs w:val="20"/>
          <w:color w:val="auto"/>
        </w:rPr>
      </w:pPr>
    </w:p>
    <w:p>
      <w:pPr>
        <w:ind w:left="10560"/>
        <w:spacing w:after="0"/>
        <w:rPr>
          <w:sz w:val="20"/>
          <w:szCs w:val="20"/>
          <w:color w:val="auto"/>
        </w:rPr>
      </w:pPr>
      <w:r>
        <w:rPr>
          <w:rFonts w:ascii="Arial" w:cs="Arial" w:eastAsia="Arial" w:hAnsi="Arial"/>
          <w:sz w:val="15"/>
          <w:szCs w:val="15"/>
          <w:b w:val="1"/>
          <w:bCs w:val="1"/>
          <w:color w:val="auto"/>
        </w:rPr>
        <w:t>Year Ended</w:t>
      </w:r>
    </w:p>
    <w:p>
      <w:pPr>
        <w:ind w:left="1056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49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6"/>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4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tcPr>
          <w:p>
            <w:pPr>
              <w:jc w:val="right"/>
              <w:ind w:right="206"/>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Tax at federal statutory rate</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(1,157)</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State taxes</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9"/>
                <w:szCs w:val="19"/>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Foreign rate differential</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(26)</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Stock-based compensation</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9"/>
                <w:szCs w:val="19"/>
                <w:color w:val="auto"/>
                <w:w w:val="90"/>
              </w:rPr>
              <w:t>(243)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3,272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Permanent items</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117</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Differences in U.S. GAAP to local statutory accounting</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358</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Research and development credits, net of FIN48</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(28)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(150)</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Tax uncertainties</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9"/>
                <w:szCs w:val="19"/>
                <w:color w:val="auto"/>
              </w:rPr>
              <w:t>924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516</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Change in valuation allowance</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w w:val="90"/>
              </w:rPr>
              <w:t>(648)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w w:val="89"/>
              </w:rPr>
              <w:t>(1,895)</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9"/>
                <w:szCs w:val="19"/>
                <w:color w:val="auto"/>
              </w:rPr>
              <w:t>Change in federal tax rate</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rPr>
              <w:t>(881)</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spacing w:after="0"/>
              <w:rPr>
                <w:sz w:val="20"/>
                <w:szCs w:val="20"/>
                <w:color w:val="auto"/>
              </w:rPr>
            </w:pPr>
            <w:r>
              <w:rPr>
                <w:rFonts w:ascii="Arial" w:cs="Arial" w:eastAsia="Arial" w:hAnsi="Arial"/>
                <w:sz w:val="19"/>
                <w:szCs w:val="19"/>
                <w:color w:val="auto"/>
              </w:rPr>
              <w:t>Other</w:t>
            </w:r>
          </w:p>
        </w:tc>
        <w:tc>
          <w:tcPr>
            <w:tcW w:w="5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24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9"/>
                <w:szCs w:val="19"/>
                <w:color w:val="auto"/>
              </w:rPr>
              <w:t>Total</w:t>
            </w: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40" w:type="dxa"/>
            <w:vAlign w:val="bottom"/>
            <w:vMerge w:val="continue"/>
          </w:tcPr>
          <w:p>
            <w:pPr>
              <w:spacing w:after="0"/>
              <w:rPr>
                <w:sz w:val="20"/>
                <w:szCs w:val="20"/>
                <w:color w:val="auto"/>
              </w:rPr>
            </w:pPr>
          </w:p>
        </w:tc>
        <w:tc>
          <w:tcPr>
            <w:tcW w:w="5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9"/>
                <w:szCs w:val="19"/>
                <w:color w:val="auto"/>
              </w:rPr>
              <w:t>172</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304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940" w:type="dxa"/>
            <w:vAlign w:val="bottom"/>
          </w:tcPr>
          <w:p>
            <w:pPr>
              <w:spacing w:after="0"/>
              <w:rPr>
                <w:sz w:val="24"/>
                <w:szCs w:val="24"/>
                <w:color w:val="auto"/>
              </w:rPr>
            </w:pPr>
          </w:p>
        </w:tc>
        <w:tc>
          <w:tcPr>
            <w:tcW w:w="5180" w:type="dxa"/>
            <w:vAlign w:val="bottom"/>
            <w:gridSpan w:val="2"/>
          </w:tcPr>
          <w:p>
            <w:pPr>
              <w:jc w:val="right"/>
              <w:ind w:right="4044"/>
              <w:spacing w:after="0"/>
              <w:rPr>
                <w:sz w:val="20"/>
                <w:szCs w:val="20"/>
                <w:color w:val="auto"/>
              </w:rPr>
            </w:pPr>
            <w:r>
              <w:rPr>
                <w:rFonts w:ascii="Arial" w:cs="Arial" w:eastAsia="Arial" w:hAnsi="Arial"/>
                <w:sz w:val="19"/>
                <w:szCs w:val="19"/>
                <w:color w:val="auto"/>
              </w:rPr>
              <w:t>F-28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7" w:name="page168"/>
    <w:bookmarkEnd w:id="16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40" w:firstLine="465"/>
        <w:spacing w:after="0" w:line="304" w:lineRule="auto"/>
        <w:rPr>
          <w:sz w:val="20"/>
          <w:szCs w:val="20"/>
          <w:color w:val="auto"/>
        </w:rPr>
      </w:pPr>
      <w:r>
        <w:rPr>
          <w:rFonts w:ascii="Arial" w:cs="Arial" w:eastAsia="Arial" w:hAnsi="Arial"/>
          <w:sz w:val="18"/>
          <w:szCs w:val="18"/>
          <w:color w:val="auto"/>
        </w:rPr>
        <w:t>Deferred income taxes result from differences in the recognition of expenses for tax and financial reporting purposes, as well as operating loss and tax credit carryforwards. Significant components of our deferred income tax assets as of January 31, 2017 and 2018 are as follows:</w:t>
      </w:r>
    </w:p>
    <w:p>
      <w:pPr>
        <w:spacing w:after="0" w:line="180" w:lineRule="exact"/>
        <w:rPr>
          <w:sz w:val="20"/>
          <w:szCs w:val="20"/>
          <w:color w:val="auto"/>
        </w:rPr>
      </w:pPr>
    </w:p>
    <w:p>
      <w:pPr>
        <w:ind w:left="10500"/>
        <w:spacing w:after="0"/>
        <w:rPr>
          <w:sz w:val="20"/>
          <w:szCs w:val="20"/>
          <w:color w:val="auto"/>
        </w:rPr>
      </w:pPr>
      <w:r>
        <w:rPr>
          <w:rFonts w:ascii="Arial" w:cs="Arial" w:eastAsia="Arial" w:hAnsi="Arial"/>
          <w:sz w:val="15"/>
          <w:szCs w:val="15"/>
          <w:b w:val="1"/>
          <w:bCs w:val="1"/>
          <w:color w:val="auto"/>
        </w:rPr>
        <w:t>Year Ended</w:t>
      </w:r>
    </w:p>
    <w:p>
      <w:pPr>
        <w:ind w:left="10500"/>
        <w:spacing w:after="0" w:line="228" w:lineRule="auto"/>
        <w:rPr>
          <w:sz w:val="20"/>
          <w:szCs w:val="20"/>
          <w:color w:val="auto"/>
        </w:rPr>
      </w:pPr>
      <w:r>
        <w:rPr>
          <w:rFonts w:ascii="Arial" w:cs="Arial" w:eastAsia="Arial" w:hAnsi="Arial"/>
          <w:sz w:val="15"/>
          <w:szCs w:val="15"/>
          <w:b w:val="1"/>
          <w:bCs w:val="1"/>
          <w:color w:val="auto"/>
        </w:rPr>
        <w:t>January 31,</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51"/>
        </w:trPr>
        <w:tc>
          <w:tcPr>
            <w:tcW w:w="98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8"/>
              <w:spacing w:after="0" w:line="151"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7"/>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right"/>
              <w:ind w:right="267"/>
              <w:spacing w:after="0" w:line="151" w:lineRule="exact"/>
              <w:rPr>
                <w:sz w:val="20"/>
                <w:szCs w:val="20"/>
                <w:color w:val="auto"/>
              </w:rPr>
            </w:pPr>
            <w:r>
              <w:rPr>
                <w:rFonts w:ascii="Arial" w:cs="Arial" w:eastAsia="Arial" w:hAnsi="Arial"/>
                <w:sz w:val="15"/>
                <w:szCs w:val="15"/>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spacing w:after="0"/>
              <w:rPr>
                <w:sz w:val="20"/>
                <w:szCs w:val="20"/>
                <w:color w:val="auto"/>
              </w:rPr>
            </w:pPr>
            <w:r>
              <w:rPr>
                <w:rFonts w:ascii="Arial" w:cs="Arial" w:eastAsia="Arial" w:hAnsi="Arial"/>
                <w:sz w:val="19"/>
                <w:szCs w:val="19"/>
                <w:color w:val="auto"/>
              </w:rPr>
              <w:t>Deferred taxes:</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gridSpan w:val="2"/>
          </w:tcPr>
          <w:p>
            <w:pPr>
              <w:jc w:val="right"/>
              <w:ind w:right="260"/>
              <w:spacing w:after="0"/>
              <w:rPr>
                <w:sz w:val="20"/>
                <w:szCs w:val="20"/>
                <w:color w:val="auto"/>
              </w:rPr>
            </w:pPr>
            <w:r>
              <w:rPr>
                <w:rFonts w:ascii="Arial" w:cs="Arial" w:eastAsia="Arial" w:hAnsi="Arial"/>
                <w:sz w:val="19"/>
                <w:szCs w:val="19"/>
                <w:color w:val="auto"/>
              </w:rPr>
              <w:t>6,774</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6,040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Research and development credit carryforward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195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485</w:t>
            </w: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Stock-based compensation</w:t>
            </w: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9"/>
                <w:szCs w:val="19"/>
                <w:color w:val="auto"/>
              </w:rPr>
              <w:t>293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9"/>
                <w:szCs w:val="19"/>
                <w:color w:val="auto"/>
              </w:rPr>
              <w:t>178</w:t>
            </w: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Accruals and reserves</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1,929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Depreciation</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rPr>
              <w:t>(238)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(1,250)</w:t>
            </w:r>
          </w:p>
        </w:tc>
        <w:tc>
          <w:tcPr>
            <w:tcW w:w="0" w:type="dxa"/>
            <w:vAlign w:val="bottom"/>
          </w:tcPr>
          <w:p>
            <w:pPr>
              <w:spacing w:after="0"/>
              <w:rPr>
                <w:sz w:val="1"/>
                <w:szCs w:val="1"/>
                <w:color w:val="auto"/>
              </w:rPr>
            </w:pPr>
          </w:p>
        </w:tc>
      </w:tr>
      <w:tr>
        <w:trPr>
          <w:trHeight w:val="228"/>
        </w:trPr>
        <w:tc>
          <w:tcPr>
            <w:tcW w:w="98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Deferred revenue</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457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955</w:t>
            </w:r>
          </w:p>
        </w:tc>
        <w:tc>
          <w:tcPr>
            <w:tcW w:w="0" w:type="dxa"/>
            <w:vAlign w:val="bottom"/>
          </w:tcPr>
          <w:p>
            <w:pPr>
              <w:spacing w:after="0"/>
              <w:rPr>
                <w:sz w:val="1"/>
                <w:szCs w:val="1"/>
                <w:color w:val="auto"/>
              </w:rPr>
            </w:pPr>
          </w:p>
        </w:tc>
      </w:tr>
      <w:tr>
        <w:trPr>
          <w:trHeight w:val="228"/>
        </w:trPr>
        <w:tc>
          <w:tcPr>
            <w:tcW w:w="9860" w:type="dxa"/>
            <w:vAlign w:val="bottom"/>
          </w:tcPr>
          <w:p>
            <w:pPr>
              <w:ind w:left="380"/>
              <w:spacing w:after="0"/>
              <w:rPr>
                <w:sz w:val="20"/>
                <w:szCs w:val="20"/>
                <w:color w:val="auto"/>
              </w:rPr>
            </w:pPr>
            <w:r>
              <w:rPr>
                <w:rFonts w:ascii="Arial" w:cs="Arial" w:eastAsia="Arial" w:hAnsi="Arial"/>
                <w:sz w:val="19"/>
                <w:szCs w:val="19"/>
                <w:color w:val="auto"/>
              </w:rPr>
              <w:t>Deferred contract acquisition costs</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w w:val="92"/>
              </w:rPr>
              <w:t>(3,190)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(6,290)</w:t>
            </w:r>
          </w:p>
        </w:tc>
        <w:tc>
          <w:tcPr>
            <w:tcW w:w="0" w:type="dxa"/>
            <w:vAlign w:val="bottom"/>
          </w:tcPr>
          <w:p>
            <w:pPr>
              <w:spacing w:after="0"/>
              <w:rPr>
                <w:sz w:val="1"/>
                <w:szCs w:val="1"/>
                <w:color w:val="auto"/>
              </w:rPr>
            </w:pPr>
          </w:p>
        </w:tc>
      </w:tr>
      <w:tr>
        <w:trPr>
          <w:trHeight w:val="29"/>
        </w:trPr>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60" w:type="dxa"/>
            <w:vAlign w:val="bottom"/>
            <w:shd w:val="clear" w:color="auto" w:fill="CCEEFF"/>
          </w:tcPr>
          <w:p>
            <w:pPr>
              <w:ind w:left="760"/>
              <w:spacing w:after="0"/>
              <w:rPr>
                <w:sz w:val="20"/>
                <w:szCs w:val="20"/>
                <w:color w:val="auto"/>
              </w:rPr>
            </w:pPr>
            <w:r>
              <w:rPr>
                <w:rFonts w:ascii="Arial" w:cs="Arial" w:eastAsia="Arial" w:hAnsi="Arial"/>
                <w:sz w:val="19"/>
                <w:szCs w:val="19"/>
                <w:color w:val="auto"/>
              </w:rPr>
              <w:t>Gross deferred taxes</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6,220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9"/>
                <w:szCs w:val="19"/>
                <w:color w:val="auto"/>
              </w:rPr>
              <w:t>Valuation allowance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9"/>
                <w:szCs w:val="19"/>
                <w:color w:val="auto"/>
                <w:w w:val="92"/>
              </w:rPr>
              <w:t>(6,220)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9"/>
                <w:szCs w:val="19"/>
                <w:color w:val="auto"/>
                <w:w w:val="89"/>
              </w:rPr>
              <w:t>(3,154)</w:t>
            </w:r>
          </w:p>
        </w:tc>
        <w:tc>
          <w:tcPr>
            <w:tcW w:w="0" w:type="dxa"/>
            <w:vAlign w:val="bottom"/>
          </w:tcPr>
          <w:p>
            <w:pPr>
              <w:spacing w:after="0"/>
              <w:rPr>
                <w:sz w:val="1"/>
                <w:szCs w:val="1"/>
                <w:color w:val="auto"/>
              </w:rPr>
            </w:pPr>
          </w:p>
        </w:tc>
      </w:tr>
      <w:tr>
        <w:trPr>
          <w:trHeight w:val="229"/>
        </w:trPr>
        <w:tc>
          <w:tcPr>
            <w:tcW w:w="9860" w:type="dxa"/>
            <w:vAlign w:val="bottom"/>
            <w:shd w:val="clear" w:color="auto" w:fill="CCEEFF"/>
          </w:tcPr>
          <w:p>
            <w:pPr>
              <w:spacing w:after="0"/>
              <w:rPr>
                <w:sz w:val="20"/>
                <w:szCs w:val="20"/>
                <w:color w:val="auto"/>
              </w:rPr>
            </w:pPr>
            <w:r>
              <w:rPr>
                <w:rFonts w:ascii="Arial" w:cs="Arial" w:eastAsia="Arial" w:hAnsi="Arial"/>
                <w:sz w:val="19"/>
                <w:szCs w:val="19"/>
                <w:color w:val="auto"/>
              </w:rPr>
              <w:t>Total net deferred taxes</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right="80" w:firstLine="465"/>
        <w:spacing w:after="0" w:line="27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$0.8 million for the fiscal year ended January 31, 2017 and decreased $3.1 million for the fiscal year ended January 31, 2018.</w:t>
      </w:r>
    </w:p>
    <w:p>
      <w:pPr>
        <w:spacing w:after="0" w:line="188" w:lineRule="exact"/>
        <w:rPr>
          <w:sz w:val="20"/>
          <w:szCs w:val="20"/>
          <w:color w:val="auto"/>
        </w:rPr>
      </w:pPr>
    </w:p>
    <w:p>
      <w:pPr>
        <w:ind w:left="180" w:right="60" w:firstLine="465"/>
        <w:spacing w:after="0" w:line="263" w:lineRule="auto"/>
        <w:rPr>
          <w:sz w:val="20"/>
          <w:szCs w:val="20"/>
          <w:color w:val="auto"/>
        </w:rPr>
      </w:pPr>
      <w:r>
        <w:rPr>
          <w:rFonts w:ascii="Arial" w:cs="Arial" w:eastAsia="Arial" w:hAnsi="Arial"/>
          <w:sz w:val="19"/>
          <w:szCs w:val="19"/>
          <w:color w:val="auto"/>
        </w:rPr>
        <w:t>As of January 31, 2018, we had net operating loss carryforwards of approximately $22.2 million for federal income tax purposes which will begin to expire in 2032 if unused. We had net operating loss carryforwards of approximately $18.4 million for state income tax purposes which will begin to expire in the year 2027 if unused.</w:t>
      </w:r>
    </w:p>
    <w:p>
      <w:pPr>
        <w:spacing w:after="0" w:line="194" w:lineRule="exact"/>
        <w:rPr>
          <w:sz w:val="20"/>
          <w:szCs w:val="20"/>
          <w:color w:val="auto"/>
        </w:rPr>
      </w:pPr>
    </w:p>
    <w:p>
      <w:pPr>
        <w:ind w:left="180" w:right="300" w:firstLine="465"/>
        <w:spacing w:after="0" w:line="263" w:lineRule="auto"/>
        <w:rPr>
          <w:sz w:val="20"/>
          <w:szCs w:val="20"/>
          <w:color w:val="auto"/>
        </w:rPr>
      </w:pPr>
      <w:r>
        <w:rPr>
          <w:rFonts w:ascii="Arial" w:cs="Arial" w:eastAsia="Arial" w:hAnsi="Arial"/>
          <w:sz w:val="19"/>
          <w:szCs w:val="19"/>
          <w:color w:val="auto"/>
        </w:rPr>
        <w:t>As of January 31, 2018, we also had research and development credit carryforwards of approximately $0.5 million for federal income tax and $0.6 million for state income tax purposes. The federal research and development tax credit will begin to expire in 2036 if unused. State research and development tax credits carryforward indefinitely.</w:t>
      </w:r>
    </w:p>
    <w:p>
      <w:pPr>
        <w:spacing w:after="0" w:line="194" w:lineRule="exact"/>
        <w:rPr>
          <w:sz w:val="20"/>
          <w:szCs w:val="20"/>
          <w:color w:val="auto"/>
        </w:rPr>
      </w:pPr>
    </w:p>
    <w:p>
      <w:pPr>
        <w:ind w:left="180" w:right="160" w:firstLine="465"/>
        <w:spacing w:after="0" w:line="277" w:lineRule="auto"/>
        <w:rPr>
          <w:sz w:val="20"/>
          <w:szCs w:val="20"/>
          <w:color w:val="auto"/>
        </w:rPr>
      </w:pPr>
      <w:r>
        <w:rPr>
          <w:rFonts w:ascii="Arial" w:cs="Arial" w:eastAsia="Arial" w:hAnsi="Arial"/>
          <w:sz w:val="18"/>
          <w:szCs w:val="18"/>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If these specified events occur or have occurred, we may lose some or all of the tax benefits of these carryforwards.</w:t>
      </w:r>
    </w:p>
    <w:p>
      <w:pPr>
        <w:spacing w:after="0" w:line="185" w:lineRule="exact"/>
        <w:rPr>
          <w:sz w:val="20"/>
          <w:szCs w:val="20"/>
          <w:color w:val="auto"/>
        </w:rPr>
      </w:pPr>
    </w:p>
    <w:p>
      <w:pPr>
        <w:ind w:left="180" w:right="340" w:firstLine="465"/>
        <w:spacing w:after="0" w:line="308" w:lineRule="auto"/>
        <w:rPr>
          <w:sz w:val="20"/>
          <w:szCs w:val="20"/>
          <w:color w:val="auto"/>
        </w:rPr>
      </w:pPr>
      <w:r>
        <w:rPr>
          <w:rFonts w:ascii="Arial" w:cs="Arial" w:eastAsia="Arial" w:hAnsi="Arial"/>
          <w:sz w:val="17"/>
          <w:szCs w:val="17"/>
          <w:color w:val="auto"/>
        </w:rPr>
        <w:t>We comply with ASC 740-10, “Accounting for Uncertainty in Income Taxes” which prescribes a comprehensive model for the recognition, measurement, presentation and disclosure in financial statements of any uncertain tax positions that have been taken or expected to be taken on a tax return. In 2011, we adopted the provisions set forth in FASB Accounting Standard Codification (ASC) Topic 740-10, issued originally as FASB</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F-29</w:t>
      </w:r>
    </w:p>
    <w:p>
      <w:pPr>
        <w:sectPr>
          <w:pgSz w:w="12240" w:h="15840" w:orient="portrait"/>
          <w:cols w:equalWidth="0" w:num="1">
            <w:col w:w="11820"/>
          </w:cols>
          <w:pgMar w:left="120" w:top="336" w:right="300" w:bottom="1440" w:gutter="0" w:footer="0" w:header="0"/>
        </w:sectPr>
      </w:pPr>
    </w:p>
    <w:bookmarkStart w:id="168" w:name="page169"/>
    <w:bookmarkEnd w:id="168"/>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40"/>
        <w:spacing w:after="0" w:line="308" w:lineRule="auto"/>
        <w:rPr>
          <w:sz w:val="20"/>
          <w:szCs w:val="20"/>
          <w:color w:val="auto"/>
        </w:rPr>
      </w:pPr>
      <w:r>
        <w:rPr>
          <w:rFonts w:ascii="Arial" w:cs="Arial" w:eastAsia="Arial" w:hAnsi="Arial"/>
          <w:sz w:val="17"/>
          <w:szCs w:val="17"/>
          <w:color w:val="auto"/>
        </w:rPr>
        <w:t>Interpretation No. 48, Accounting for Uncertainty in Income Taxes. This pronouncement sets a “more likely than not” criterion for recognizing the tax benefit of uncertain tax positions. Total unrecognized income tax benefits are $2.0 million as of January 31, 2018. We do not anticipate any significant changes to unrecognized tax benefits in the next 12 months. We recognize interest and penalties related to uncertain tax positions in income tax expense.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reconciliation of the beginning and ending balance of total unrecognized tax position is as follows: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6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5"/>
                <w:szCs w:val="15"/>
                <w:b w:val="1"/>
                <w:bCs w:val="1"/>
                <w:color w:val="auto"/>
                <w:w w:val="96"/>
              </w:rPr>
              <w:t>Unrecognized</w:t>
            </w:r>
          </w:p>
        </w:tc>
      </w:tr>
      <w:tr>
        <w:trPr>
          <w:trHeight w:val="180"/>
        </w:trPr>
        <w:tc>
          <w:tcPr>
            <w:tcW w:w="20" w:type="dxa"/>
            <w:vAlign w:val="bottom"/>
          </w:tcPr>
          <w:p>
            <w:pPr>
              <w:spacing w:after="0"/>
              <w:rPr>
                <w:sz w:val="15"/>
                <w:szCs w:val="15"/>
                <w:color w:val="auto"/>
              </w:rPr>
            </w:pPr>
          </w:p>
        </w:tc>
        <w:tc>
          <w:tcPr>
            <w:tcW w:w="10640" w:type="dxa"/>
            <w:vAlign w:val="bottom"/>
          </w:tcPr>
          <w:p>
            <w:pPr>
              <w:spacing w:after="0"/>
              <w:rPr>
                <w:sz w:val="15"/>
                <w:szCs w:val="15"/>
                <w:color w:val="auto"/>
              </w:rPr>
            </w:pPr>
          </w:p>
        </w:tc>
        <w:tc>
          <w:tcPr>
            <w:tcW w:w="980" w:type="dxa"/>
            <w:vAlign w:val="bottom"/>
            <w:gridSpan w:val="3"/>
          </w:tcPr>
          <w:p>
            <w:pPr>
              <w:ind w:left="60"/>
              <w:spacing w:after="0"/>
              <w:rPr>
                <w:sz w:val="20"/>
                <w:szCs w:val="20"/>
                <w:color w:val="auto"/>
              </w:rPr>
            </w:pPr>
            <w:r>
              <w:rPr>
                <w:rFonts w:ascii="Arial" w:cs="Arial" w:eastAsia="Arial" w:hAnsi="Arial"/>
                <w:sz w:val="15"/>
                <w:szCs w:val="15"/>
                <w:b w:val="1"/>
                <w:bCs w:val="1"/>
                <w:color w:val="auto"/>
              </w:rPr>
              <w:t>Tax Benefits</w:t>
            </w:r>
          </w:p>
        </w:tc>
      </w:tr>
      <w:tr>
        <w:trPr>
          <w:trHeight w:val="151"/>
        </w:trPr>
        <w:tc>
          <w:tcPr>
            <w:tcW w:w="20" w:type="dxa"/>
            <w:vAlign w:val="bottom"/>
          </w:tcPr>
          <w:p>
            <w:pPr>
              <w:spacing w:after="0"/>
              <w:rPr>
                <w:sz w:val="13"/>
                <w:szCs w:val="13"/>
                <w:color w:val="auto"/>
              </w:rPr>
            </w:pPr>
          </w:p>
        </w:tc>
        <w:tc>
          <w:tcPr>
            <w:tcW w:w="10640" w:type="dxa"/>
            <w:vAlign w:val="bottom"/>
          </w:tcPr>
          <w:p>
            <w:pPr>
              <w:spacing w:after="0"/>
              <w:rPr>
                <w:sz w:val="13"/>
                <w:szCs w:val="13"/>
                <w:color w:val="auto"/>
              </w:rPr>
            </w:pPr>
          </w:p>
        </w:tc>
        <w:tc>
          <w:tcPr>
            <w:tcW w:w="920" w:type="dxa"/>
            <w:vAlign w:val="bottom"/>
            <w:tcBorders>
              <w:top w:val="single" w:sz="8" w:color="auto"/>
            </w:tcBorders>
            <w:gridSpan w:val="2"/>
          </w:tcPr>
          <w:p>
            <w:pPr>
              <w:spacing w:after="0" w:line="151" w:lineRule="exact"/>
              <w:rPr>
                <w:sz w:val="20"/>
                <w:szCs w:val="20"/>
                <w:color w:val="auto"/>
              </w:rPr>
            </w:pPr>
            <w:r>
              <w:rPr>
                <w:rFonts w:ascii="Arial" w:cs="Arial" w:eastAsia="Arial" w:hAnsi="Arial"/>
                <w:sz w:val="15"/>
                <w:szCs w:val="15"/>
                <w:b w:val="1"/>
                <w:bCs w:val="1"/>
                <w:color w:val="auto"/>
                <w:w w:val="87"/>
              </w:rPr>
              <w:t>(in thousands)</w:t>
            </w:r>
          </w:p>
        </w:tc>
        <w:tc>
          <w:tcPr>
            <w:tcW w:w="60" w:type="dxa"/>
            <w:vAlign w:val="bottom"/>
          </w:tcPr>
          <w:p>
            <w:pPr>
              <w:spacing w:after="0"/>
              <w:rPr>
                <w:sz w:val="13"/>
                <w:szCs w:val="13"/>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Balance—January 31, 2016</w:t>
            </w: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789</w:t>
            </w:r>
          </w:p>
        </w:tc>
      </w:tr>
      <w:tr>
        <w:trPr>
          <w:trHeight w:val="237"/>
        </w:trPr>
        <w:tc>
          <w:tcPr>
            <w:tcW w:w="2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9"/>
                <w:szCs w:val="19"/>
                <w:color w:val="auto"/>
              </w:rPr>
              <w:t>Increases related to current years’ tax positions</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Balance—January 31, 2017</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1,205</w:t>
            </w:r>
          </w:p>
        </w:tc>
      </w:tr>
      <w:tr>
        <w:trPr>
          <w:trHeight w:val="237"/>
        </w:trPr>
        <w:tc>
          <w:tcPr>
            <w:tcW w:w="20" w:type="dxa"/>
            <w:vAlign w:val="bottom"/>
          </w:tcPr>
          <w:p>
            <w:pPr>
              <w:spacing w:after="0"/>
              <w:rPr>
                <w:sz w:val="20"/>
                <w:szCs w:val="20"/>
                <w:color w:val="auto"/>
              </w:rPr>
            </w:pPr>
          </w:p>
        </w:tc>
        <w:tc>
          <w:tcPr>
            <w:tcW w:w="10640" w:type="dxa"/>
            <w:vAlign w:val="bottom"/>
          </w:tcPr>
          <w:p>
            <w:pPr>
              <w:ind w:left="360"/>
              <w:spacing w:after="0"/>
              <w:rPr>
                <w:sz w:val="20"/>
                <w:szCs w:val="20"/>
                <w:color w:val="auto"/>
              </w:rPr>
            </w:pPr>
            <w:r>
              <w:rPr>
                <w:rFonts w:ascii="Arial" w:cs="Arial" w:eastAsia="Arial" w:hAnsi="Arial"/>
                <w:sz w:val="19"/>
                <w:szCs w:val="19"/>
                <w:color w:val="auto"/>
              </w:rPr>
              <w:t>Increases related to current years’ tax positions</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771</w:t>
            </w:r>
          </w:p>
        </w:tc>
        <w:tc>
          <w:tcPr>
            <w:tcW w:w="6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640" w:type="dxa"/>
            <w:vAlign w:val="bottom"/>
            <w:shd w:val="clear" w:color="auto" w:fill="CCEEFF"/>
          </w:tcPr>
          <w:p>
            <w:pPr>
              <w:spacing w:after="0"/>
              <w:rPr>
                <w:sz w:val="20"/>
                <w:szCs w:val="20"/>
                <w:color w:val="auto"/>
              </w:rPr>
            </w:pPr>
            <w:r>
              <w:rPr>
                <w:rFonts w:ascii="Arial" w:cs="Arial" w:eastAsia="Arial" w:hAnsi="Arial"/>
                <w:sz w:val="19"/>
                <w:szCs w:val="19"/>
                <w:color w:val="auto"/>
              </w:rPr>
              <w:t>Balance—January 31, 2018</w:t>
            </w: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1,976</w:t>
            </w: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180" w:firstLine="465"/>
        <w:spacing w:after="0" w:line="259" w:lineRule="auto"/>
        <w:rPr>
          <w:sz w:val="20"/>
          <w:szCs w:val="20"/>
          <w:color w:val="auto"/>
        </w:rPr>
      </w:pPr>
      <w:r>
        <w:rPr>
          <w:rFonts w:ascii="Arial" w:cs="Arial" w:eastAsia="Arial" w:hAnsi="Arial"/>
          <w:sz w:val="19"/>
          <w:szCs w:val="19"/>
          <w:color w:val="auto"/>
        </w:rPr>
        <w:t>Our policy is to recognize interest and penalties accrued on any unrecognized tax benefits as a component of income tax expense. During the years ended January 31, 2017 and 2018,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$0.5 million would affect our effective tax rate.</w:t>
      </w:r>
    </w:p>
    <w:p>
      <w:pPr>
        <w:spacing w:after="0" w:line="198" w:lineRule="exact"/>
        <w:rPr>
          <w:sz w:val="20"/>
          <w:szCs w:val="20"/>
          <w:color w:val="auto"/>
        </w:rPr>
      </w:pPr>
    </w:p>
    <w:p>
      <w:pPr>
        <w:jc w:val="both"/>
        <w:ind w:left="180" w:right="120" w:firstLine="465"/>
        <w:spacing w:after="0" w:line="263" w:lineRule="auto"/>
        <w:rPr>
          <w:sz w:val="20"/>
          <w:szCs w:val="20"/>
          <w:color w:val="auto"/>
        </w:rPr>
      </w:pPr>
      <w:r>
        <w:rPr>
          <w:rFonts w:ascii="Arial" w:cs="Arial" w:eastAsia="Arial" w:hAnsi="Arial"/>
          <w:sz w:val="19"/>
          <w:szCs w:val="19"/>
          <w:color w:val="auto"/>
        </w:rPr>
        <w:t>We file income tax returns in the U.S. federal jurisdiction, various state jurisdictions and various foreign jurisdictions. As of January 31, 2018, all of the years remain open to examination by the federal and state tax authorities for three or four years from the tax year in which net operating losses or tax credits are utilized. We are not currently subject to income tax examinations by any tax authority.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8. Net Loss Per Share Attributable to Common Stockholders</w:t>
      </w:r>
    </w:p>
    <w:p>
      <w:pPr>
        <w:spacing w:after="0" w:line="130" w:lineRule="exact"/>
        <w:rPr>
          <w:sz w:val="20"/>
          <w:szCs w:val="20"/>
          <w:color w:val="auto"/>
        </w:rPr>
      </w:pPr>
    </w:p>
    <w:p>
      <w:pPr>
        <w:ind w:left="180" w:right="760" w:firstLine="465"/>
        <w:spacing w:after="0" w:line="275" w:lineRule="auto"/>
        <w:rPr>
          <w:sz w:val="20"/>
          <w:szCs w:val="20"/>
          <w:color w:val="auto"/>
        </w:rPr>
      </w:pPr>
      <w:r>
        <w:rPr>
          <w:rFonts w:ascii="Arial" w:cs="Arial" w:eastAsia="Arial" w:hAnsi="Arial"/>
          <w:sz w:val="19"/>
          <w:szCs w:val="19"/>
          <w:color w:val="auto"/>
        </w:rPr>
        <w:t>The following table sets forth the computation of basic and diluted net loss per share attributable to common stockholders for the periods presented:</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2"/>
              </w:rPr>
              <w:t>Year Ended January 31,</w:t>
            </w:r>
          </w:p>
        </w:tc>
        <w:tc>
          <w:tcPr>
            <w:tcW w:w="0" w:type="dxa"/>
            <w:vAlign w:val="bottom"/>
          </w:tcPr>
          <w:p>
            <w:pPr>
              <w:spacing w:after="0"/>
              <w:rPr>
                <w:sz w:val="1"/>
                <w:szCs w:val="1"/>
                <w:color w:val="auto"/>
              </w:rPr>
            </w:pPr>
          </w:p>
        </w:tc>
      </w:tr>
      <w:tr>
        <w:trPr>
          <w:trHeight w:val="151"/>
        </w:trPr>
        <w:tc>
          <w:tcPr>
            <w:tcW w:w="87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4"/>
              <w:spacing w:after="0" w:line="151" w:lineRule="exact"/>
              <w:rPr>
                <w:sz w:val="20"/>
                <w:szCs w:val="20"/>
                <w:color w:val="auto"/>
              </w:rPr>
            </w:pPr>
            <w:r>
              <w:rPr>
                <w:rFonts w:ascii="Arial" w:cs="Arial" w:eastAsia="Arial" w:hAnsi="Arial"/>
                <w:sz w:val="15"/>
                <w:szCs w:val="15"/>
                <w:b w:val="1"/>
                <w:bCs w:val="1"/>
                <w:color w:val="auto"/>
              </w:rPr>
              <w:t>2017</w:t>
            </w: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28"/>
              <w:spacing w:after="0" w:line="151"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center"/>
              <w:ind w:right="8"/>
              <w:spacing w:after="0" w:line="128" w:lineRule="exact"/>
              <w:rPr>
                <w:sz w:val="20"/>
                <w:szCs w:val="20"/>
                <w:color w:val="auto"/>
              </w:rPr>
            </w:pPr>
            <w:r>
              <w:rPr>
                <w:rFonts w:ascii="Arial" w:cs="Arial" w:eastAsia="Arial" w:hAnsi="Arial"/>
                <w:sz w:val="14"/>
                <w:szCs w:val="14"/>
                <w:b w:val="1"/>
                <w:bCs w:val="1"/>
                <w:color w:val="auto"/>
                <w:w w:val="95"/>
              </w:rPr>
              <w:t>(in thousands, except share and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left="674"/>
              <w:spacing w:after="0"/>
              <w:rPr>
                <w:sz w:val="20"/>
                <w:szCs w:val="20"/>
                <w:color w:val="auto"/>
              </w:rPr>
            </w:pPr>
            <w:r>
              <w:rPr>
                <w:rFonts w:ascii="Arial" w:cs="Arial" w:eastAsia="Arial" w:hAnsi="Arial"/>
                <w:sz w:val="15"/>
                <w:szCs w:val="15"/>
                <w:b w:val="1"/>
                <w:bCs w:val="1"/>
                <w:color w:val="auto"/>
                <w:w w:val="92"/>
              </w:rPr>
              <w:t>per share data)</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7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Numerator: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760" w:type="dxa"/>
            <w:vAlign w:val="bottom"/>
          </w:tcPr>
          <w:p>
            <w:pPr>
              <w:spacing w:after="0"/>
              <w:rPr>
                <w:sz w:val="20"/>
                <w:szCs w:val="20"/>
                <w:color w:val="auto"/>
              </w:rPr>
            </w:pPr>
            <w:r>
              <w:rPr>
                <w:rFonts w:ascii="Arial" w:cs="Arial" w:eastAsia="Arial" w:hAnsi="Arial"/>
                <w:sz w:val="19"/>
                <w:szCs w:val="19"/>
                <w:color w:val="auto"/>
              </w:rPr>
              <w:t>Net loss</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780"/>
              <w:spacing w:after="0"/>
              <w:rPr>
                <w:sz w:val="20"/>
                <w:szCs w:val="20"/>
                <w:color w:val="auto"/>
              </w:rPr>
            </w:pPr>
            <w:r>
              <w:rPr>
                <w:rFonts w:ascii="Arial" w:cs="Arial" w:eastAsia="Arial" w:hAnsi="Arial"/>
                <w:sz w:val="19"/>
                <w:szCs w:val="19"/>
                <w:color w:val="auto"/>
              </w:rPr>
              <w:t>(14)</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c>
          <w:tcPr>
            <w:tcW w:w="0" w:type="dxa"/>
            <w:vAlign w:val="bottom"/>
          </w:tcPr>
          <w:p>
            <w:pPr>
              <w:spacing w:after="0"/>
              <w:rPr>
                <w:sz w:val="1"/>
                <w:szCs w:val="1"/>
                <w:color w:val="auto"/>
              </w:rPr>
            </w:pPr>
          </w:p>
        </w:tc>
      </w:tr>
      <w:tr>
        <w:trPr>
          <w:trHeight w:val="228"/>
        </w:trPr>
        <w:tc>
          <w:tcPr>
            <w:tcW w:w="8760" w:type="dxa"/>
            <w:vAlign w:val="bottom"/>
            <w:shd w:val="clear" w:color="auto" w:fill="CCEEFF"/>
          </w:tcPr>
          <w:p>
            <w:pPr>
              <w:ind w:left="380"/>
              <w:spacing w:after="0"/>
              <w:rPr>
                <w:sz w:val="20"/>
                <w:szCs w:val="20"/>
                <w:color w:val="auto"/>
              </w:rPr>
            </w:pPr>
            <w:r>
              <w:rPr>
                <w:rFonts w:ascii="Arial" w:cs="Arial" w:eastAsia="Arial" w:hAnsi="Arial"/>
                <w:sz w:val="19"/>
                <w:szCs w:val="19"/>
                <w:color w:val="auto"/>
              </w:rPr>
              <w:t>Less: Distributed earnings attributable to participating securities</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9"/>
                <w:szCs w:val="19"/>
                <w:color w:val="auto"/>
              </w:rPr>
              <w:t>(14,366)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(4,405)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9"/>
                <w:szCs w:val="19"/>
                <w:color w:val="auto"/>
              </w:rPr>
              <w:t>Net loss attributable to common stockholders</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tcPr>
          <w:p>
            <w:pPr>
              <w:jc w:val="right"/>
              <w:ind w:right="780"/>
              <w:spacing w:after="0"/>
              <w:rPr>
                <w:sz w:val="20"/>
                <w:szCs w:val="20"/>
                <w:color w:val="auto"/>
              </w:rPr>
            </w:pPr>
            <w:r>
              <w:rPr>
                <w:rFonts w:ascii="Arial" w:cs="Arial" w:eastAsia="Arial" w:hAnsi="Arial"/>
                <w:sz w:val="19"/>
                <w:szCs w:val="19"/>
                <w:color w:val="auto"/>
              </w:rPr>
              <w:t>(14,380)</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Denominator: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760" w:type="dxa"/>
            <w:vAlign w:val="bottom"/>
          </w:tcPr>
          <w:p>
            <w:pPr>
              <w:spacing w:after="0" w:line="214" w:lineRule="exact"/>
              <w:rPr>
                <w:sz w:val="20"/>
                <w:szCs w:val="20"/>
                <w:color w:val="auto"/>
              </w:rPr>
            </w:pPr>
            <w:r>
              <w:rPr>
                <w:rFonts w:ascii="Arial" w:cs="Arial" w:eastAsia="Arial" w:hAnsi="Arial"/>
                <w:sz w:val="19"/>
                <w:szCs w:val="19"/>
                <w:color w:val="auto"/>
              </w:rPr>
              <w:t>Weighted-average shares used in computing net loss per share attributable to common stockholders,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760" w:type="dxa"/>
            <w:vAlign w:val="bottom"/>
          </w:tcPr>
          <w:p>
            <w:pPr>
              <w:ind w:left="180"/>
              <w:spacing w:after="0"/>
              <w:rPr>
                <w:sz w:val="20"/>
                <w:szCs w:val="20"/>
                <w:color w:val="auto"/>
              </w:rPr>
            </w:pPr>
            <w:r>
              <w:rPr>
                <w:rFonts w:ascii="Arial" w:cs="Arial" w:eastAsia="Arial" w:hAnsi="Arial"/>
                <w:sz w:val="19"/>
                <w:szCs w:val="19"/>
                <w:color w:val="auto"/>
              </w:rPr>
              <w:t>basic and diluted</w:t>
            </w:r>
          </w:p>
        </w:tc>
        <w:tc>
          <w:tcPr>
            <w:tcW w:w="100" w:type="dxa"/>
            <w:vAlign w:val="bottom"/>
          </w:tcPr>
          <w:p>
            <w:pPr>
              <w:spacing w:after="0"/>
              <w:rPr>
                <w:sz w:val="21"/>
                <w:szCs w:val="21"/>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9"/>
                <w:szCs w:val="19"/>
                <w:color w:val="auto"/>
                <w:w w:val="88"/>
              </w:rPr>
              <w:t>70,309,256</w:t>
            </w: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9"/>
                <w:szCs w:val="19"/>
                <w:color w:val="auto"/>
                <w:w w:val="88"/>
              </w:rPr>
              <w:t>78,119,865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760" w:type="dxa"/>
            <w:vAlign w:val="bottom"/>
            <w:shd w:val="clear" w:color="auto" w:fill="CCEEFF"/>
          </w:tcPr>
          <w:p>
            <w:pPr>
              <w:spacing w:after="0"/>
              <w:rPr>
                <w:sz w:val="20"/>
                <w:szCs w:val="20"/>
                <w:color w:val="auto"/>
              </w:rPr>
            </w:pPr>
            <w:r>
              <w:rPr>
                <w:rFonts w:ascii="Arial" w:cs="Arial" w:eastAsia="Arial" w:hAnsi="Arial"/>
                <w:sz w:val="19"/>
                <w:szCs w:val="19"/>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9"/>
                <w:szCs w:val="19"/>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(0.11)</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5640"/>
              <w:spacing w:after="0"/>
              <w:rPr>
                <w:sz w:val="20"/>
                <w:szCs w:val="20"/>
                <w:color w:val="auto"/>
              </w:rPr>
            </w:pPr>
            <w:r>
              <w:rPr>
                <w:rFonts w:ascii="Arial" w:cs="Arial" w:eastAsia="Arial" w:hAnsi="Arial"/>
                <w:sz w:val="19"/>
                <w:szCs w:val="19"/>
                <w:color w:val="auto"/>
              </w:rPr>
              <w:t>F-30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820"/>
          </w:cols>
          <w:pgMar w:left="120" w:top="336" w:right="300" w:bottom="1440" w:gutter="0" w:footer="0" w:header="0"/>
        </w:sectPr>
      </w:pPr>
    </w:p>
    <w:bookmarkStart w:id="169" w:name="page170"/>
    <w:bookmarkEnd w:id="169"/>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9060" w:type="dxa"/>
            <w:vAlign w:val="bottom"/>
          </w:tcPr>
          <w:p>
            <w:pPr>
              <w:spacing w:after="0"/>
              <w:rPr>
                <w:sz w:val="15"/>
                <w:szCs w:val="15"/>
                <w:color w:val="auto"/>
              </w:rPr>
            </w:pPr>
          </w:p>
        </w:tc>
        <w:tc>
          <w:tcPr>
            <w:tcW w:w="2580" w:type="dxa"/>
            <w:vAlign w:val="bottom"/>
            <w:gridSpan w:val="4"/>
          </w:tcPr>
          <w:p>
            <w:pPr>
              <w:jc w:val="right"/>
              <w:ind w:right="540"/>
              <w:spacing w:after="0"/>
              <w:rPr>
                <w:sz w:val="20"/>
                <w:szCs w:val="20"/>
                <w:color w:val="auto"/>
              </w:rPr>
            </w:pPr>
            <w:r>
              <w:rPr>
                <w:rFonts w:ascii="Arial" w:cs="Arial" w:eastAsia="Arial" w:hAnsi="Arial"/>
                <w:sz w:val="15"/>
                <w:szCs w:val="15"/>
                <w:b w:val="1"/>
                <w:bCs w:val="1"/>
                <w:color w:val="auto"/>
              </w:rPr>
              <w:t>Year Ended January 31,</w:t>
            </w:r>
          </w:p>
        </w:tc>
      </w:tr>
      <w:tr>
        <w:trPr>
          <w:trHeight w:val="151"/>
        </w:trPr>
        <w:tc>
          <w:tcPr>
            <w:tcW w:w="906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1"/>
              <w:spacing w:after="0" w:line="151" w:lineRule="exact"/>
              <w:rPr>
                <w:sz w:val="20"/>
                <w:szCs w:val="20"/>
                <w:color w:val="auto"/>
              </w:rPr>
            </w:pPr>
            <w:r>
              <w:rPr>
                <w:rFonts w:ascii="Arial" w:cs="Arial" w:eastAsia="Arial" w:hAnsi="Arial"/>
                <w:sz w:val="15"/>
                <w:szCs w:val="15"/>
                <w:b w:val="1"/>
                <w:bCs w:val="1"/>
                <w:color w:val="auto"/>
              </w:rPr>
              <w:t>2017</w:t>
            </w:r>
          </w:p>
        </w:tc>
        <w:tc>
          <w:tcPr>
            <w:tcW w:w="30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09"/>
              <w:spacing w:after="0" w:line="151"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222"/>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Convertible preferred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154,031,604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152,665,804</w:t>
            </w:r>
          </w:p>
        </w:tc>
        <w:tc>
          <w:tcPr>
            <w:tcW w:w="80" w:type="dxa"/>
            <w:vAlign w:val="bottom"/>
            <w:shd w:val="clear" w:color="auto" w:fill="CCEEFF"/>
          </w:tcPr>
          <w:p>
            <w:pPr>
              <w:spacing w:after="0"/>
              <w:rPr>
                <w:sz w:val="19"/>
                <w:szCs w:val="19"/>
                <w:color w:val="auto"/>
              </w:rPr>
            </w:pPr>
          </w:p>
        </w:tc>
      </w:tr>
      <w:tr>
        <w:trPr>
          <w:trHeight w:val="228"/>
        </w:trPr>
        <w:tc>
          <w:tcPr>
            <w:tcW w:w="9060" w:type="dxa"/>
            <w:vAlign w:val="bottom"/>
          </w:tcPr>
          <w:p>
            <w:pPr>
              <w:spacing w:after="0"/>
              <w:rPr>
                <w:sz w:val="20"/>
                <w:szCs w:val="20"/>
                <w:color w:val="auto"/>
              </w:rPr>
            </w:pPr>
            <w:r>
              <w:rPr>
                <w:rFonts w:ascii="Arial" w:cs="Arial" w:eastAsia="Arial" w:hAnsi="Arial"/>
                <w:sz w:val="19"/>
                <w:szCs w:val="19"/>
                <w:color w:val="auto"/>
              </w:rPr>
              <w:t>Outstanding stock options</w:t>
            </w:r>
          </w:p>
        </w:tc>
        <w:tc>
          <w:tcPr>
            <w:tcW w:w="1400" w:type="dxa"/>
            <w:vAlign w:val="bottom"/>
            <w:gridSpan w:val="2"/>
          </w:tcPr>
          <w:p>
            <w:pPr>
              <w:jc w:val="right"/>
              <w:ind w:right="300"/>
              <w:spacing w:after="0"/>
              <w:rPr>
                <w:sz w:val="20"/>
                <w:szCs w:val="20"/>
                <w:color w:val="auto"/>
              </w:rPr>
            </w:pPr>
            <w:r>
              <w:rPr>
                <w:rFonts w:ascii="Arial" w:cs="Arial" w:eastAsia="Arial" w:hAnsi="Arial"/>
                <w:sz w:val="19"/>
                <w:szCs w:val="19"/>
                <w:color w:val="auto"/>
              </w:rPr>
              <w:t>28,011,000</w:t>
            </w:r>
          </w:p>
        </w:tc>
        <w:tc>
          <w:tcPr>
            <w:tcW w:w="1180" w:type="dxa"/>
            <w:vAlign w:val="bottom"/>
            <w:gridSpan w:val="2"/>
          </w:tcPr>
          <w:p>
            <w:pPr>
              <w:jc w:val="right"/>
              <w:ind w:right="80"/>
              <w:spacing w:after="0"/>
              <w:rPr>
                <w:sz w:val="20"/>
                <w:szCs w:val="20"/>
                <w:color w:val="auto"/>
              </w:rPr>
            </w:pPr>
            <w:r>
              <w:rPr>
                <w:rFonts w:ascii="Arial" w:cs="Arial" w:eastAsia="Arial" w:hAnsi="Arial"/>
                <w:sz w:val="19"/>
                <w:szCs w:val="19"/>
                <w:color w:val="auto"/>
              </w:rPr>
              <w:t>34,170,489</w:t>
            </w:r>
          </w:p>
        </w:tc>
      </w:tr>
      <w:tr>
        <w:trPr>
          <w:trHeight w:val="228"/>
        </w:trPr>
        <w:tc>
          <w:tcPr>
            <w:tcW w:w="9060" w:type="dxa"/>
            <w:vAlign w:val="bottom"/>
            <w:shd w:val="clear" w:color="auto" w:fill="CCEEFF"/>
          </w:tcPr>
          <w:p>
            <w:pPr>
              <w:spacing w:after="0"/>
              <w:rPr>
                <w:sz w:val="20"/>
                <w:szCs w:val="20"/>
                <w:color w:val="auto"/>
              </w:rPr>
            </w:pPr>
            <w:r>
              <w:rPr>
                <w:rFonts w:ascii="Arial" w:cs="Arial" w:eastAsia="Arial" w:hAnsi="Arial"/>
                <w:sz w:val="19"/>
                <w:szCs w:val="19"/>
                <w:color w:val="auto"/>
              </w:rPr>
              <w:t>Shares subject to repurchase from early exercised stock options and restricted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3,016,224</w:t>
            </w:r>
          </w:p>
        </w:tc>
        <w:tc>
          <w:tcPr>
            <w:tcW w:w="3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2,302,483</w:t>
            </w:r>
          </w:p>
        </w:tc>
        <w:tc>
          <w:tcPr>
            <w:tcW w:w="80" w:type="dxa"/>
            <w:vAlign w:val="bottom"/>
            <w:shd w:val="clear" w:color="auto" w:fill="CCEEFF"/>
          </w:tcPr>
          <w:p>
            <w:pPr>
              <w:spacing w:after="0"/>
              <w:rPr>
                <w:sz w:val="19"/>
                <w:szCs w:val="19"/>
                <w:color w:val="auto"/>
              </w:rPr>
            </w:pPr>
          </w:p>
        </w:tc>
      </w:tr>
      <w:tr>
        <w:trPr>
          <w:trHeight w:val="236"/>
        </w:trPr>
        <w:tc>
          <w:tcPr>
            <w:tcW w:w="9060" w:type="dxa"/>
            <w:vAlign w:val="bottom"/>
          </w:tcPr>
          <w:p>
            <w:pPr>
              <w:ind w:left="380"/>
              <w:spacing w:after="0"/>
              <w:rPr>
                <w:sz w:val="20"/>
                <w:szCs w:val="20"/>
                <w:color w:val="auto"/>
              </w:rPr>
            </w:pPr>
            <w:r>
              <w:rPr>
                <w:rFonts w:ascii="Arial" w:cs="Arial" w:eastAsia="Arial" w:hAnsi="Arial"/>
                <w:sz w:val="19"/>
                <w:szCs w:val="19"/>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185,058,828</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189,138,776</w:t>
            </w:r>
          </w:p>
        </w:tc>
        <w:tc>
          <w:tcPr>
            <w:tcW w:w="8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Unaudited Pro Forma Net Loss Per Share Attributable to Common Stockholders</w:t>
      </w:r>
    </w:p>
    <w:p>
      <w:pPr>
        <w:spacing w:after="0" w:line="124" w:lineRule="exact"/>
        <w:rPr>
          <w:sz w:val="20"/>
          <w:szCs w:val="20"/>
          <w:color w:val="auto"/>
        </w:rPr>
      </w:pPr>
    </w:p>
    <w:p>
      <w:pPr>
        <w:ind w:left="180" w:right="240" w:firstLine="465"/>
        <w:spacing w:after="0" w:line="308" w:lineRule="auto"/>
        <w:rPr>
          <w:sz w:val="20"/>
          <w:szCs w:val="20"/>
          <w:color w:val="auto"/>
        </w:rPr>
      </w:pPr>
      <w:r>
        <w:rPr>
          <w:rFonts w:ascii="Arial" w:cs="Arial" w:eastAsia="Arial" w:hAnsi="Arial"/>
          <w:sz w:val="17"/>
          <w:szCs w:val="17"/>
          <w:color w:val="auto"/>
        </w:rPr>
        <w:t>We have presented the unaudited pro forma basic and diluted net loss per share for the fiscal year ended January 31, 2018, which has been computed to give effect to the conversion of our convertible preferred stock into common stock (using the if-converted method) as though the conversion had occurred as of the beginning of the period. The pro forma net loss per share does not include shares being offered in the assumed IPO.</w:t>
      </w:r>
    </w:p>
    <w:p>
      <w:pPr>
        <w:spacing w:after="0" w:line="160" w:lineRule="exact"/>
        <w:rPr>
          <w:sz w:val="20"/>
          <w:szCs w:val="20"/>
          <w:color w:val="auto"/>
        </w:rPr>
      </w:pPr>
    </w:p>
    <w:p>
      <w:pPr>
        <w:ind w:left="180" w:right="1040" w:firstLine="465"/>
        <w:spacing w:after="0" w:line="275" w:lineRule="auto"/>
        <w:rPr>
          <w:sz w:val="20"/>
          <w:szCs w:val="20"/>
          <w:color w:val="auto"/>
        </w:rPr>
      </w:pPr>
      <w:r>
        <w:rPr>
          <w:rFonts w:ascii="Arial" w:cs="Arial" w:eastAsia="Arial" w:hAnsi="Arial"/>
          <w:sz w:val="19"/>
          <w:szCs w:val="19"/>
          <w:color w:val="auto"/>
        </w:rPr>
        <w:t>The following table sets forth the computation of the unaudited pro forma basic and diluted net loss per share attributable to common stockholders:</w:t>
      </w:r>
    </w:p>
    <w:p>
      <w:pPr>
        <w:spacing w:after="0" w:line="18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Year Ended</w:t>
            </w: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92"/>
              </w:rPr>
              <w:t>January 31,</w:t>
            </w:r>
          </w:p>
        </w:tc>
      </w:tr>
      <w:tr>
        <w:trPr>
          <w:trHeight w:val="180"/>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10440" w:type="dxa"/>
            <w:vAlign w:val="bottom"/>
          </w:tcPr>
          <w:p>
            <w:pPr>
              <w:spacing w:after="0"/>
              <w:rPr>
                <w:sz w:val="11"/>
                <w:szCs w:val="11"/>
                <w:color w:val="auto"/>
              </w:rPr>
            </w:pPr>
          </w:p>
        </w:tc>
        <w:tc>
          <w:tcPr>
            <w:tcW w:w="106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96"/>
              </w:rPr>
              <w:t>(in thousands,</w:t>
            </w:r>
          </w:p>
        </w:tc>
        <w:tc>
          <w:tcPr>
            <w:tcW w:w="12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7" w:lineRule="exact"/>
              <w:rPr>
                <w:sz w:val="20"/>
                <w:szCs w:val="20"/>
                <w:color w:val="auto"/>
              </w:rPr>
            </w:pPr>
            <w:r>
              <w:rPr>
                <w:rFonts w:ascii="Arial" w:cs="Arial" w:eastAsia="Arial" w:hAnsi="Arial"/>
                <w:sz w:val="15"/>
                <w:szCs w:val="15"/>
                <w:b w:val="1"/>
                <w:bCs w:val="1"/>
                <w:color w:val="auto"/>
                <w:w w:val="87"/>
              </w:rPr>
              <w:t>except share</w:t>
            </w:r>
          </w:p>
        </w:tc>
      </w:tr>
      <w:tr>
        <w:trPr>
          <w:trHeight w:val="157"/>
        </w:trPr>
        <w:tc>
          <w:tcPr>
            <w:tcW w:w="20" w:type="dxa"/>
            <w:vAlign w:val="bottom"/>
          </w:tcPr>
          <w:p>
            <w:pPr>
              <w:spacing w:after="0"/>
              <w:rPr>
                <w:sz w:val="13"/>
                <w:szCs w:val="13"/>
                <w:color w:val="auto"/>
              </w:rPr>
            </w:pPr>
          </w:p>
        </w:tc>
        <w:tc>
          <w:tcPr>
            <w:tcW w:w="10440" w:type="dxa"/>
            <w:vAlign w:val="bottom"/>
          </w:tcPr>
          <w:p>
            <w:pPr>
              <w:spacing w:after="0"/>
              <w:rPr>
                <w:sz w:val="13"/>
                <w:szCs w:val="13"/>
                <w:color w:val="auto"/>
              </w:rPr>
            </w:pPr>
          </w:p>
        </w:tc>
        <w:tc>
          <w:tcPr>
            <w:tcW w:w="1180" w:type="dxa"/>
            <w:vAlign w:val="bottom"/>
            <w:gridSpan w:val="3"/>
          </w:tcPr>
          <w:p>
            <w:pPr>
              <w:jc w:val="center"/>
              <w:ind w:right="120"/>
              <w:spacing w:after="0" w:line="157" w:lineRule="exact"/>
              <w:rPr>
                <w:sz w:val="20"/>
                <w:szCs w:val="20"/>
                <w:color w:val="auto"/>
              </w:rPr>
            </w:pPr>
            <w:r>
              <w:rPr>
                <w:rFonts w:ascii="Arial" w:cs="Arial" w:eastAsia="Arial" w:hAnsi="Arial"/>
                <w:sz w:val="15"/>
                <w:szCs w:val="15"/>
                <w:b w:val="1"/>
                <w:bCs w:val="1"/>
                <w:color w:val="auto"/>
                <w:w w:val="91"/>
              </w:rPr>
              <w:t>and per share</w:t>
            </w:r>
          </w:p>
        </w:tc>
      </w:tr>
      <w:tr>
        <w:trPr>
          <w:trHeight w:val="180"/>
        </w:trPr>
        <w:tc>
          <w:tcPr>
            <w:tcW w:w="20" w:type="dxa"/>
            <w:vAlign w:val="bottom"/>
          </w:tcPr>
          <w:p>
            <w:pPr>
              <w:spacing w:after="0"/>
              <w:rPr>
                <w:sz w:val="15"/>
                <w:szCs w:val="15"/>
                <w:color w:val="auto"/>
              </w:rPr>
            </w:pPr>
          </w:p>
        </w:tc>
        <w:tc>
          <w:tcPr>
            <w:tcW w:w="10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data)</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Numerator: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Net loss attributable to common stockholders, basic and diluted</w:t>
            </w:r>
          </w:p>
        </w:tc>
        <w:tc>
          <w:tcPr>
            <w:tcW w:w="10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(8,227)</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Distributed earnings attributable to participating securities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4,405</w:t>
            </w: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Net loss</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9"/>
                <w:szCs w:val="19"/>
                <w:color w:val="auto"/>
              </w:rPr>
              <w:t>(3,822)</w:t>
            </w:r>
          </w:p>
        </w:tc>
      </w:tr>
      <w:tr>
        <w:trPr>
          <w:trHeight w:val="20"/>
        </w:trPr>
        <w:tc>
          <w:tcPr>
            <w:tcW w:w="2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Denominator: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Weighted-average shares used in computing net loss per share attributable to common stockholders, basic and diluted</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9"/>
                <w:szCs w:val="19"/>
                <w:color w:val="auto"/>
                <w:w w:val="98"/>
              </w:rPr>
              <w:t>78,119,865</w:t>
            </w: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ind w:left="360"/>
              <w:spacing w:after="0"/>
              <w:rPr>
                <w:sz w:val="20"/>
                <w:szCs w:val="20"/>
                <w:color w:val="auto"/>
              </w:rPr>
            </w:pPr>
            <w:r>
              <w:rPr>
                <w:rFonts w:ascii="Arial" w:cs="Arial" w:eastAsia="Arial" w:hAnsi="Arial"/>
                <w:sz w:val="19"/>
                <w:szCs w:val="19"/>
                <w:color w:val="auto"/>
              </w:rPr>
              <w:t>Weighted-average of convertible preferred stock upon assumed conversion in IPO</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88"/>
              </w:rPr>
              <w:t>153,561,780</w:t>
            </w:r>
          </w:p>
        </w:tc>
        <w:tc>
          <w:tcPr>
            <w:tcW w:w="12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0440" w:type="dxa"/>
            <w:vAlign w:val="bottom"/>
          </w:tcPr>
          <w:p>
            <w:pPr>
              <w:ind w:left="360"/>
              <w:spacing w:after="0"/>
              <w:rPr>
                <w:sz w:val="20"/>
                <w:szCs w:val="20"/>
                <w:color w:val="auto"/>
              </w:rPr>
            </w:pPr>
            <w:r>
              <w:rPr>
                <w:rFonts w:ascii="Arial" w:cs="Arial" w:eastAsia="Arial" w:hAnsi="Arial"/>
                <w:sz w:val="19"/>
                <w:szCs w:val="19"/>
                <w:color w:val="auto"/>
              </w:rPr>
              <w:t>Weighted-average shares used in computing pro forma net loss per share attributable to common stockholders, basic</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10440" w:type="dxa"/>
            <w:vAlign w:val="bottom"/>
          </w:tcPr>
          <w:p>
            <w:pPr>
              <w:ind w:left="560"/>
              <w:spacing w:after="0"/>
              <w:rPr>
                <w:sz w:val="20"/>
                <w:szCs w:val="20"/>
                <w:color w:val="auto"/>
              </w:rPr>
            </w:pPr>
            <w:r>
              <w:rPr>
                <w:rFonts w:ascii="Arial" w:cs="Arial" w:eastAsia="Arial" w:hAnsi="Arial"/>
                <w:sz w:val="19"/>
                <w:szCs w:val="19"/>
                <w:color w:val="auto"/>
              </w:rPr>
              <w:t>and diluted</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231,681,645</w:t>
            </w:r>
          </w:p>
        </w:tc>
        <w:tc>
          <w:tcPr>
            <w:tcW w:w="1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9"/>
                <w:szCs w:val="19"/>
                <w:color w:val="auto"/>
              </w:rPr>
              <w:t>Pro forma 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(0.02)</w:t>
            </w:r>
          </w:p>
        </w:tc>
      </w:tr>
      <w:tr>
        <w:trPr>
          <w:trHeight w:val="20"/>
        </w:trPr>
        <w:tc>
          <w:tcPr>
            <w:tcW w:w="2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9. Related Party Transactions</w:t>
      </w:r>
    </w:p>
    <w:p>
      <w:pPr>
        <w:spacing w:after="0" w:line="130" w:lineRule="exact"/>
        <w:rPr>
          <w:sz w:val="20"/>
          <w:szCs w:val="20"/>
          <w:color w:val="auto"/>
        </w:rPr>
      </w:pPr>
    </w:p>
    <w:p>
      <w:pPr>
        <w:jc w:val="both"/>
        <w:ind w:left="180" w:right="80" w:firstLine="465"/>
        <w:spacing w:after="0" w:line="259" w:lineRule="auto"/>
        <w:rPr>
          <w:sz w:val="20"/>
          <w:szCs w:val="20"/>
          <w:color w:val="auto"/>
        </w:rPr>
      </w:pPr>
      <w:r>
        <w:rPr>
          <w:rFonts w:ascii="Arial" w:cs="Arial" w:eastAsia="Arial" w:hAnsi="Arial"/>
          <w:sz w:val="19"/>
          <w:szCs w:val="19"/>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F-31</w:t>
      </w:r>
    </w:p>
    <w:p>
      <w:pPr>
        <w:sectPr>
          <w:pgSz w:w="12240" w:h="15840" w:orient="portrait"/>
          <w:cols w:equalWidth="0" w:num="1">
            <w:col w:w="11820"/>
          </w:cols>
          <w:pgMar w:left="120" w:top="336" w:right="300" w:bottom="1440" w:gutter="0" w:footer="0" w:header="0"/>
        </w:sectPr>
      </w:pPr>
    </w:p>
    <w:bookmarkStart w:id="170" w:name="page171"/>
    <w:bookmarkEnd w:id="170"/>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right="80" w:firstLine="465"/>
        <w:spacing w:after="0" w:line="259" w:lineRule="auto"/>
        <w:rPr>
          <w:sz w:val="20"/>
          <w:szCs w:val="20"/>
          <w:color w:val="auto"/>
        </w:rPr>
      </w:pPr>
      <w:r>
        <w:rPr>
          <w:rFonts w:ascii="Arial" w:cs="Arial" w:eastAsia="Arial" w:hAnsi="Arial"/>
          <w:sz w:val="19"/>
          <w:szCs w:val="19"/>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98" w:lineRule="exact"/>
        <w:rPr>
          <w:sz w:val="20"/>
          <w:szCs w:val="20"/>
          <w:color w:val="auto"/>
        </w:rPr>
      </w:pPr>
    </w:p>
    <w:p>
      <w:pPr>
        <w:ind w:left="180" w:right="240" w:firstLine="465"/>
        <w:spacing w:after="0" w:line="263" w:lineRule="auto"/>
        <w:rPr>
          <w:sz w:val="20"/>
          <w:szCs w:val="20"/>
          <w:color w:val="auto"/>
        </w:rPr>
      </w:pPr>
      <w:r>
        <w:rPr>
          <w:rFonts w:ascii="Arial" w:cs="Arial" w:eastAsia="Arial" w:hAnsi="Arial"/>
          <w:sz w:val="19"/>
          <w:szCs w:val="19"/>
          <w:color w:val="auto"/>
        </w:rPr>
        <w:t>In September 2016, we entered into a service agreement with Veeva Systems Inc. (Veeva), a cloud-based business solutions company. The chief executive officer of Veeva serves as one of our board of directors. Revenue recognized from services provided to Veeva was $0.3 million and $1.4 million for the fiscal years ended January 31, 2017 and 2018, respectively.</w:t>
      </w:r>
    </w:p>
    <w:p>
      <w:pPr>
        <w:spacing w:after="0" w:line="303"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10. Subsequent Events</w:t>
      </w:r>
    </w:p>
    <w:p>
      <w:pPr>
        <w:spacing w:after="0" w:line="130" w:lineRule="exact"/>
        <w:rPr>
          <w:sz w:val="20"/>
          <w:szCs w:val="20"/>
          <w:color w:val="auto"/>
        </w:rPr>
      </w:pPr>
    </w:p>
    <w:p>
      <w:pPr>
        <w:ind w:left="180" w:right="620" w:firstLine="465"/>
        <w:spacing w:after="0" w:line="275" w:lineRule="auto"/>
        <w:rPr>
          <w:sz w:val="20"/>
          <w:szCs w:val="20"/>
          <w:color w:val="auto"/>
        </w:rPr>
      </w:pPr>
      <w:r>
        <w:rPr>
          <w:rFonts w:ascii="Arial" w:cs="Arial" w:eastAsia="Arial" w:hAnsi="Arial"/>
          <w:sz w:val="19"/>
          <w:szCs w:val="19"/>
          <w:color w:val="auto"/>
        </w:rPr>
        <w:t>We have evaluated subsequent events from the balance sheet date through December 20, 2018, the date at which the consolidated financial statements were available to be issued.</w:t>
      </w:r>
    </w:p>
    <w:p>
      <w:pPr>
        <w:spacing w:after="0" w:line="184" w:lineRule="exact"/>
        <w:rPr>
          <w:sz w:val="20"/>
          <w:szCs w:val="20"/>
          <w:color w:val="auto"/>
        </w:rPr>
      </w:pPr>
    </w:p>
    <w:p>
      <w:pPr>
        <w:ind w:left="180" w:right="120" w:firstLine="465"/>
        <w:spacing w:after="0" w:line="275" w:lineRule="auto"/>
        <w:rPr>
          <w:sz w:val="20"/>
          <w:szCs w:val="20"/>
          <w:color w:val="auto"/>
        </w:rPr>
      </w:pPr>
      <w:r>
        <w:rPr>
          <w:rFonts w:ascii="Arial" w:cs="Arial" w:eastAsia="Arial" w:hAnsi="Arial"/>
          <w:sz w:val="19"/>
          <w:szCs w:val="19"/>
          <w:color w:val="auto"/>
        </w:rPr>
        <w:t>Subsequent to January 31, 2018, we granted stock options to purchase up to 8,450,300 shares of common stock with a weighted-average exercise price of $3.94 per share.</w:t>
      </w:r>
    </w:p>
    <w:p>
      <w:pPr>
        <w:spacing w:after="0" w:line="184" w:lineRule="exact"/>
        <w:rPr>
          <w:sz w:val="20"/>
          <w:szCs w:val="20"/>
          <w:color w:val="auto"/>
        </w:rPr>
      </w:pPr>
    </w:p>
    <w:p>
      <w:pPr>
        <w:ind w:left="180" w:right="260" w:firstLine="465"/>
        <w:spacing w:after="0" w:line="263" w:lineRule="auto"/>
        <w:rPr>
          <w:sz w:val="20"/>
          <w:szCs w:val="20"/>
          <w:color w:val="auto"/>
        </w:rPr>
      </w:pPr>
      <w:r>
        <w:rPr>
          <w:rFonts w:ascii="Arial" w:cs="Arial" w:eastAsia="Arial" w:hAnsi="Arial"/>
          <w:sz w:val="19"/>
          <w:szCs w:val="19"/>
          <w:color w:val="auto"/>
        </w:rPr>
        <w:t>Subsequent to January 31, 2018, we entered into agreements to lease additional spaces located in Australia, China, the United Kingdom and the United States. We expect to make $39.7 million of additional rent payments over the terms of these leases, which expire at various dates through the year ending January 31, 2028.</w:t>
      </w:r>
    </w:p>
    <w:p>
      <w:pPr>
        <w:spacing w:after="0" w:line="194"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In October 2018, we entered into a strategic, multi-phase partnership with Dropbox, Inc. (Dropbox), a global collaboration platform, which involves the development of integrated workflows between our platforms and the Dropbox platform, as well as a strategic financial investment by Dropbox whereby we issued a $5.0 million unsecured three-year convertible promissory note to Dropbox, which accrues simple interest at 2.75% per annum. The note will automatically convert into shares of common stock upon an IPO at a conversion price equal to the IPO price. In the event of a “Qualified Financing”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204" w:lineRule="exact"/>
        <w:rPr>
          <w:sz w:val="20"/>
          <w:szCs w:val="20"/>
          <w:color w:val="auto"/>
        </w:rPr>
      </w:pPr>
    </w:p>
    <w:p>
      <w:pPr>
        <w:ind w:left="180" w:right="20" w:firstLine="465"/>
        <w:spacing w:after="0" w:line="270" w:lineRule="auto"/>
        <w:rPr>
          <w:sz w:val="20"/>
          <w:szCs w:val="20"/>
          <w:color w:val="auto"/>
        </w:rPr>
      </w:pPr>
      <w:r>
        <w:rPr>
          <w:rFonts w:ascii="Arial" w:cs="Arial" w:eastAsia="Arial" w:hAnsi="Arial"/>
          <w:sz w:val="18"/>
          <w:szCs w:val="18"/>
          <w:color w:val="auto"/>
        </w:rPr>
        <w:t>In October 2018, we entered into a strategic partnership with the collaboration software company Atlassian, Inc. (Atlassian), a collaboration software company, which involves the development of integrated workflows between us and Atlassian’s Jira Ops and Jira Service Desk products, as well as a strategic financial investment by Atlassian whereby we issued a $10.0 million unsecured three-year convertible promissory note to Atlassian, which accrues simple interest at 5.0% per annum. The note will automatically convert into shares of common stock upon an IPO at a conversion price equal to the IPO price. In the event of a “Qualified Financing” (defined as a transaction or series of transactions in which we issue newly-issued preferred stock for aggregate gross proceeds of at least $25.0 million), the note will automatically convert into shares of newly-issued preferred stock at a conversion price equal to 80% of the preferred stock price. The holder of the note also has the right, at its option, to convert the notes into shares of newly-issued preferred stock at a conversion price equal to 80% of the preferred stock price.</w:t>
      </w:r>
    </w:p>
    <w:p>
      <w:pPr>
        <w:spacing w:after="0" w:line="191" w:lineRule="exact"/>
        <w:rPr>
          <w:sz w:val="20"/>
          <w:szCs w:val="20"/>
          <w:color w:val="auto"/>
        </w:rPr>
      </w:pPr>
    </w:p>
    <w:p>
      <w:pPr>
        <w:ind w:left="180" w:firstLine="465"/>
        <w:spacing w:after="0" w:line="275" w:lineRule="auto"/>
        <w:rPr>
          <w:sz w:val="20"/>
          <w:szCs w:val="20"/>
          <w:color w:val="auto"/>
        </w:rPr>
      </w:pPr>
      <w:r>
        <w:rPr>
          <w:rFonts w:ascii="Arial" w:cs="Arial" w:eastAsia="Arial" w:hAnsi="Arial"/>
          <w:sz w:val="19"/>
          <w:szCs w:val="19"/>
          <w:color w:val="auto"/>
        </w:rPr>
        <w:t>In November 2018, we implemented a dual class common stock structure pursuant to which all then-outstanding shares of our common stock were reclassified as Class B common stock and a new class of Class A</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F-32</w:t>
      </w:r>
    </w:p>
    <w:p>
      <w:pPr>
        <w:sectPr>
          <w:pgSz w:w="12240" w:h="15840" w:orient="portrait"/>
          <w:cols w:equalWidth="0" w:num="1">
            <w:col w:w="11820"/>
          </w:cols>
          <w:pgMar w:left="120" w:top="337" w:right="300" w:bottom="1440" w:gutter="0" w:footer="0" w:header="0"/>
        </w:sectPr>
      </w:pPr>
    </w:p>
    <w:bookmarkStart w:id="171" w:name="page172"/>
    <w:bookmarkEnd w:id="171"/>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ZOOM VIDEO COMMUNICATIONS, INC.</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153" w:lineRule="exact"/>
        <w:rPr>
          <w:sz w:val="20"/>
          <w:szCs w:val="20"/>
          <w:color w:val="auto"/>
        </w:rPr>
      </w:pPr>
    </w:p>
    <w:p>
      <w:pPr>
        <w:ind w:left="180"/>
        <w:spacing w:after="0" w:line="283" w:lineRule="auto"/>
        <w:rPr>
          <w:sz w:val="20"/>
          <w:szCs w:val="20"/>
          <w:color w:val="auto"/>
        </w:rPr>
      </w:pPr>
      <w:r>
        <w:rPr>
          <w:rFonts w:ascii="Arial" w:cs="Arial" w:eastAsia="Arial" w:hAnsi="Arial"/>
          <w:sz w:val="17"/>
          <w:szCs w:val="17"/>
          <w:color w:val="auto"/>
        </w:rPr>
        <w:t>common stock was authorized. The Class A common stock is entitled to one vote per share and the Class B common stock is entitled to 10 votes per share. The Class A and Class B common stock have the same dividend and liquidation rights. A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w:t>
      </w:r>
    </w:p>
    <w:p>
      <w:pPr>
        <w:spacing w:after="0" w:line="2" w:lineRule="exact"/>
        <w:rPr>
          <w:sz w:val="20"/>
          <w:szCs w:val="20"/>
          <w:color w:val="auto"/>
        </w:rPr>
      </w:pPr>
    </w:p>
    <w:p>
      <w:pPr>
        <w:ind w:left="180" w:right="40" w:hanging="1"/>
        <w:spacing w:after="0" w:line="252" w:lineRule="auto"/>
        <w:tabs>
          <w:tab w:leader="none" w:pos="449"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our proposed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F-33</w:t>
      </w:r>
    </w:p>
    <w:p>
      <w:pPr>
        <w:sectPr>
          <w:pgSz w:w="12240" w:h="15840" w:orient="portrait"/>
          <w:cols w:equalWidth="0" w:num="1">
            <w:col w:w="11780"/>
          </w:cols>
          <w:pgMar w:left="120" w:top="336" w:right="340"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3590290</wp:posOffset>
            </wp:positionV>
            <wp:extent cx="3260090" cy="7334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60090" cy="733425"/>
                    </a:xfrm>
                    <a:prstGeom prst="rect">
                      <a:avLst/>
                    </a:prstGeom>
                    <a:noFill/>
                  </pic:spPr>
                </pic:pic>
              </a:graphicData>
            </a:graphic>
          </wp:anchor>
        </w:drawing>
      </w:r>
    </w:p>
    <w:p>
      <w:pPr>
        <w:sectPr>
          <w:pgSz w:w="12240" w:h="15840" w:orient="portrait"/>
          <w:cols w:equalWidth="0" w:num="1">
            <w:col w:w="10680"/>
          </w:cols>
          <w:pgMar w:left="120" w:top="337" w:right="1440" w:bottom="1440" w:gutter="0" w:footer="0" w:header="0"/>
        </w:sectPr>
      </w:pPr>
    </w:p>
    <w:bookmarkStart w:id="173" w:name="page174"/>
    <w:bookmarkEnd w:id="173"/>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auto"/>
        </w:rPr>
        <w:t>INFORMATION NOT REQUIRED IN PROSPECTUS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13. Other Expenses of Issuance and Distribution.</w:t>
      </w:r>
    </w:p>
    <w:p>
      <w:pPr>
        <w:spacing w:after="0" w:line="130" w:lineRule="exact"/>
        <w:rPr>
          <w:sz w:val="20"/>
          <w:szCs w:val="20"/>
          <w:color w:val="auto"/>
        </w:rPr>
      </w:pPr>
    </w:p>
    <w:p>
      <w:pPr>
        <w:jc w:val="both"/>
        <w:ind w:left="180" w:right="520" w:firstLine="465"/>
        <w:spacing w:after="0" w:line="263" w:lineRule="auto"/>
        <w:rPr>
          <w:sz w:val="20"/>
          <w:szCs w:val="20"/>
          <w:color w:val="auto"/>
        </w:rPr>
      </w:pPr>
      <w:r>
        <w:rPr>
          <w:rFonts w:ascii="Arial" w:cs="Arial" w:eastAsia="Arial" w:hAnsi="Arial"/>
          <w:sz w:val="19"/>
          <w:szCs w:val="19"/>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2240" w:h="15840" w:orient="portrait"/>
          <w:cols w:equalWidth="0" w:num="1">
            <w:col w:w="11800"/>
          </w:cols>
          <w:pgMar w:left="120" w:top="336" w:right="320" w:bottom="1440" w:gutter="0" w:footer="0" w:header="0"/>
        </w:sectPr>
      </w:pPr>
    </w:p>
    <w:p>
      <w:pPr>
        <w:spacing w:after="0" w:line="380"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-128905</wp:posOffset>
            </wp:positionV>
            <wp:extent cx="5017135" cy="153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17135" cy="153670"/>
                    </a:xfrm>
                    <a:prstGeom prst="rect">
                      <a:avLst/>
                    </a:prstGeom>
                    <a:noFill/>
                  </pic:spPr>
                </pic:pic>
              </a:graphicData>
            </a:graphic>
          </wp:anchor>
        </w:drawing>
      </w:r>
    </w:p>
    <w:p>
      <w:pPr>
        <w:spacing w:after="0" w:line="4"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FINRA filing fee</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-137160</wp:posOffset>
            </wp:positionV>
            <wp:extent cx="5017135" cy="1447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Accountants’ fees and expenses</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-137160</wp:posOffset>
            </wp:positionV>
            <wp:extent cx="5017135" cy="1447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6"/>
          <w:szCs w:val="16"/>
          <w:color w:val="auto"/>
        </w:rPr>
        <w:t>Transfer Agent’s fees and expenses</w:t>
      </w:r>
    </w:p>
    <w:p>
      <w:pPr>
        <w:spacing w:after="0" w:line="4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-130175</wp:posOffset>
            </wp:positionV>
            <wp:extent cx="5017135" cy="1447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17135" cy="144780"/>
                    </a:xfrm>
                    <a:prstGeom prst="rect">
                      <a:avLst/>
                    </a:prstGeom>
                    <a:noFill/>
                  </pic:spPr>
                </pic:pic>
              </a:graphicData>
            </a:graphic>
          </wp:anchor>
        </w:drawing>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Miscellaneous</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9"/>
          <w:szCs w:val="19"/>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-128905</wp:posOffset>
            </wp:positionV>
            <wp:extent cx="5017135" cy="1447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17135" cy="14478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142240</wp:posOffset>
            </wp:positionV>
            <wp:extent cx="7423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46" w:lineRule="exact"/>
        <w:rPr>
          <w:sz w:val="20"/>
          <w:szCs w:val="20"/>
          <w:color w:val="auto"/>
        </w:rPr>
      </w:pPr>
    </w:p>
    <w:p>
      <w:pPr>
        <w:ind w:left="640" w:hanging="461"/>
        <w:spacing w:after="0"/>
        <w:tabs>
          <w:tab w:leader="none" w:pos="6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To be provided by amendment.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22"/>
        <w:spacing w:after="0"/>
        <w:rPr>
          <w:sz w:val="20"/>
          <w:szCs w:val="20"/>
          <w:color w:val="auto"/>
        </w:rPr>
      </w:pPr>
      <w:r>
        <w:rPr>
          <w:rFonts w:ascii="Arial" w:cs="Arial" w:eastAsia="Arial" w:hAnsi="Arial"/>
          <w:sz w:val="13"/>
          <w:szCs w:val="13"/>
          <w:b w:val="1"/>
          <w:bCs w:val="1"/>
          <w:u w:val="single" w:color="auto"/>
          <w:color w:val="auto"/>
        </w:rPr>
        <w:t>Amount</w:t>
      </w:r>
    </w:p>
    <w:p>
      <w:pPr>
        <w:spacing w:after="0" w:line="46" w:lineRule="exact"/>
        <w:rPr>
          <w:sz w:val="20"/>
          <w:szCs w:val="20"/>
          <w:color w:val="auto"/>
        </w:rPr>
      </w:pPr>
    </w:p>
    <w:p>
      <w:pPr>
        <w:ind w:left="382" w:hanging="382"/>
        <w:spacing w:after="0"/>
        <w:tabs>
          <w:tab w:leader="none" w:pos="382" w:val="left"/>
        </w:tabs>
        <w:numPr>
          <w:ilvl w:val="0"/>
          <w:numId w:val="98"/>
        </w:numPr>
        <w:rPr>
          <w:rFonts w:ascii="Arial" w:cs="Arial" w:eastAsia="Arial" w:hAnsi="Arial"/>
          <w:sz w:val="19"/>
          <w:szCs w:val="19"/>
          <w:color w:val="auto"/>
        </w:rPr>
      </w:pPr>
      <w:r>
        <w:rPr>
          <w:rFonts w:ascii="Arial" w:cs="Arial" w:eastAsia="Arial" w:hAnsi="Arial"/>
          <w:sz w:val="19"/>
          <w:szCs w:val="19"/>
          <w:color w:val="auto"/>
        </w:rPr>
        <w:t>*</w:t>
      </w:r>
    </w:p>
    <w:p>
      <w:pPr>
        <w:spacing w:after="0" w:line="7"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9" w:lineRule="exact"/>
        <w:rPr>
          <w:rFonts w:ascii="Arial" w:cs="Arial" w:eastAsia="Arial" w:hAnsi="Arial"/>
          <w:sz w:val="19"/>
          <w:szCs w:val="19"/>
          <w:color w:val="auto"/>
        </w:rPr>
      </w:pPr>
    </w:p>
    <w:p>
      <w:pPr>
        <w:ind w:left="382"/>
        <w:spacing w:after="0"/>
        <w:rPr>
          <w:rFonts w:ascii="Arial" w:cs="Arial" w:eastAsia="Arial" w:hAnsi="Arial"/>
          <w:sz w:val="19"/>
          <w:szCs w:val="19"/>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619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5" w:lineRule="exact"/>
        <w:rPr>
          <w:sz w:val="20"/>
          <w:szCs w:val="20"/>
          <w:color w:val="auto"/>
        </w:rPr>
      </w:pPr>
    </w:p>
    <w:p>
      <w:pPr>
        <w:ind w:left="382" w:hanging="382"/>
        <w:spacing w:after="0"/>
        <w:tabs>
          <w:tab w:leader="none" w:pos="382" w:val="left"/>
        </w:tabs>
        <w:numPr>
          <w:ilvl w:val="0"/>
          <w:numId w:val="99"/>
        </w:numPr>
        <w:rPr>
          <w:rFonts w:ascii="Arial" w:cs="Arial" w:eastAsia="Arial" w:hAnsi="Arial"/>
          <w:sz w:val="19"/>
          <w:szCs w:val="19"/>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3619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19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3619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684" w:lineRule="exact"/>
        <w:rPr>
          <w:sz w:val="20"/>
          <w:szCs w:val="20"/>
          <w:color w:val="auto"/>
        </w:rPr>
      </w:pPr>
    </w:p>
    <w:p>
      <w:pPr>
        <w:sectPr>
          <w:pgSz w:w="12240" w:h="15840" w:orient="portrait"/>
          <w:cols w:equalWidth="0" w:num="2">
            <w:col w:w="8658" w:space="720"/>
            <w:col w:w="2422"/>
          </w:cols>
          <w:pgMar w:left="120" w:top="336" w:right="320" w:bottom="1440" w:gutter="0" w:footer="0" w:header="0"/>
          <w:type w:val="continuous"/>
        </w:sectPr>
      </w:pPr>
    </w:p>
    <w:p>
      <w:pPr>
        <w:spacing w:after="0" w:line="146"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14. Indemnification of Directors and Officers.</w:t>
      </w:r>
    </w:p>
    <w:p>
      <w:pPr>
        <w:spacing w:after="0" w:line="130" w:lineRule="exact"/>
        <w:rPr>
          <w:sz w:val="20"/>
          <w:szCs w:val="20"/>
          <w:color w:val="auto"/>
        </w:rPr>
      </w:pPr>
    </w:p>
    <w:p>
      <w:pPr>
        <w:ind w:left="180" w:right="100" w:firstLine="465"/>
        <w:spacing w:after="0" w:line="254" w:lineRule="auto"/>
        <w:rPr>
          <w:sz w:val="20"/>
          <w:szCs w:val="20"/>
          <w:color w:val="auto"/>
        </w:rPr>
      </w:pPr>
      <w:r>
        <w:rPr>
          <w:rFonts w:ascii="Arial" w:cs="Arial" w:eastAsia="Arial" w:hAnsi="Arial"/>
          <w:sz w:val="19"/>
          <w:szCs w:val="19"/>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207" w:lineRule="exact"/>
        <w:rPr>
          <w:sz w:val="20"/>
          <w:szCs w:val="20"/>
          <w:color w:val="auto"/>
        </w:rPr>
      </w:pPr>
    </w:p>
    <w:p>
      <w:pPr>
        <w:ind w:left="180" w:firstLine="465"/>
        <w:spacing w:after="0" w:line="254" w:lineRule="auto"/>
        <w:rPr>
          <w:sz w:val="20"/>
          <w:szCs w:val="20"/>
          <w:color w:val="auto"/>
        </w:rPr>
      </w:pPr>
      <w:r>
        <w:rPr>
          <w:rFonts w:ascii="Arial" w:cs="Arial" w:eastAsia="Arial" w:hAnsi="Arial"/>
          <w:sz w:val="19"/>
          <w:szCs w:val="19"/>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207" w:lineRule="exact"/>
        <w:rPr>
          <w:sz w:val="20"/>
          <w:szCs w:val="20"/>
          <w:color w:val="auto"/>
        </w:rPr>
      </w:pPr>
    </w:p>
    <w:p>
      <w:pPr>
        <w:ind w:left="180" w:right="660" w:firstLine="465"/>
        <w:spacing w:after="0" w:line="275" w:lineRule="auto"/>
        <w:rPr>
          <w:sz w:val="20"/>
          <w:szCs w:val="20"/>
          <w:color w:val="auto"/>
        </w:rPr>
      </w:pPr>
      <w:r>
        <w:rPr>
          <w:rFonts w:ascii="Arial" w:cs="Arial" w:eastAsia="Arial" w:hAnsi="Arial"/>
          <w:sz w:val="19"/>
          <w:szCs w:val="19"/>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15. Recent Sales of Unregistered Securities.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Since January 1, 2016, we have issued the following unregistered securities:</w:t>
      </w:r>
    </w:p>
    <w:p>
      <w:pPr>
        <w:spacing w:after="0" w:line="138" w:lineRule="exact"/>
        <w:rPr>
          <w:sz w:val="20"/>
          <w:szCs w:val="20"/>
          <w:color w:val="auto"/>
        </w:rPr>
      </w:pPr>
    </w:p>
    <w:p>
      <w:pPr>
        <w:ind w:left="1100" w:hanging="343"/>
        <w:spacing w:after="0" w:line="304" w:lineRule="auto"/>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II-1</w:t>
      </w:r>
    </w:p>
    <w:p>
      <w:pPr>
        <w:sectPr>
          <w:pgSz w:w="12240" w:h="15840" w:orient="portrait"/>
          <w:cols w:equalWidth="0" w:num="1">
            <w:col w:w="11800"/>
          </w:cols>
          <w:pgMar w:left="120" w:top="336" w:right="320" w:bottom="1440" w:gutter="0" w:footer="0" w:header="0"/>
          <w:type w:val="continuous"/>
        </w:sectPr>
      </w:pPr>
    </w:p>
    <w:bookmarkStart w:id="174" w:name="page175"/>
    <w:bookmarkEnd w:id="174"/>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9" w:lineRule="exact"/>
        <w:rPr>
          <w:sz w:val="20"/>
          <w:szCs w:val="20"/>
          <w:color w:val="auto"/>
        </w:rPr>
      </w:pPr>
    </w:p>
    <w:p>
      <w:pPr>
        <w:ind w:left="1100" w:right="40" w:hanging="343"/>
        <w:spacing w:after="0" w:line="263" w:lineRule="auto"/>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From January 1, 2016 through January 31, 2019, we granted to certain employees, consultants and directors options to purchase an aggregate of 24,765,900 shares of our Class B common stock under our 2011 Plan at exercise prices ranging from $0.30 to $16.02 per share, for an aggregate exercise price of $55,521,985.</w:t>
      </w:r>
    </w:p>
    <w:p>
      <w:pPr>
        <w:spacing w:after="0" w:line="94" w:lineRule="exact"/>
        <w:rPr>
          <w:rFonts w:ascii="Arial" w:cs="Arial" w:eastAsia="Arial" w:hAnsi="Arial"/>
          <w:sz w:val="19"/>
          <w:szCs w:val="19"/>
          <w:color w:val="auto"/>
        </w:rPr>
      </w:pPr>
    </w:p>
    <w:p>
      <w:pPr>
        <w:ind w:left="1100" w:right="160" w:hanging="343"/>
        <w:spacing w:after="0" w:line="263" w:lineRule="auto"/>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From January 1, 2016 through January 31, 2019, we issued and sold an aggregate of 20,456,615 shares of our Class B common stock upon the exercise of options under our 2011 Plan, at exercise prices ranging from $0.015 to $3.77 per share, for an aggregate exercise price of $4,665,015.</w:t>
      </w:r>
    </w:p>
    <w:p>
      <w:pPr>
        <w:spacing w:after="0" w:line="94" w:lineRule="exact"/>
        <w:rPr>
          <w:rFonts w:ascii="Arial" w:cs="Arial" w:eastAsia="Arial" w:hAnsi="Arial"/>
          <w:sz w:val="19"/>
          <w:szCs w:val="19"/>
          <w:color w:val="auto"/>
        </w:rPr>
      </w:pPr>
    </w:p>
    <w:p>
      <w:pPr>
        <w:ind w:left="1100" w:hanging="343"/>
        <w:spacing w:after="0"/>
        <w:tabs>
          <w:tab w:leader="none" w:pos="11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October 2018, we issued $15.0 million in principal amount of convertible promissory notes.</w:t>
      </w:r>
    </w:p>
    <w:p>
      <w:pPr>
        <w:spacing w:after="0" w:line="238" w:lineRule="exact"/>
        <w:rPr>
          <w:sz w:val="20"/>
          <w:szCs w:val="20"/>
          <w:color w:val="auto"/>
        </w:rPr>
      </w:pPr>
    </w:p>
    <w:p>
      <w:pPr>
        <w:ind w:left="180" w:right="260" w:firstLine="465"/>
        <w:spacing w:after="0" w:line="28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1" w:lineRule="exact"/>
        <w:rPr>
          <w:sz w:val="20"/>
          <w:szCs w:val="20"/>
          <w:color w:val="auto"/>
        </w:rPr>
      </w:pPr>
    </w:p>
    <w:p>
      <w:pPr>
        <w:jc w:val="both"/>
        <w:ind w:left="180" w:right="80" w:hanging="1"/>
        <w:spacing w:after="0" w:line="254" w:lineRule="auto"/>
        <w:tabs>
          <w:tab w:leader="none" w:pos="56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31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16. Exhibits and Financial Statement Schedules.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Exhibits.</w:t>
      </w: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20" w:type="dxa"/>
            <w:vAlign w:val="bottom"/>
          </w:tcPr>
          <w:p>
            <w:pPr>
              <w:spacing w:after="0"/>
              <w:rPr>
                <w:sz w:val="15"/>
                <w:szCs w:val="15"/>
                <w:color w:val="auto"/>
              </w:rPr>
            </w:pPr>
          </w:p>
        </w:tc>
        <w:tc>
          <w:tcPr>
            <w:tcW w:w="10480" w:type="dxa"/>
            <w:vAlign w:val="bottom"/>
          </w:tcPr>
          <w:p>
            <w:pPr>
              <w:spacing w:after="0"/>
              <w:rPr>
                <w:sz w:val="15"/>
                <w:szCs w:val="15"/>
                <w:color w:val="auto"/>
              </w:rPr>
            </w:pPr>
          </w:p>
        </w:tc>
      </w:tr>
      <w:tr>
        <w:trPr>
          <w:trHeight w:val="188"/>
        </w:trPr>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Number</w:t>
            </w:r>
          </w:p>
        </w:tc>
        <w:tc>
          <w:tcPr>
            <w:tcW w:w="620" w:type="dxa"/>
            <w:vAlign w:val="bottom"/>
          </w:tcPr>
          <w:p>
            <w:pPr>
              <w:spacing w:after="0"/>
              <w:rPr>
                <w:sz w:val="16"/>
                <w:szCs w:val="16"/>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Exhibit</w:t>
            </w:r>
          </w:p>
        </w:tc>
      </w:tr>
      <w:tr>
        <w:trPr>
          <w:trHeight w:val="327"/>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1.1*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Underwriting Agreement.</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Amended and Restated Certificate of Incorporation of the Registrant, as currently in effect.</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Amended and Restated Bylaws of the Registrant, as amended February 14, 2018, as currently in effect.</w:t>
            </w:r>
          </w:p>
        </w:tc>
      </w:tr>
      <w:tr>
        <w:trPr>
          <w:trHeight w:val="329"/>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3.3*</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2"/>
              </w:rPr>
              <w:t>Form of Amended and Restated Certificate of Incorporation of the Registrant, to be effective immediately prior to the completion of this</w:t>
            </w:r>
          </w:p>
        </w:tc>
      </w:tr>
      <w:tr>
        <w:trPr>
          <w:trHeight w:val="241"/>
        </w:trPr>
        <w:tc>
          <w:tcPr>
            <w:tcW w:w="540" w:type="dxa"/>
            <w:vAlign w:val="bottom"/>
          </w:tcPr>
          <w:p>
            <w:pPr>
              <w:spacing w:after="0"/>
              <w:rPr>
                <w:sz w:val="20"/>
                <w:szCs w:val="20"/>
                <w:color w:val="auto"/>
              </w:rPr>
            </w:pP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offering.</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3.4*</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Amended and Restated Bylaws of the Registrant, to be effective immediately prior to the completion of this offering.</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4.1*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Class A common stock certificate of the Registrant.</w:t>
            </w:r>
          </w:p>
        </w:tc>
      </w:tr>
      <w:tr>
        <w:trPr>
          <w:trHeight w:val="329"/>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4.2#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9"/>
              </w:rPr>
              <w:t>Third Amended and Restated Investors’ Rights Agreement by and among the Registrant and certain of its stockholders, dated</w:t>
            </w:r>
          </w:p>
        </w:tc>
      </w:tr>
      <w:tr>
        <w:trPr>
          <w:trHeight w:val="241"/>
        </w:trPr>
        <w:tc>
          <w:tcPr>
            <w:tcW w:w="540" w:type="dxa"/>
            <w:vAlign w:val="bottom"/>
          </w:tcPr>
          <w:p>
            <w:pPr>
              <w:spacing w:after="0"/>
              <w:rPr>
                <w:sz w:val="20"/>
                <w:szCs w:val="20"/>
                <w:color w:val="auto"/>
              </w:rPr>
            </w:pP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December 1, 2016.</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rPr>
              <w:t>5.1*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Opinion of Cooley LLP.</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84"/>
              </w:rPr>
              <w:t>10.1#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6"/>
              </w:rPr>
              <w:t>Zoom Video Communications, Inc. Fourth Amended and Restated 2011 Global Share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Zoom Video Communications, Inc. 2019 Equity Incentive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10.3*</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Zoom Video Communications, Inc. 2019 Employee Stock Purchase Plan and forms of agreements thereunder.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90"/>
              </w:rPr>
              <w:t>10.4*</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Form of Indemnification Agreement entered into by and between the Registrant and each director and executive officer.</w:t>
            </w:r>
          </w:p>
        </w:tc>
      </w:tr>
      <w:tr>
        <w:trPr>
          <w:trHeight w:val="342"/>
        </w:trPr>
        <w:tc>
          <w:tcPr>
            <w:tcW w:w="540" w:type="dxa"/>
            <w:vAlign w:val="bottom"/>
          </w:tcPr>
          <w:p>
            <w:pPr>
              <w:jc w:val="right"/>
              <w:ind w:right="27"/>
              <w:spacing w:after="0"/>
              <w:rPr>
                <w:sz w:val="20"/>
                <w:szCs w:val="20"/>
                <w:color w:val="auto"/>
              </w:rPr>
            </w:pPr>
            <w:r>
              <w:rPr>
                <w:rFonts w:ascii="Arial" w:cs="Arial" w:eastAsia="Arial" w:hAnsi="Arial"/>
                <w:sz w:val="19"/>
                <w:szCs w:val="19"/>
                <w:color w:val="auto"/>
                <w:w w:val="84"/>
              </w:rPr>
              <w:t>10.5#</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Eric S. Yuan, dated December 18, 2018.</w:t>
            </w:r>
          </w:p>
        </w:tc>
      </w:tr>
      <w:tr>
        <w:trPr>
          <w:trHeight w:val="385"/>
        </w:trPr>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80" w:type="dxa"/>
            <w:vAlign w:val="bottom"/>
          </w:tcPr>
          <w:p>
            <w:pPr>
              <w:ind w:left="4520"/>
              <w:spacing w:after="0"/>
              <w:rPr>
                <w:sz w:val="20"/>
                <w:szCs w:val="20"/>
                <w:color w:val="auto"/>
              </w:rPr>
            </w:pPr>
            <w:r>
              <w:rPr>
                <w:rFonts w:ascii="Arial" w:cs="Arial" w:eastAsia="Arial" w:hAnsi="Arial"/>
                <w:sz w:val="19"/>
                <w:szCs w:val="19"/>
                <w:color w:val="auto"/>
              </w:rPr>
              <w:t>II-2</w:t>
            </w:r>
          </w:p>
        </w:tc>
      </w:tr>
    </w:tbl>
    <w:p>
      <w:pPr>
        <w:sectPr>
          <w:pgSz w:w="12240" w:h="15840" w:orient="portrait"/>
          <w:cols w:equalWidth="0" w:num="1">
            <w:col w:w="11820"/>
          </w:cols>
          <w:pgMar w:left="120" w:top="336" w:right="300" w:bottom="1440" w:gutter="0" w:footer="0" w:header="0"/>
        </w:sectPr>
      </w:pPr>
    </w:p>
    <w:bookmarkStart w:id="175" w:name="page176"/>
    <w:bookmarkEnd w:id="175"/>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5"/>
                <w:szCs w:val="15"/>
                <w:b w:val="1"/>
                <w:bCs w:val="1"/>
                <w:color w:val="auto"/>
              </w:rPr>
              <w:t>Exhibit</w:t>
            </w:r>
          </w:p>
        </w:tc>
        <w:tc>
          <w:tcPr>
            <w:tcW w:w="620" w:type="dxa"/>
            <w:vAlign w:val="bottom"/>
          </w:tcPr>
          <w:p>
            <w:pPr>
              <w:spacing w:after="0"/>
              <w:rPr>
                <w:sz w:val="14"/>
                <w:szCs w:val="14"/>
                <w:color w:val="auto"/>
              </w:rPr>
            </w:pPr>
          </w:p>
        </w:tc>
        <w:tc>
          <w:tcPr>
            <w:tcW w:w="10480" w:type="dxa"/>
            <w:vAlign w:val="bottom"/>
          </w:tcPr>
          <w:p>
            <w:pPr>
              <w:spacing w:after="0"/>
              <w:rPr>
                <w:sz w:val="14"/>
                <w:szCs w:val="14"/>
                <w:color w:val="auto"/>
              </w:rPr>
            </w:pPr>
          </w:p>
        </w:tc>
      </w:tr>
      <w:tr>
        <w:trPr>
          <w:trHeight w:val="188"/>
        </w:trPr>
        <w:tc>
          <w:tcPr>
            <w:tcW w:w="5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Number</w:t>
            </w:r>
          </w:p>
        </w:tc>
        <w:tc>
          <w:tcPr>
            <w:tcW w:w="620" w:type="dxa"/>
            <w:vAlign w:val="bottom"/>
          </w:tcPr>
          <w:p>
            <w:pPr>
              <w:spacing w:after="0"/>
              <w:rPr>
                <w:sz w:val="16"/>
                <w:szCs w:val="16"/>
                <w:color w:val="auto"/>
              </w:rPr>
            </w:pPr>
          </w:p>
        </w:tc>
        <w:tc>
          <w:tcPr>
            <w:tcW w:w="104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Exhibit</w:t>
            </w:r>
          </w:p>
        </w:tc>
      </w:tr>
      <w:tr>
        <w:trPr>
          <w:trHeight w:val="327"/>
        </w:trPr>
        <w:tc>
          <w:tcPr>
            <w:tcW w:w="540" w:type="dxa"/>
            <w:vAlign w:val="bottom"/>
          </w:tcPr>
          <w:p>
            <w:pPr>
              <w:spacing w:after="0"/>
              <w:rPr>
                <w:sz w:val="20"/>
                <w:szCs w:val="20"/>
                <w:color w:val="auto"/>
              </w:rPr>
            </w:pPr>
            <w:r>
              <w:rPr>
                <w:rFonts w:ascii="Arial" w:cs="Arial" w:eastAsia="Arial" w:hAnsi="Arial"/>
                <w:sz w:val="19"/>
                <w:szCs w:val="19"/>
                <w:color w:val="auto"/>
              </w:rPr>
              <w:t>10.6#</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Aparna Bawa,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10.7#</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Janine Pelosi,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10.8#</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Confirmatory Offer Letter by and between the Registrant and Kelly Steckelberg, dated December 18, 2018.</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10.9#</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w w:val="96"/>
              </w:rPr>
              <w:t>Lease Agreement dated August 1, 2016, as amended, by and between the Registrant and KBSIII Almaden Financial Plaza, LLC.</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21.1#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List of subsidiaries of the Registrant.</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23.1*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Consent of KPMG LLP, independent registered public accounting firm.</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23.2*</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Consent of Cooley LLP (included in Exhibit 5.1).</w:t>
            </w:r>
          </w:p>
        </w:tc>
      </w:tr>
      <w:tr>
        <w:trPr>
          <w:trHeight w:val="342"/>
        </w:trPr>
        <w:tc>
          <w:tcPr>
            <w:tcW w:w="540" w:type="dxa"/>
            <w:vAlign w:val="bottom"/>
          </w:tcPr>
          <w:p>
            <w:pPr>
              <w:spacing w:after="0"/>
              <w:rPr>
                <w:sz w:val="20"/>
                <w:szCs w:val="20"/>
                <w:color w:val="auto"/>
              </w:rPr>
            </w:pPr>
            <w:r>
              <w:rPr>
                <w:rFonts w:ascii="Arial" w:cs="Arial" w:eastAsia="Arial" w:hAnsi="Arial"/>
                <w:sz w:val="19"/>
                <w:szCs w:val="19"/>
                <w:color w:val="auto"/>
              </w:rPr>
              <w:t>24.1</w:t>
            </w:r>
          </w:p>
        </w:tc>
        <w:tc>
          <w:tcPr>
            <w:tcW w:w="11100" w:type="dxa"/>
            <w:vAlign w:val="bottom"/>
            <w:gridSpan w:val="2"/>
          </w:tcPr>
          <w:p>
            <w:pPr>
              <w:ind w:left="620"/>
              <w:spacing w:after="0"/>
              <w:rPr>
                <w:sz w:val="20"/>
                <w:szCs w:val="20"/>
                <w:color w:val="auto"/>
              </w:rPr>
            </w:pPr>
            <w:r>
              <w:rPr>
                <w:rFonts w:ascii="Arial" w:cs="Arial" w:eastAsia="Arial" w:hAnsi="Arial"/>
                <w:sz w:val="19"/>
                <w:szCs w:val="19"/>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7423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166" w:lineRule="exact"/>
        <w:rPr>
          <w:sz w:val="20"/>
          <w:szCs w:val="20"/>
          <w:color w:val="auto"/>
        </w:rPr>
      </w:pPr>
    </w:p>
    <w:p>
      <w:pPr>
        <w:ind w:left="640" w:hanging="461"/>
        <w:spacing w:after="0"/>
        <w:tabs>
          <w:tab w:leader="none" w:pos="6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 be filed by amendment.</w:t>
      </w:r>
    </w:p>
    <w:p>
      <w:pPr>
        <w:spacing w:after="0" w:line="22"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Previously filed.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(b) Financial Statement Schedules.</w:t>
      </w:r>
    </w:p>
    <w:p>
      <w:pPr>
        <w:spacing w:after="0" w:line="238" w:lineRule="exact"/>
        <w:rPr>
          <w:sz w:val="20"/>
          <w:szCs w:val="20"/>
          <w:color w:val="auto"/>
        </w:rPr>
      </w:pPr>
    </w:p>
    <w:p>
      <w:pPr>
        <w:ind w:left="180" w:right="820" w:firstLine="465"/>
        <w:spacing w:after="0" w:line="275" w:lineRule="auto"/>
        <w:rPr>
          <w:sz w:val="20"/>
          <w:szCs w:val="20"/>
          <w:color w:val="auto"/>
        </w:rPr>
      </w:pPr>
      <w:r>
        <w:rPr>
          <w:rFonts w:ascii="Arial" w:cs="Arial" w:eastAsia="Arial" w:hAnsi="Arial"/>
          <w:sz w:val="19"/>
          <w:szCs w:val="19"/>
          <w:color w:val="auto"/>
        </w:rPr>
        <w:t>All financial statement schedules are omitted because the information required to be set forth therein is not applicable or is shown in the consolidated financial statements or the notes thereto.</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Item 17. Undertakings.</w:t>
      </w:r>
    </w:p>
    <w:p>
      <w:pPr>
        <w:spacing w:after="0" w:line="130" w:lineRule="exact"/>
        <w:rPr>
          <w:sz w:val="20"/>
          <w:szCs w:val="20"/>
          <w:color w:val="auto"/>
        </w:rPr>
      </w:pPr>
    </w:p>
    <w:p>
      <w:pPr>
        <w:ind w:left="180" w:right="180" w:firstLine="465"/>
        <w:spacing w:after="0" w:line="304"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0" w:lineRule="exact"/>
        <w:rPr>
          <w:sz w:val="20"/>
          <w:szCs w:val="20"/>
          <w:color w:val="auto"/>
        </w:rPr>
      </w:pPr>
    </w:p>
    <w:p>
      <w:pPr>
        <w:ind w:left="180" w:right="60" w:firstLine="465"/>
        <w:spacing w:after="0" w:line="254" w:lineRule="auto"/>
        <w:rPr>
          <w:sz w:val="20"/>
          <w:szCs w:val="20"/>
          <w:color w:val="auto"/>
        </w:rPr>
      </w:pPr>
      <w:r>
        <w:rPr>
          <w:rFonts w:ascii="Arial" w:cs="Arial" w:eastAsia="Arial" w:hAnsi="Arial"/>
          <w:sz w:val="19"/>
          <w:szCs w:val="19"/>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undersigned registrant hereby undertakes that:</w:t>
      </w:r>
    </w:p>
    <w:p>
      <w:pPr>
        <w:spacing w:after="0" w:line="238" w:lineRule="exact"/>
        <w:rPr>
          <w:sz w:val="20"/>
          <w:szCs w:val="20"/>
          <w:color w:val="auto"/>
        </w:rPr>
      </w:pPr>
    </w:p>
    <w:p>
      <w:pPr>
        <w:jc w:val="both"/>
        <w:ind w:left="180" w:right="360" w:firstLine="465"/>
        <w:spacing w:after="0" w:line="284" w:lineRule="auto"/>
        <w:tabs>
          <w:tab w:leader="none" w:pos="91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77" w:lineRule="exact"/>
        <w:rPr>
          <w:rFonts w:ascii="Arial" w:cs="Arial" w:eastAsia="Arial" w:hAnsi="Arial"/>
          <w:sz w:val="18"/>
          <w:szCs w:val="18"/>
          <w:color w:val="auto"/>
        </w:rPr>
      </w:pPr>
    </w:p>
    <w:p>
      <w:pPr>
        <w:ind w:left="180" w:right="140" w:firstLine="465"/>
        <w:spacing w:after="0" w:line="263" w:lineRule="auto"/>
        <w:tabs>
          <w:tab w:leader="none" w:pos="91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II-3</w:t>
      </w:r>
    </w:p>
    <w:p>
      <w:pPr>
        <w:sectPr>
          <w:pgSz w:w="12240" w:h="15840" w:orient="portrait"/>
          <w:cols w:equalWidth="0" w:num="1">
            <w:col w:w="11820"/>
          </w:cols>
          <w:pgMar w:left="120" w:top="337" w:right="300" w:bottom="1440" w:gutter="0" w:footer="0" w:header="0"/>
        </w:sectPr>
      </w:pPr>
    </w:p>
    <w:bookmarkStart w:id="176" w:name="page177"/>
    <w:bookmarkEnd w:id="176"/>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6920" w:type="dxa"/>
            <w:vAlign w:val="bottom"/>
          </w:tcPr>
          <w:p>
            <w:pPr>
              <w:spacing w:after="0"/>
              <w:rPr>
                <w:sz w:val="20"/>
                <w:szCs w:val="20"/>
                <w:color w:val="auto"/>
              </w:rPr>
            </w:pPr>
            <w:r>
              <w:rPr>
                <w:rFonts w:ascii="Arial" w:cs="Arial" w:eastAsia="Arial" w:hAnsi="Arial"/>
                <w:sz w:val="19"/>
                <w:szCs w:val="19"/>
                <w:color w:val="auto"/>
                <w:w w:val="91"/>
              </w:rPr>
              <w:t>the undersigned, thereunto duly authorized, in the City of San Jose, State of California, on</w:t>
            </w:r>
          </w:p>
        </w:tc>
        <w:tc>
          <w:tcPr>
            <w:tcW w:w="4720" w:type="dxa"/>
            <w:vAlign w:val="bottom"/>
            <w:gridSpan w:val="2"/>
          </w:tcPr>
          <w:p>
            <w:pPr>
              <w:jc w:val="right"/>
              <w:ind w:right="3365"/>
              <w:spacing w:after="0"/>
              <w:rPr>
                <w:sz w:val="20"/>
                <w:szCs w:val="20"/>
                <w:color w:val="auto"/>
              </w:rPr>
            </w:pPr>
            <w:r>
              <w:rPr>
                <w:rFonts w:ascii="Arial" w:cs="Arial" w:eastAsia="Arial" w:hAnsi="Arial"/>
                <w:sz w:val="19"/>
                <w:szCs w:val="19"/>
                <w:color w:val="auto"/>
              </w:rPr>
              <w:t>, 2019.</w:t>
            </w:r>
          </w:p>
        </w:tc>
      </w:tr>
      <w:tr>
        <w:trPr>
          <w:trHeight w:val="472"/>
        </w:trPr>
        <w:tc>
          <w:tcPr>
            <w:tcW w:w="69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Arial" w:cs="Arial" w:eastAsia="Arial" w:hAnsi="Arial"/>
                <w:sz w:val="19"/>
                <w:szCs w:val="19"/>
                <w:b w:val="1"/>
                <w:bCs w:val="1"/>
                <w:color w:val="auto"/>
              </w:rPr>
              <w:t>ZOOM VIDEO COMMUNICATIONS, INC.</w:t>
            </w:r>
          </w:p>
        </w:tc>
      </w:tr>
      <w:tr>
        <w:trPr>
          <w:trHeight w:val="457"/>
        </w:trPr>
        <w:tc>
          <w:tcPr>
            <w:tcW w:w="692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Arial" w:cs="Arial" w:eastAsia="Arial" w:hAnsi="Arial"/>
                <w:sz w:val="19"/>
                <w:szCs w:val="19"/>
                <w:color w:val="auto"/>
              </w:rPr>
              <w:t>By:</w:t>
            </w:r>
          </w:p>
        </w:tc>
      </w:tr>
      <w:tr>
        <w:trPr>
          <w:trHeight w:val="209"/>
        </w:trPr>
        <w:tc>
          <w:tcPr>
            <w:tcW w:w="6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Borders>
              <w:top w:val="single" w:sz="8" w:color="auto"/>
            </w:tcBorders>
          </w:tcPr>
          <w:p>
            <w:pPr>
              <w:ind w:left="100"/>
              <w:spacing w:after="0" w:line="209" w:lineRule="exact"/>
              <w:rPr>
                <w:sz w:val="20"/>
                <w:szCs w:val="20"/>
                <w:color w:val="auto"/>
              </w:rPr>
            </w:pPr>
            <w:r>
              <w:rPr>
                <w:rFonts w:ascii="Arial" w:cs="Arial" w:eastAsia="Arial" w:hAnsi="Arial"/>
                <w:sz w:val="19"/>
                <w:szCs w:val="19"/>
                <w:color w:val="auto"/>
              </w:rPr>
              <w:t>Eric S. Yuan</w:t>
            </w:r>
          </w:p>
        </w:tc>
      </w:tr>
      <w:tr>
        <w:trPr>
          <w:trHeight w:val="241"/>
        </w:trPr>
        <w:tc>
          <w:tcPr>
            <w:tcW w:w="6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60" w:type="dxa"/>
            <w:vAlign w:val="bottom"/>
          </w:tcPr>
          <w:p>
            <w:pPr>
              <w:ind w:left="100"/>
              <w:spacing w:after="0"/>
              <w:rPr>
                <w:sz w:val="20"/>
                <w:szCs w:val="20"/>
                <w:color w:val="auto"/>
              </w:rPr>
            </w:pPr>
            <w:r>
              <w:rPr>
                <w:rFonts w:ascii="Arial" w:cs="Arial" w:eastAsia="Arial" w:hAnsi="Arial"/>
                <w:sz w:val="19"/>
                <w:szCs w:val="19"/>
                <w:color w:val="auto"/>
              </w:rPr>
              <w:t>President and Chief Executive Officer</w:t>
            </w:r>
          </w:p>
        </w:tc>
      </w:tr>
      <w:tr>
        <w:trPr>
          <w:trHeight w:val="385"/>
        </w:trPr>
        <w:tc>
          <w:tcPr>
            <w:tcW w:w="6920" w:type="dxa"/>
            <w:vAlign w:val="bottom"/>
          </w:tcPr>
          <w:p>
            <w:pPr>
              <w:ind w:left="5680"/>
              <w:spacing w:after="0"/>
              <w:rPr>
                <w:sz w:val="20"/>
                <w:szCs w:val="20"/>
                <w:color w:val="auto"/>
              </w:rPr>
            </w:pPr>
            <w:r>
              <w:rPr>
                <w:rFonts w:ascii="Arial" w:cs="Arial" w:eastAsia="Arial" w:hAnsi="Arial"/>
                <w:sz w:val="19"/>
                <w:szCs w:val="19"/>
                <w:color w:val="auto"/>
              </w:rPr>
              <w:t>II-4</w:t>
            </w:r>
          </w:p>
        </w:tc>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2240" w:h="15840" w:orient="portrait"/>
          <w:cols w:equalWidth="0" w:num="1">
            <w:col w:w="11820"/>
          </w:cols>
          <w:pgMar w:left="120" w:top="336" w:right="300" w:bottom="1440" w:gutter="0" w:footer="0" w:header="0"/>
        </w:sectPr>
      </w:pPr>
    </w:p>
    <w:bookmarkStart w:id="177" w:name="page178"/>
    <w:bookmarkEnd w:id="177"/>
    <w:p>
      <w:pPr>
        <w:spacing w:after="0"/>
        <w:rPr>
          <w:rFonts w:ascii="Arial" w:cs="Arial" w:eastAsia="Arial" w:hAnsi="Arial"/>
          <w:sz w:val="19"/>
          <w:szCs w:val="19"/>
          <w:b w:val="1"/>
          <w:bCs w:val="1"/>
          <w:u w:val="single" w:color="auto"/>
          <w:color w:val="0000EE"/>
        </w:rPr>
      </w:pPr>
      <w:r>
        <w:rPr>
          <w:rFonts w:ascii="Arial" w:cs="Arial" w:eastAsia="Arial" w:hAnsi="Arial"/>
          <w:sz w:val="19"/>
          <w:szCs w:val="19"/>
          <w:b w:val="1"/>
          <w:bCs w:val="1"/>
          <w:u w:val="single" w:color="auto"/>
          <w:color w:val="0000EE"/>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hyperlink w:anchor="page4">
        <w:r>
          <w:rPr>
            <w:rFonts w:ascii="Arial" w:cs="Arial" w:eastAsia="Arial" w:hAnsi="Arial"/>
            <w:sz w:val="19"/>
            <w:szCs w:val="19"/>
            <w:b w:val="1"/>
            <w:bCs w:val="1"/>
            <w:u w:val="single" w:color="auto"/>
            <w:color w:val="0000EE"/>
          </w:rPr>
          <w:t>Table of Contents</w:t>
        </w:r>
      </w:hyperlink>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ind w:left="180" w:right="200" w:firstLine="465"/>
        <w:spacing w:after="0" w:line="28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78" w:lineRule="exact"/>
        <w:rPr>
          <w:sz w:val="20"/>
          <w:szCs w:val="20"/>
          <w:color w:val="auto"/>
        </w:rPr>
      </w:pPr>
    </w:p>
    <w:p>
      <w:pPr>
        <w:ind w:left="180" w:right="240" w:firstLine="465"/>
        <w:spacing w:after="0" w:line="275" w:lineRule="auto"/>
        <w:rPr>
          <w:sz w:val="20"/>
          <w:szCs w:val="20"/>
          <w:color w:val="auto"/>
        </w:rPr>
      </w:pPr>
      <w:r>
        <w:rPr>
          <w:rFonts w:ascii="Arial" w:cs="Arial" w:eastAsia="Arial" w:hAnsi="Arial"/>
          <w:sz w:val="19"/>
          <w:szCs w:val="19"/>
          <w:color w:val="auto"/>
        </w:rPr>
        <w:t>Pursuant to the requirements of the Securities Act of 1933, this registration statement has been signed by the following persons in the capacities and on the dates indicated.</w:t>
      </w:r>
    </w:p>
    <w:p>
      <w:pPr>
        <w:sectPr>
          <w:pgSz w:w="12240" w:h="15840" w:orient="portrait"/>
          <w:cols w:equalWidth="0" w:num="1">
            <w:col w:w="11820"/>
          </w:cols>
          <w:pgMar w:left="120" w:top="337" w:right="300" w:bottom="1440" w:gutter="0" w:footer="0" w:header="0"/>
        </w:sectPr>
      </w:pPr>
    </w:p>
    <w:p>
      <w:pPr>
        <w:spacing w:after="0" w:line="203" w:lineRule="exact"/>
        <w:rPr>
          <w:sz w:val="20"/>
          <w:szCs w:val="20"/>
          <w:color w:val="auto"/>
        </w:rPr>
      </w:pPr>
    </w:p>
    <w:p>
      <w:pPr>
        <w:jc w:val="center"/>
        <w:ind w:left="780"/>
        <w:spacing w:after="0"/>
        <w:rPr>
          <w:sz w:val="20"/>
          <w:szCs w:val="20"/>
          <w:color w:val="auto"/>
        </w:rPr>
      </w:pPr>
      <w:r>
        <w:rPr>
          <w:rFonts w:ascii="Arial" w:cs="Arial" w:eastAsia="Arial" w:hAnsi="Arial"/>
          <w:sz w:val="15"/>
          <w:szCs w:val="15"/>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258445</wp:posOffset>
            </wp:positionV>
            <wp:extent cx="29883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8831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13970</wp:posOffset>
            </wp:positionV>
            <wp:extent cx="29883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Roy Benhorin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7"/>
          <w:szCs w:val="17"/>
          <w:color w:val="auto"/>
        </w:rPr>
        <w:t>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193040</wp:posOffset>
            </wp:positionV>
            <wp:extent cx="29883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26"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178435</wp:posOffset>
            </wp:positionV>
            <wp:extent cx="298831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88310" cy="8890"/>
                    </a:xfrm>
                    <a:prstGeom prst="rect">
                      <a:avLst/>
                    </a:prstGeom>
                    <a:noFill/>
                  </pic:spPr>
                </pic:pic>
              </a:graphicData>
            </a:graphic>
          </wp:anchor>
        </w:drawing>
      </w:r>
    </w:p>
    <w:p>
      <w:pPr>
        <w:spacing w:after="0" w:line="303" w:lineRule="exact"/>
        <w:rPr>
          <w:sz w:val="20"/>
          <w:szCs w:val="20"/>
          <w:color w:val="auto"/>
        </w:rPr>
      </w:pPr>
    </w:p>
    <w:p>
      <w:pPr>
        <w:jc w:val="center"/>
        <w:ind w:left="780"/>
        <w:spacing w:after="0"/>
        <w:rPr>
          <w:sz w:val="20"/>
          <w:szCs w:val="20"/>
          <w:color w:val="auto"/>
        </w:rPr>
      </w:pPr>
      <w:r>
        <w:rPr>
          <w:rFonts w:ascii="Arial" w:cs="Arial" w:eastAsia="Arial" w:hAnsi="Arial"/>
          <w:sz w:val="19"/>
          <w:szCs w:val="19"/>
          <w:color w:val="auto"/>
        </w:rPr>
        <w:t>Bart Swanson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5"/>
                <w:szCs w:val="15"/>
                <w:b w:val="1"/>
                <w:bCs w:val="1"/>
                <w:color w:val="auto"/>
              </w:rPr>
              <w:t>Title</w:t>
            </w:r>
          </w:p>
        </w:tc>
        <w:tc>
          <w:tcPr>
            <w:tcW w:w="240" w:type="dxa"/>
            <w:vAlign w:val="bottom"/>
          </w:tcPr>
          <w:p>
            <w:pPr>
              <w:spacing w:after="0"/>
              <w:rPr>
                <w:sz w:val="16"/>
                <w:szCs w:val="16"/>
                <w:color w:val="auto"/>
              </w:rPr>
            </w:pPr>
          </w:p>
        </w:tc>
        <w:tc>
          <w:tcPr>
            <w:tcW w:w="212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b w:val="1"/>
                <w:bCs w:val="1"/>
                <w:color w:val="auto"/>
              </w:rPr>
              <w:t>Date</w:t>
            </w:r>
          </w:p>
        </w:tc>
      </w:tr>
      <w:tr>
        <w:trPr>
          <w:trHeight w:val="422"/>
        </w:trPr>
        <w:tc>
          <w:tcPr>
            <w:tcW w:w="4700" w:type="dxa"/>
            <w:vAlign w:val="bottom"/>
            <w:gridSpan w:val="2"/>
          </w:tcPr>
          <w:p>
            <w:pPr>
              <w:spacing w:after="0"/>
              <w:rPr>
                <w:sz w:val="20"/>
                <w:szCs w:val="20"/>
                <w:color w:val="auto"/>
              </w:rPr>
            </w:pPr>
            <w:r>
              <w:rPr>
                <w:rFonts w:ascii="Arial" w:cs="Arial" w:eastAsia="Arial" w:hAnsi="Arial"/>
                <w:sz w:val="19"/>
                <w:szCs w:val="19"/>
                <w:color w:val="auto"/>
              </w:rPr>
              <w:t>President, Chief Executive Officer and</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241"/>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Director </w:t>
            </w:r>
            <w:r>
              <w:rPr>
                <w:rFonts w:ascii="Arial" w:cs="Arial" w:eastAsia="Arial" w:hAnsi="Arial"/>
                <w:sz w:val="19"/>
                <w:szCs w:val="19"/>
                <w:i w:val="1"/>
                <w:iCs w:val="1"/>
                <w:color w:val="auto"/>
              </w:rPr>
              <w:t>(Principal Executive Officer)</w:t>
            </w:r>
          </w:p>
        </w:tc>
        <w:tc>
          <w:tcPr>
            <w:tcW w:w="2120" w:type="dxa"/>
            <w:vAlign w:val="bottom"/>
          </w:tcPr>
          <w:p>
            <w:pPr>
              <w:spacing w:after="0"/>
              <w:rPr>
                <w:sz w:val="20"/>
                <w:szCs w:val="20"/>
                <w:color w:val="auto"/>
              </w:rPr>
            </w:pPr>
          </w:p>
        </w:tc>
      </w:tr>
      <w:tr>
        <w:trPr>
          <w:trHeight w:val="456"/>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Chief Financial Officer </w:t>
            </w:r>
            <w:r>
              <w:rPr>
                <w:rFonts w:ascii="Arial" w:cs="Arial" w:eastAsia="Arial" w:hAnsi="Arial"/>
                <w:sz w:val="19"/>
                <w:szCs w:val="19"/>
                <w:i w:val="1"/>
                <w:iCs w:val="1"/>
                <w:color w:val="auto"/>
              </w:rPr>
              <w:t>(Principal Financial Officer)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 xml:space="preserve">Chief Accounting Officer </w:t>
            </w:r>
            <w:r>
              <w:rPr>
                <w:rFonts w:ascii="Arial" w:cs="Arial" w:eastAsia="Arial" w:hAnsi="Arial"/>
                <w:sz w:val="19"/>
                <w:szCs w:val="19"/>
                <w:i w:val="1"/>
                <w:iCs w:val="1"/>
                <w:color w:val="auto"/>
              </w:rPr>
              <w:t>(Principal Accounting Officer)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542"/>
        </w:trPr>
        <w:tc>
          <w:tcPr>
            <w:tcW w:w="4700" w:type="dxa"/>
            <w:vAlign w:val="bottom"/>
            <w:gridSpan w:val="2"/>
          </w:tcPr>
          <w:p>
            <w:pPr>
              <w:spacing w:after="0"/>
              <w:rPr>
                <w:sz w:val="20"/>
                <w:szCs w:val="20"/>
                <w:color w:val="auto"/>
              </w:rPr>
            </w:pPr>
            <w:r>
              <w:rPr>
                <w:rFonts w:ascii="Arial" w:cs="Arial" w:eastAsia="Arial" w:hAnsi="Arial"/>
                <w:sz w:val="19"/>
                <w:szCs w:val="19"/>
                <w:color w:val="auto"/>
              </w:rPr>
              <w:t>Director</w:t>
            </w:r>
          </w:p>
        </w:tc>
        <w:tc>
          <w:tcPr>
            <w:tcW w:w="2120" w:type="dxa"/>
            <w:vAlign w:val="bottom"/>
          </w:tcPr>
          <w:p>
            <w:pPr>
              <w:jc w:val="right"/>
              <w:ind w:right="347"/>
              <w:spacing w:after="0"/>
              <w:rPr>
                <w:sz w:val="20"/>
                <w:szCs w:val="20"/>
                <w:color w:val="auto"/>
              </w:rPr>
            </w:pPr>
            <w:r>
              <w:rPr>
                <w:rFonts w:ascii="Arial" w:cs="Arial" w:eastAsia="Arial" w:hAnsi="Arial"/>
                <w:sz w:val="19"/>
                <w:szCs w:val="19"/>
                <w:color w:val="auto"/>
              </w:rPr>
              <w:t>, 2019</w:t>
            </w:r>
          </w:p>
        </w:tc>
      </w:tr>
      <w:tr>
        <w:trPr>
          <w:trHeight w:val="471"/>
        </w:trPr>
        <w:tc>
          <w:tcPr>
            <w:tcW w:w="4700" w:type="dxa"/>
            <w:vAlign w:val="bottom"/>
            <w:gridSpan w:val="2"/>
          </w:tcPr>
          <w:p>
            <w:pPr>
              <w:ind w:left="860"/>
              <w:spacing w:after="0"/>
              <w:rPr>
                <w:sz w:val="20"/>
                <w:szCs w:val="20"/>
                <w:color w:val="auto"/>
              </w:rPr>
            </w:pPr>
            <w:r>
              <w:rPr>
                <w:rFonts w:ascii="Arial" w:cs="Arial" w:eastAsia="Arial" w:hAnsi="Arial"/>
                <w:sz w:val="19"/>
                <w:szCs w:val="19"/>
                <w:color w:val="auto"/>
              </w:rPr>
              <w:t>II-5</w:t>
            </w:r>
          </w:p>
        </w:tc>
        <w:tc>
          <w:tcPr>
            <w:tcW w:w="2120" w:type="dxa"/>
            <w:vAlign w:val="bottom"/>
          </w:tcPr>
          <w:p>
            <w:pPr>
              <w:spacing w:after="0"/>
              <w:rPr>
                <w:sz w:val="24"/>
                <w:szCs w:val="24"/>
                <w:color w:val="auto"/>
              </w:rPr>
            </w:pPr>
          </w:p>
        </w:tc>
      </w:tr>
    </w:tbl>
    <w:p>
      <w:pPr>
        <w:spacing w:after="0" w:line="1" w:lineRule="exact"/>
        <w:rPr>
          <w:sz w:val="20"/>
          <w:szCs w:val="20"/>
          <w:color w:val="auto"/>
        </w:rPr>
      </w:pPr>
    </w:p>
    <w:sectPr>
      <w:pgSz w:w="12240" w:h="15840" w:orient="portrait"/>
      <w:cols w:equalWidth="0" w:num="2">
        <w:col w:w="4280" w:space="720"/>
        <w:col w:w="6820"/>
      </w:cols>
      <w:pgMar w:left="120" w:top="337" w:right="3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lowerRoman"/>
      <w:start w:val="3"/>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2"/>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Roman"/>
      <w:start w:val="2"/>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1)"/>
      <w:numFmt w:val="decimal"/>
      <w:start w:val="2"/>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2"/>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7"/>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3"/>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1)"/>
      <w:numFmt w:val="lowerRoman"/>
      <w:start w:val="3"/>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abstractNum>
  <w:abstractNum w:abstractNumId="90">
    <w:nsid w:val="488AC1A"/>
    <w:multiLevelType w:val="hybridMultilevel"/>
    <w:lvl w:ilvl="0">
      <w:lvlJc w:val="left"/>
      <w:lvlText w:val="(%1)"/>
      <w:numFmt w:val="lowerLetter"/>
      <w:start w:val="2"/>
    </w:lvl>
  </w:abstractNum>
  <w:abstractNum w:abstractNumId="91">
    <w:nsid w:val="5FB8011C"/>
    <w:multiLevelType w:val="hybridMultilevel"/>
    <w:lvl w:ilvl="0">
      <w:lvlJc w:val="left"/>
      <w:lvlText w:val="%1."/>
      <w:numFmt w:val="decimal"/>
      <w:start w:val="718"/>
    </w:lvl>
  </w:abstractNum>
  <w:abstractNum w:abstractNumId="92">
    <w:nsid w:val="6AA78F7F"/>
    <w:multiLevelType w:val="hybridMultilevel"/>
    <w:lvl w:ilvl="0">
      <w:lvlJc w:val="left"/>
      <w:lvlText w:val="%1."/>
      <w:numFmt w:val="decimal"/>
      <w:start w:val="6"/>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1)"/>
      <w:numFmt w:val="lowerLetter"/>
      <w:start w:val="2"/>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2"/>
    </w:lvl>
  </w:abstractNum>
  <w:abstractNum w:abstractNumId="101">
    <w:nsid w:val="3FA62ACA"/>
    <w:multiLevelType w:val="hybridMultilevel"/>
    <w:lvl w:ilvl="0">
      <w:lvlJc w:val="left"/>
      <w:lvlText w:val="%1."/>
      <w:numFmt w:val="decimal"/>
      <w:start w:val="70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2019-12-15T17:23:16Z</dcterms:created>
  <dcterms:modified xsi:type="dcterms:W3CDTF">2019-12-15T17:23:16Z</dcterms:modified>
</cp:coreProperties>
</file>