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12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SCHEDULE 13G/A</w:t>
            </w:r>
          </w:p>
        </w:tc>
        <w:tc>
          <w:tcPr>
            <w:tcW w:w="2480" w:type="dxa"/>
            <w:vAlign w:val="bottom"/>
          </w:tcPr>
          <w:p>
            <w:pPr>
              <w:ind w:left="1060"/>
              <w:spacing w:after="0"/>
              <w:rPr>
                <w:sz w:val="20"/>
                <w:szCs w:val="20"/>
                <w:color w:val="auto"/>
              </w:rPr>
            </w:pPr>
            <w:r>
              <w:rPr>
                <w:rFonts w:ascii="Arial" w:cs="Arial" w:eastAsia="Arial" w:hAnsi="Arial"/>
                <w:sz w:val="18"/>
                <w:szCs w:val="18"/>
                <w:b w:val="1"/>
                <w:bCs w:val="1"/>
                <w:color w:val="auto"/>
                <w:w w:val="84"/>
              </w:rPr>
              <w:t>Page 2 of 11 Pages</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Emergence Capital Partners III, L.P.</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80" w:type="dxa"/>
            <w:vAlign w:val="bottom"/>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9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5,784,568 (1)(2)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9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5,784,568 (1)(2)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1"/>
              </w:rPr>
              <w:t>5,784,568 (1)(2)</w:t>
            </w: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2.8% (2)(3)(4)</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5,784,568 shares of Class B Common Stock held directly by Emergence Capital Partners III, L.P.</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1" w:lineRule="exact"/>
        <w:rPr>
          <w:rFonts w:ascii="Arial" w:cs="Arial" w:eastAsia="Arial" w:hAnsi="Arial"/>
          <w:sz w:val="18"/>
          <w:szCs w:val="18"/>
          <w:color w:val="auto"/>
        </w:rPr>
      </w:pPr>
    </w:p>
    <w:p>
      <w:pPr>
        <w:ind w:left="460" w:right="60" w:hanging="452"/>
        <w:spacing w:after="0" w:line="270"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5,784,568 shares of Class B Common Stock held by Emergence Capital Partners III, L.P. represents 5.4% of the aggregate combined voting power of the Class A Common Stock and Class B Common Stock.</w:t>
      </w:r>
    </w:p>
    <w:p>
      <w:pPr>
        <w:sectPr>
          <w:pgSz w:w="11900" w:h="16838" w:orient="portrait"/>
          <w:cols w:equalWidth="0" w:num="1">
            <w:col w:w="11260"/>
          </w:cols>
          <w:pgMar w:left="320" w:top="270"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12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SCHEDULE 13G/A</w:t>
            </w:r>
          </w:p>
        </w:tc>
        <w:tc>
          <w:tcPr>
            <w:tcW w:w="2480" w:type="dxa"/>
            <w:vAlign w:val="bottom"/>
          </w:tcPr>
          <w:p>
            <w:pPr>
              <w:ind w:left="1060"/>
              <w:spacing w:after="0"/>
              <w:rPr>
                <w:sz w:val="20"/>
                <w:szCs w:val="20"/>
                <w:color w:val="auto"/>
              </w:rPr>
            </w:pPr>
            <w:r>
              <w:rPr>
                <w:rFonts w:ascii="Arial" w:cs="Arial" w:eastAsia="Arial" w:hAnsi="Arial"/>
                <w:sz w:val="18"/>
                <w:szCs w:val="18"/>
                <w:b w:val="1"/>
                <w:bCs w:val="1"/>
                <w:color w:val="auto"/>
                <w:w w:val="84"/>
              </w:rPr>
              <w:t>Page 3 of 11 Pages</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EZP Opportunity, L.P.</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80" w:type="dxa"/>
            <w:vAlign w:val="bottom"/>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9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704,257 (1)(2)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9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704,257 (1)(2)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4"/>
              </w:rPr>
              <w:t>704,257 (1)(2)</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0.3% (2)(3)(4)</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704,257 shares of Class B Common Stock held directly by EZP Opportunity, L.P.</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1" w:lineRule="exact"/>
        <w:rPr>
          <w:rFonts w:ascii="Arial" w:cs="Arial" w:eastAsia="Arial" w:hAnsi="Arial"/>
          <w:sz w:val="18"/>
          <w:szCs w:val="18"/>
          <w:color w:val="auto"/>
        </w:rPr>
      </w:pPr>
    </w:p>
    <w:p>
      <w:pPr>
        <w:ind w:left="460" w:right="60" w:hanging="452"/>
        <w:spacing w:after="0" w:line="270"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704,257 shares of Class B Common Stock held by EZP Opportunity, L.P. represents 0.7% of the aggregate combined voting power of the Class A Common Stock and Class B Common Stock.</w:t>
      </w:r>
    </w:p>
    <w:p>
      <w:pPr>
        <w:sectPr>
          <w:pgSz w:w="11900" w:h="16838" w:orient="portrait"/>
          <w:cols w:equalWidth="0" w:num="1">
            <w:col w:w="11260"/>
          </w:cols>
          <w:pgMar w:left="320" w:top="270" w:right="3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12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SCHEDULE 13G/A</w:t>
            </w:r>
          </w:p>
        </w:tc>
        <w:tc>
          <w:tcPr>
            <w:tcW w:w="2480" w:type="dxa"/>
            <w:vAlign w:val="bottom"/>
          </w:tcPr>
          <w:p>
            <w:pPr>
              <w:ind w:left="1060"/>
              <w:spacing w:after="0"/>
              <w:rPr>
                <w:sz w:val="20"/>
                <w:szCs w:val="20"/>
                <w:color w:val="auto"/>
              </w:rPr>
            </w:pPr>
            <w:r>
              <w:rPr>
                <w:rFonts w:ascii="Arial" w:cs="Arial" w:eastAsia="Arial" w:hAnsi="Arial"/>
                <w:sz w:val="18"/>
                <w:szCs w:val="18"/>
                <w:b w:val="1"/>
                <w:bCs w:val="1"/>
                <w:color w:val="auto"/>
                <w:w w:val="84"/>
              </w:rPr>
              <w:t>Page 4 of 11 Pages</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Emergence Equity Partners III, L.P.</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80" w:type="dxa"/>
            <w:vAlign w:val="bottom"/>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9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6,488,825 (1)(2)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9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6,488,825 (1)(2)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1"/>
              </w:rPr>
              <w:t>6,488,825 (1)(2)</w:t>
            </w: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3.1% (2)(3)(4)</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right="8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6,488,825 shares of Class B Common Stock held directly by Emergence Capital Partners III, L.P. (“</w:t>
      </w:r>
      <w:r>
        <w:rPr>
          <w:rFonts w:ascii="Arial" w:cs="Arial" w:eastAsia="Arial" w:hAnsi="Arial"/>
          <w:sz w:val="18"/>
          <w:szCs w:val="18"/>
          <w:b w:val="1"/>
          <w:bCs w:val="1"/>
          <w:u w:val="single" w:color="auto"/>
          <w:color w:val="auto"/>
        </w:rPr>
        <w:t>ECP III</w:t>
      </w:r>
      <w:r>
        <w:rPr>
          <w:rFonts w:ascii="Arial" w:cs="Arial" w:eastAsia="Arial" w:hAnsi="Arial"/>
          <w:sz w:val="18"/>
          <w:szCs w:val="18"/>
          <w:color w:val="auto"/>
        </w:rPr>
        <w:t>”) and EZP Opportunity, L.P. (“</w:t>
      </w:r>
      <w:r>
        <w:rPr>
          <w:rFonts w:ascii="Arial" w:cs="Arial" w:eastAsia="Arial" w:hAnsi="Arial"/>
          <w:sz w:val="18"/>
          <w:szCs w:val="18"/>
          <w:b w:val="1"/>
          <w:bCs w:val="1"/>
          <w:u w:val="single" w:color="auto"/>
          <w:color w:val="auto"/>
        </w:rPr>
        <w:t>EZP</w:t>
      </w:r>
      <w:r>
        <w:rPr>
          <w:rFonts w:ascii="Arial" w:cs="Arial" w:eastAsia="Arial" w:hAnsi="Arial"/>
          <w:sz w:val="18"/>
          <w:szCs w:val="18"/>
          <w:color w:val="auto"/>
        </w:rPr>
        <w:t>”) Emergence Equity Partners III, L.P. is the sole general partner of ECP III and EZP, and may be deemed to beneficially own the shares of stock held directly by each ECP III and EZP.</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1" w:lineRule="exact"/>
        <w:rPr>
          <w:rFonts w:ascii="Arial" w:cs="Arial" w:eastAsia="Arial" w:hAnsi="Arial"/>
          <w:sz w:val="18"/>
          <w:szCs w:val="18"/>
          <w:color w:val="auto"/>
        </w:rPr>
      </w:pPr>
    </w:p>
    <w:p>
      <w:pPr>
        <w:ind w:left="460" w:right="60" w:hanging="452"/>
        <w:spacing w:after="0" w:line="270"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represent 6.0% of the aggregate combined voting power of the Class A Common Stock and Class B Common Stock.</w:t>
      </w:r>
    </w:p>
    <w:p>
      <w:pPr>
        <w:sectPr>
          <w:pgSz w:w="11900" w:h="16838" w:orient="portrait"/>
          <w:cols w:equalWidth="0" w:num="1">
            <w:col w:w="11260"/>
          </w:cols>
          <w:pgMar w:left="320" w:top="270"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12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SCHEDULE 13G/A</w:t>
            </w:r>
          </w:p>
        </w:tc>
        <w:tc>
          <w:tcPr>
            <w:tcW w:w="2480" w:type="dxa"/>
            <w:vAlign w:val="bottom"/>
          </w:tcPr>
          <w:p>
            <w:pPr>
              <w:ind w:left="1060"/>
              <w:spacing w:after="0"/>
              <w:rPr>
                <w:sz w:val="20"/>
                <w:szCs w:val="20"/>
                <w:color w:val="auto"/>
              </w:rPr>
            </w:pPr>
            <w:r>
              <w:rPr>
                <w:rFonts w:ascii="Arial" w:cs="Arial" w:eastAsia="Arial" w:hAnsi="Arial"/>
                <w:sz w:val="18"/>
                <w:szCs w:val="18"/>
                <w:b w:val="1"/>
                <w:bCs w:val="1"/>
                <w:color w:val="auto"/>
                <w:w w:val="84"/>
              </w:rPr>
              <w:t>Page 5 of 11 Pages</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Emergence GP Partners, LLC</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80" w:type="dxa"/>
            <w:vAlign w:val="bottom"/>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9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6,488,825 (1)(2)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9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6,488,825 (1)(2)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1"/>
              </w:rPr>
              <w:t>6,488,825 (1)(2)</w:t>
            </w: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3.1% (2)(3)(4)</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left="460" w:right="4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6,488,825 shares of Class B Common Stock held directly by ECP III and EZP. Emergence GP Partners, LLC is the sole general partner of Emergence Equity Partners III, L.P., which is the sole general partner of ECP III and EZP, and may be deemed to beneficially own the shares of stock held directly by ECP III and EZP.</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1" w:lineRule="exact"/>
        <w:rPr>
          <w:rFonts w:ascii="Arial" w:cs="Arial" w:eastAsia="Arial" w:hAnsi="Arial"/>
          <w:sz w:val="18"/>
          <w:szCs w:val="18"/>
          <w:color w:val="auto"/>
        </w:rPr>
      </w:pPr>
    </w:p>
    <w:p>
      <w:pPr>
        <w:ind w:left="460" w:right="60" w:hanging="452"/>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represent 6.0% of the aggregate combined voting power of the Class A Common Stock and Class B Common Stock.</w:t>
      </w:r>
    </w:p>
    <w:p>
      <w:pPr>
        <w:sectPr>
          <w:pgSz w:w="11900" w:h="16838" w:orient="portrait"/>
          <w:cols w:equalWidth="0" w:num="1">
            <w:col w:w="11260"/>
          </w:cols>
          <w:pgMar w:left="320" w:top="270"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12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SCHEDULE 13G/A</w:t>
            </w:r>
          </w:p>
        </w:tc>
        <w:tc>
          <w:tcPr>
            <w:tcW w:w="2480" w:type="dxa"/>
            <w:vAlign w:val="bottom"/>
          </w:tcPr>
          <w:p>
            <w:pPr>
              <w:ind w:left="1060"/>
              <w:spacing w:after="0"/>
              <w:rPr>
                <w:sz w:val="20"/>
                <w:szCs w:val="20"/>
                <w:color w:val="auto"/>
              </w:rPr>
            </w:pPr>
            <w:r>
              <w:rPr>
                <w:rFonts w:ascii="Arial" w:cs="Arial" w:eastAsia="Arial" w:hAnsi="Arial"/>
                <w:sz w:val="18"/>
                <w:szCs w:val="18"/>
                <w:b w:val="1"/>
                <w:bCs w:val="1"/>
                <w:color w:val="auto"/>
                <w:w w:val="84"/>
              </w:rPr>
              <w:t>Page 6 of 11 Pages</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Gordon Ritter</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80" w:type="dxa"/>
            <w:vAlign w:val="bottom"/>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9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United States of America</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7,197,096 (1)(2)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9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7,197,096 (1)(2)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1"/>
              </w:rPr>
              <w:t>7,197,096 (1)(2)</w:t>
            </w: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3.4% (2)(3)(4)</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right="60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6,488,825 shares of Class B Common Stock held directly by ECP III and EZP and 708,271 shares of Class A Common Stock held directly by Mr. Ritter.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1"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and the 708,271 shares of Class A Common Stock held by Mr. Ritter collectively represent 6.1% of the aggregate combined voting power of the Class A Common Stock and Class B Common Stock.</w:t>
      </w:r>
    </w:p>
    <w:p>
      <w:pPr>
        <w:sectPr>
          <w:pgSz w:w="11900" w:h="16838" w:orient="portrait"/>
          <w:cols w:equalWidth="0" w:num="1">
            <w:col w:w="11260"/>
          </w:cols>
          <w:pgMar w:left="320" w:top="270" w:right="3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12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SCHEDULE 13G/A</w:t>
            </w:r>
          </w:p>
        </w:tc>
        <w:tc>
          <w:tcPr>
            <w:tcW w:w="2480" w:type="dxa"/>
            <w:vAlign w:val="bottom"/>
          </w:tcPr>
          <w:p>
            <w:pPr>
              <w:ind w:left="1060"/>
              <w:spacing w:after="0"/>
              <w:rPr>
                <w:sz w:val="20"/>
                <w:szCs w:val="20"/>
                <w:color w:val="auto"/>
              </w:rPr>
            </w:pPr>
            <w:r>
              <w:rPr>
                <w:rFonts w:ascii="Arial" w:cs="Arial" w:eastAsia="Arial" w:hAnsi="Arial"/>
                <w:sz w:val="18"/>
                <w:szCs w:val="18"/>
                <w:b w:val="1"/>
                <w:bCs w:val="1"/>
                <w:color w:val="auto"/>
                <w:w w:val="84"/>
              </w:rPr>
              <w:t>Page 7 of 11 Pages</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Jason Green</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80" w:type="dxa"/>
            <w:vAlign w:val="bottom"/>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90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United States of America</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7,223,876 (1)(2)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9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7,223,876 (1)(2)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9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1"/>
              </w:rPr>
              <w:t>7,223,876 (1)(2)</w:t>
            </w: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3.4% (2)(3)(4)</w:t>
            </w: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right="60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6,488,825 shares of Class B Common Stock held directly by ECP III and EZP and 735,051 shares of Class A Common Stock held directly by Mr. Green.</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1"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and the 735,051 shares of Class A Common Stock held by Mr. Green collectively represent 6.1% of the aggregate combined voting power of the Class A Common Stock and Class B Common Stock.</w:t>
      </w:r>
    </w:p>
    <w:p>
      <w:pPr>
        <w:sectPr>
          <w:pgSz w:w="11900" w:h="16838" w:orient="portrait"/>
          <w:cols w:equalWidth="0" w:num="1">
            <w:col w:w="11260"/>
          </w:cols>
          <w:pgMar w:left="320" w:top="270"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CUSIP No. 98980L101</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-206375</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11 Pages</w:t>
      </w:r>
    </w:p>
    <w:p>
      <w:pPr>
        <w:spacing w:after="0" w:line="191" w:lineRule="exact"/>
        <w:rPr>
          <w:sz w:val="20"/>
          <w:szCs w:val="20"/>
          <w:color w:val="auto"/>
        </w:rPr>
      </w:pPr>
    </w:p>
    <w:p>
      <w:pPr>
        <w:sectPr>
          <w:pgSz w:w="11900" w:h="16838" w:orient="portrait"/>
          <w:cols w:equalWidth="0" w:num="3">
            <w:col w:w="4380" w:space="720"/>
            <w:col w:w="4020" w:space="720"/>
            <w:col w:w="1400"/>
          </w:cols>
          <w:pgMar w:left="320" w:top="270" w:right="3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Issuer</w:t>
      </w:r>
    </w:p>
    <w:p>
      <w:pPr>
        <w:spacing w:after="0" w:line="155" w:lineRule="exact"/>
        <w:rPr>
          <w:sz w:val="20"/>
          <w:szCs w:val="20"/>
          <w:color w:val="auto"/>
        </w:rPr>
      </w:pPr>
    </w:p>
    <w:p>
      <w:pPr>
        <w:sectPr>
          <w:pgSz w:w="11900" w:h="16838" w:orient="portrait"/>
          <w:cols w:equalWidth="0" w:num="2">
            <w:col w:w="1560" w:space="720"/>
            <w:col w:w="8960"/>
          </w:cols>
          <w:pgMar w:left="320" w:top="270" w:right="339" w:bottom="1440" w:gutter="0" w:footer="0" w:header="0"/>
          <w:type w:val="continuous"/>
        </w:sectPr>
      </w:pPr>
    </w:p>
    <w:p>
      <w:pPr>
        <w:ind w:left="2280" w:hanging="1273"/>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6"/>
          <w:szCs w:val="16"/>
          <w:color w:val="auto"/>
        </w:rPr>
        <w:t>Zoom Video Communications, Inc. (the “</w:t>
      </w:r>
      <w:r>
        <w:rPr>
          <w:rFonts w:ascii="Arial" w:cs="Arial" w:eastAsia="Arial" w:hAnsi="Arial"/>
          <w:sz w:val="16"/>
          <w:szCs w:val="16"/>
          <w:b w:val="1"/>
          <w:bCs w:val="1"/>
          <w:color w:val="auto"/>
        </w:rPr>
        <w:t>Issuer</w:t>
      </w:r>
      <w:r>
        <w:rPr>
          <w:rFonts w:ascii="Arial" w:cs="Arial" w:eastAsia="Arial" w:hAnsi="Arial"/>
          <w:sz w:val="16"/>
          <w:szCs w:val="16"/>
          <w:color w:val="auto"/>
        </w:rPr>
        <w:t>”)</w:t>
      </w:r>
    </w:p>
    <w:p>
      <w:pPr>
        <w:spacing w:after="0" w:line="144" w:lineRule="exact"/>
        <w:rPr>
          <w:rFonts w:ascii="Arial" w:cs="Arial" w:eastAsia="Arial" w:hAnsi="Arial"/>
          <w:sz w:val="18"/>
          <w:szCs w:val="18"/>
          <w:color w:val="auto"/>
        </w:rPr>
      </w:pPr>
    </w:p>
    <w:p>
      <w:pPr>
        <w:ind w:left="2280" w:hanging="1273"/>
        <w:spacing w:after="0"/>
        <w:tabs>
          <w:tab w:leader="none" w:pos="2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Address of Issuer’s Principal Executive Offices:</w:t>
      </w:r>
    </w:p>
    <w:p>
      <w:pPr>
        <w:spacing w:after="0" w:line="128" w:lineRule="exact"/>
        <w:rPr>
          <w:rFonts w:ascii="Arial" w:cs="Arial" w:eastAsia="Arial" w:hAnsi="Arial"/>
          <w:sz w:val="17"/>
          <w:szCs w:val="17"/>
          <w:color w:val="auto"/>
        </w:rPr>
      </w:pPr>
    </w:p>
    <w:p>
      <w:pPr>
        <w:ind w:left="2280"/>
        <w:spacing w:after="0"/>
        <w:rPr>
          <w:rFonts w:ascii="Arial" w:cs="Arial" w:eastAsia="Arial" w:hAnsi="Arial"/>
          <w:sz w:val="17"/>
          <w:szCs w:val="17"/>
          <w:color w:val="auto"/>
        </w:rPr>
      </w:pPr>
      <w:r>
        <w:rPr>
          <w:rFonts w:ascii="Arial" w:cs="Arial" w:eastAsia="Arial" w:hAnsi="Arial"/>
          <w:sz w:val="18"/>
          <w:szCs w:val="18"/>
          <w:color w:val="auto"/>
        </w:rPr>
        <w:t>55 Almaden Boulevard</w:t>
      </w:r>
    </w:p>
    <w:p>
      <w:pPr>
        <w:spacing w:after="0" w:line="22" w:lineRule="exact"/>
        <w:rPr>
          <w:rFonts w:ascii="Arial" w:cs="Arial" w:eastAsia="Arial" w:hAnsi="Arial"/>
          <w:sz w:val="17"/>
          <w:szCs w:val="17"/>
          <w:color w:val="auto"/>
        </w:rPr>
      </w:pPr>
    </w:p>
    <w:p>
      <w:pPr>
        <w:ind w:left="2280"/>
        <w:spacing w:after="0"/>
        <w:rPr>
          <w:rFonts w:ascii="Arial" w:cs="Arial" w:eastAsia="Arial" w:hAnsi="Arial"/>
          <w:sz w:val="17"/>
          <w:szCs w:val="17"/>
          <w:color w:val="auto"/>
        </w:rPr>
      </w:pPr>
      <w:r>
        <w:rPr>
          <w:rFonts w:ascii="Arial" w:cs="Arial" w:eastAsia="Arial" w:hAnsi="Arial"/>
          <w:sz w:val="18"/>
          <w:szCs w:val="18"/>
          <w:color w:val="auto"/>
        </w:rPr>
        <w:t>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rFonts w:ascii="Arial" w:cs="Arial" w:eastAsia="Arial" w:hAnsi="Arial"/>
          <w:sz w:val="17"/>
          <w:szCs w:val="17"/>
          <w:color w:val="auto"/>
        </w:rPr>
      </w:pPr>
    </w:p>
    <w:p>
      <w:pPr>
        <w:ind w:left="2280"/>
        <w:spacing w:after="0"/>
        <w:rPr>
          <w:rFonts w:ascii="Arial" w:cs="Arial" w:eastAsia="Arial" w:hAnsi="Arial"/>
          <w:sz w:val="17"/>
          <w:szCs w:val="17"/>
          <w:color w:val="auto"/>
        </w:rPr>
      </w:pPr>
      <w:r>
        <w:rPr>
          <w:rFonts w:ascii="Arial" w:cs="Arial" w:eastAsia="Arial" w:hAnsi="Arial"/>
          <w:sz w:val="18"/>
          <w:szCs w:val="18"/>
          <w:color w:val="auto"/>
        </w:rPr>
        <w:t>San Jose, California 95113</w:t>
      </w:r>
    </w:p>
    <w:p>
      <w:pPr>
        <w:sectPr>
          <w:pgSz w:w="11900" w:h="16838" w:orient="portrait"/>
          <w:cols w:equalWidth="0" w:num="1">
            <w:col w:w="11240"/>
          </w:cols>
          <w:pgMar w:left="320" w:top="270" w:right="3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Filing Person</w:t>
      </w:r>
    </w:p>
    <w:p>
      <w:pPr>
        <w:spacing w:after="0" w:line="144" w:lineRule="exact"/>
        <w:rPr>
          <w:sz w:val="20"/>
          <w:szCs w:val="20"/>
          <w:color w:val="auto"/>
        </w:rPr>
      </w:pPr>
    </w:p>
    <w:p>
      <w:pPr>
        <w:sectPr>
          <w:pgSz w:w="11900" w:h="16838" w:orient="portrait"/>
          <w:cols w:equalWidth="0" w:num="2">
            <w:col w:w="1560" w:space="720"/>
            <w:col w:w="8960"/>
          </w:cols>
          <w:pgMar w:left="320" w:top="270" w:right="3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(a) –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Persons Filing; Address; Citizenship:</w:t>
      </w:r>
    </w:p>
    <w:p>
      <w:pPr>
        <w:spacing w:after="0" w:line="117"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Emergence Capital Partners III, L.P., a Delaware limited partnership;</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  EZP Opportunity, L.P., a Delaware limited partnership;</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 Emergence Equity Partners III, L.P., a Delaware limited partnership;</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(iv) Emergence GP Partners, LLC, a Delaware limited liability company;</w:t>
      </w:r>
    </w:p>
    <w:p>
      <w:pPr>
        <w:spacing w:after="0" w:line="131"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Gordon Ritter, a citizen of the United States of America; and</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 Jason Green, a citizen of the United States of America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address of the principal business office of each of the reporting persons are 160 Bovet Road, Suite 300, San Mateo,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California 94402.</w:t>
      </w:r>
    </w:p>
    <w:p>
      <w:pPr>
        <w:spacing w:after="0" w:line="116" w:lineRule="exact"/>
        <w:rPr>
          <w:sz w:val="20"/>
          <w:szCs w:val="20"/>
          <w:color w:val="auto"/>
        </w:rPr>
      </w:pPr>
    </w:p>
    <w:p>
      <w:pPr>
        <w:sectPr>
          <w:pgSz w:w="11900" w:h="16838" w:orient="portrait"/>
          <w:cols w:equalWidth="0" w:num="2">
            <w:col w:w="1580" w:space="700"/>
            <w:col w:w="8960"/>
          </w:cols>
          <w:pgMar w:left="320" w:top="270" w:right="339" w:bottom="1440" w:gutter="0" w:footer="0" w:header="0"/>
          <w:type w:val="continuous"/>
        </w:sectPr>
      </w:pPr>
    </w:p>
    <w:p>
      <w:pPr>
        <w:ind w:left="2280" w:hanging="1273"/>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280" w:right="7760" w:hanging="1273"/>
        <w:spacing w:after="0" w:line="420" w:lineRule="auto"/>
        <w:tabs>
          <w:tab w:leader="none" w:pos="2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tbl>
      <w:tblPr>
        <w:tblLayout w:type="fixed"/>
        <w:tblInd w:w="1000" w:type="dxa"/>
        <w:tblCellMar>
          <w:top w:w="0" w:type="dxa"/>
          <w:left w:w="0" w:type="dxa"/>
          <w:bottom w:w="0" w:type="dxa"/>
          <w:right w:w="0" w:type="dxa"/>
        </w:tblCellMar>
      </w:tblP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(a)</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Broker or dealer registered under Section 15 of the Act;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Bank as defined in Section 3(a)(6) of the Act;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(d)</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Investment company registered under Section 8 of the Investment Company Act of 1940;</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(e)</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(f)</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(g)</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(h)</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w w:val="93"/>
              </w:rPr>
              <w:t>A savings associations as defined in Section 3(b) of the Federal Deposit Insurance Act (12 U.S.C. 1813);</w:t>
            </w:r>
          </w:p>
        </w:tc>
      </w:tr>
      <w:tr>
        <w:trPr>
          <w:trHeight w:val="290"/>
        </w:trPr>
        <w:tc>
          <w:tcPr>
            <w:tcW w:w="740" w:type="dxa"/>
            <w:vAlign w:val="bottom"/>
          </w:tcPr>
          <w:p>
            <w:pPr>
              <w:spacing w:after="0"/>
              <w:rPr>
                <w:sz w:val="20"/>
                <w:szCs w:val="20"/>
                <w:color w:val="auto"/>
              </w:rPr>
            </w:pPr>
            <w:r>
              <w:rPr>
                <w:rFonts w:ascii="Arial" w:cs="Arial" w:eastAsia="Arial" w:hAnsi="Arial"/>
                <w:sz w:val="18"/>
                <w:szCs w:val="18"/>
                <w:color w:val="auto"/>
              </w:rPr>
              <w:t>(i)</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w:t>
            </w:r>
          </w:p>
        </w:tc>
      </w:tr>
      <w:tr>
        <w:trPr>
          <w:trHeight w:val="230"/>
        </w:trPr>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rPr>
              <w:t>Investment Company Act of 1940;</w:t>
            </w:r>
          </w:p>
        </w:tc>
      </w:tr>
      <w:tr>
        <w:trPr>
          <w:trHeight w:val="344"/>
        </w:trPr>
        <w:tc>
          <w:tcPr>
            <w:tcW w:w="740" w:type="dxa"/>
            <w:vAlign w:val="bottom"/>
          </w:tcPr>
          <w:p>
            <w:pPr>
              <w:spacing w:after="0"/>
              <w:rPr>
                <w:sz w:val="20"/>
                <w:szCs w:val="20"/>
                <w:color w:val="auto"/>
              </w:rPr>
            </w:pPr>
            <w:r>
              <w:rPr>
                <w:rFonts w:ascii="Arial" w:cs="Arial" w:eastAsia="Arial" w:hAnsi="Arial"/>
                <w:sz w:val="18"/>
                <w:szCs w:val="18"/>
                <w:color w:val="auto"/>
              </w:rPr>
              <w:t>(j)</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rPr>
              <w:t>A non-U.S. institution in accordance with Rule 240.13d-1(b)(1)(ii)(J);</w:t>
            </w:r>
          </w:p>
        </w:tc>
      </w:tr>
      <w:tr>
        <w:trPr>
          <w:trHeight w:val="290"/>
        </w:trPr>
        <w:tc>
          <w:tcPr>
            <w:tcW w:w="740" w:type="dxa"/>
            <w:vAlign w:val="bottom"/>
          </w:tcPr>
          <w:p>
            <w:pPr>
              <w:spacing w:after="0"/>
              <w:rPr>
                <w:sz w:val="20"/>
                <w:szCs w:val="20"/>
                <w:color w:val="auto"/>
              </w:rPr>
            </w:pPr>
            <w:r>
              <w:rPr>
                <w:rFonts w:ascii="Arial" w:cs="Arial" w:eastAsia="Arial" w:hAnsi="Arial"/>
                <w:sz w:val="18"/>
                <w:szCs w:val="18"/>
                <w:color w:val="auto"/>
              </w:rPr>
              <w:t>(k)</w:t>
            </w:r>
          </w:p>
        </w:tc>
        <w:tc>
          <w:tcPr>
            <w:tcW w:w="10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8160" w:type="dxa"/>
            <w:vAlign w:val="bottom"/>
          </w:tcPr>
          <w:p>
            <w:pPr>
              <w:ind w:left="360"/>
              <w:spacing w:after="0"/>
              <w:rPr>
                <w:sz w:val="20"/>
                <w:szCs w:val="20"/>
                <w:color w:val="auto"/>
              </w:rPr>
            </w:pPr>
            <w:r>
              <w:rPr>
                <w:rFonts w:ascii="Arial" w:cs="Arial" w:eastAsia="Arial" w:hAnsi="Arial"/>
                <w:sz w:val="18"/>
                <w:szCs w:val="18"/>
                <w:color w:val="auto"/>
                <w:w w:val="92"/>
              </w:rPr>
              <w:t>Group, in accordance with Rule 240.13d-1(b)(1)(ii)(K). If filing as a non-U.S. institution in accordance with</w:t>
            </w:r>
          </w:p>
        </w:tc>
      </w:tr>
      <w:tr>
        <w:trPr>
          <w:trHeight w:val="230"/>
        </w:trPr>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rPr>
              <w:t>Rule 240.13d-1(b)(1)(ii)(J), please specify the type of institution:</w:t>
            </w:r>
          </w:p>
        </w:tc>
      </w:tr>
    </w:tbl>
    <w:p>
      <w:pPr>
        <w:spacing w:after="0" w:line="9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w:t>
      </w:r>
    </w:p>
    <w:p>
      <w:pPr>
        <w:sectPr>
          <w:pgSz w:w="11900" w:h="16838" w:orient="portrait"/>
          <w:cols w:equalWidth="0" w:num="1">
            <w:col w:w="11240"/>
          </w:cols>
          <w:pgMar w:left="320" w:top="27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color w:val="auto"/>
        </w:rPr>
        <w:t>CUSIP No. 98980L101</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-206375</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9 of 11 Pages</w:t>
      </w:r>
    </w:p>
    <w:p>
      <w:pPr>
        <w:spacing w:after="0" w:line="222" w:lineRule="exact"/>
        <w:rPr>
          <w:sz w:val="20"/>
          <w:szCs w:val="20"/>
          <w:color w:val="auto"/>
        </w:rPr>
      </w:pPr>
    </w:p>
    <w:p>
      <w:pPr>
        <w:sectPr>
          <w:pgSz w:w="11900" w:h="16838" w:orient="portrait"/>
          <w:cols w:equalWidth="0" w:num="3">
            <w:col w:w="4380" w:space="720"/>
            <w:col w:w="4020" w:space="720"/>
            <w:col w:w="1400"/>
          </w:cols>
          <w:pgMar w:left="320" w:top="270" w:right="33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540" w:space="700"/>
            <w:col w:w="10000"/>
          </w:cols>
          <w:pgMar w:left="320" w:top="270" w:right="339" w:bottom="1440" w:gutter="0" w:footer="0" w:header="0"/>
          <w:type w:val="continuous"/>
        </w:sectPr>
      </w:pPr>
    </w:p>
    <w:p>
      <w:pPr>
        <w:ind w:left="1480" w:hanging="244"/>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3" w:lineRule="exact"/>
        <w:rPr>
          <w:rFonts w:ascii="Arial" w:cs="Arial" w:eastAsia="Arial" w:hAnsi="Arial"/>
          <w:sz w:val="18"/>
          <w:szCs w:val="18"/>
          <w:color w:val="auto"/>
        </w:rPr>
      </w:pPr>
    </w:p>
    <w:p>
      <w:pPr>
        <w:ind w:left="2560" w:right="40" w:hanging="365"/>
        <w:spacing w:after="0" w:line="272" w:lineRule="auto"/>
        <w:tabs>
          <w:tab w:leader="none" w:pos="255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Emergence Capital Partners III, L.P. (“</w:t>
      </w:r>
      <w:r>
        <w:rPr>
          <w:rFonts w:ascii="Arial" w:cs="Arial" w:eastAsia="Arial" w:hAnsi="Arial"/>
          <w:sz w:val="17"/>
          <w:szCs w:val="17"/>
          <w:b w:val="1"/>
          <w:bCs w:val="1"/>
          <w:u w:val="single" w:color="auto"/>
          <w:color w:val="auto"/>
        </w:rPr>
        <w:t>ECP III</w:t>
      </w:r>
      <w:r>
        <w:rPr>
          <w:rFonts w:ascii="Arial" w:cs="Arial" w:eastAsia="Arial" w:hAnsi="Arial"/>
          <w:sz w:val="17"/>
          <w:szCs w:val="17"/>
          <w:color w:val="auto"/>
        </w:rPr>
        <w:t>”) directly owns 5,784,568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2.8%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5,784,568 shares of Class B Common Stock held by ECP III represents 5.4% of the aggregate combined voting power of the Class A Common Stock and Class B Common Stock.</w:t>
      </w:r>
    </w:p>
    <w:p>
      <w:pPr>
        <w:spacing w:after="0" w:line="63" w:lineRule="exact"/>
        <w:rPr>
          <w:rFonts w:ascii="Arial" w:cs="Arial" w:eastAsia="Arial" w:hAnsi="Arial"/>
          <w:sz w:val="17"/>
          <w:szCs w:val="17"/>
          <w:color w:val="auto"/>
        </w:rPr>
      </w:pPr>
    </w:p>
    <w:p>
      <w:pPr>
        <w:ind w:left="2560" w:right="40" w:hanging="365"/>
        <w:spacing w:after="0" w:line="272" w:lineRule="auto"/>
        <w:tabs>
          <w:tab w:leader="none" w:pos="2546" w:val="left"/>
        </w:tabs>
        <w:numPr>
          <w:ilvl w:val="1"/>
          <w:numId w:val="11"/>
        </w:numPr>
        <w:rPr>
          <w:rFonts w:ascii="Arial" w:cs="Arial" w:eastAsia="Arial" w:hAnsi="Arial"/>
          <w:sz w:val="17"/>
          <w:szCs w:val="17"/>
          <w:color w:val="auto"/>
        </w:rPr>
      </w:pPr>
      <w:r>
        <w:rPr>
          <w:rFonts w:ascii="Arial" w:cs="Arial" w:eastAsia="Arial" w:hAnsi="Arial"/>
          <w:sz w:val="17"/>
          <w:szCs w:val="17"/>
          <w:color w:val="auto"/>
        </w:rPr>
        <w:t>EZP Opportunity, L.P. (“</w:t>
      </w:r>
      <w:r>
        <w:rPr>
          <w:rFonts w:ascii="Arial" w:cs="Arial" w:eastAsia="Arial" w:hAnsi="Arial"/>
          <w:sz w:val="17"/>
          <w:szCs w:val="17"/>
          <w:b w:val="1"/>
          <w:bCs w:val="1"/>
          <w:u w:val="single" w:color="auto"/>
          <w:color w:val="auto"/>
        </w:rPr>
        <w:t>EZP</w:t>
      </w:r>
      <w:r>
        <w:rPr>
          <w:rFonts w:ascii="Arial" w:cs="Arial" w:eastAsia="Arial" w:hAnsi="Arial"/>
          <w:sz w:val="17"/>
          <w:szCs w:val="17"/>
          <w:color w:val="auto"/>
        </w:rPr>
        <w:t>”) directly owns 704,257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0.3%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704,257 shares of Class B Common Stock held by EZP represents 0.7% of the aggregate combined voting power of the Class A Common Stock and Class B Common Stock.</w:t>
      </w:r>
    </w:p>
    <w:p>
      <w:pPr>
        <w:spacing w:after="0" w:line="63" w:lineRule="exact"/>
        <w:rPr>
          <w:rFonts w:ascii="Arial" w:cs="Arial" w:eastAsia="Arial" w:hAnsi="Arial"/>
          <w:sz w:val="17"/>
          <w:szCs w:val="17"/>
          <w:color w:val="auto"/>
        </w:rPr>
      </w:pPr>
    </w:p>
    <w:p>
      <w:pPr>
        <w:ind w:left="2560" w:right="120" w:hanging="365"/>
        <w:spacing w:after="0" w:line="271" w:lineRule="auto"/>
        <w:tabs>
          <w:tab w:leader="none" w:pos="2542" w:val="left"/>
        </w:tabs>
        <w:numPr>
          <w:ilvl w:val="1"/>
          <w:numId w:val="11"/>
        </w:numPr>
        <w:rPr>
          <w:rFonts w:ascii="Arial" w:cs="Arial" w:eastAsia="Arial" w:hAnsi="Arial"/>
          <w:sz w:val="17"/>
          <w:szCs w:val="17"/>
          <w:color w:val="auto"/>
        </w:rPr>
      </w:pPr>
      <w:r>
        <w:rPr>
          <w:rFonts w:ascii="Arial" w:cs="Arial" w:eastAsia="Arial" w:hAnsi="Arial"/>
          <w:sz w:val="17"/>
          <w:szCs w:val="17"/>
          <w:color w:val="auto"/>
        </w:rPr>
        <w:t>Emergence Equity Partners III, L.P. (“</w:t>
      </w:r>
      <w:r>
        <w:rPr>
          <w:rFonts w:ascii="Arial" w:cs="Arial" w:eastAsia="Arial" w:hAnsi="Arial"/>
          <w:sz w:val="17"/>
          <w:szCs w:val="17"/>
          <w:b w:val="1"/>
          <w:bCs w:val="1"/>
          <w:u w:val="single" w:color="auto"/>
          <w:color w:val="auto"/>
        </w:rPr>
        <w:t>EEP III</w:t>
      </w:r>
      <w:r>
        <w:rPr>
          <w:rFonts w:ascii="Arial" w:cs="Arial" w:eastAsia="Arial" w:hAnsi="Arial"/>
          <w:sz w:val="17"/>
          <w:szCs w:val="17"/>
          <w:color w:val="auto"/>
        </w:rPr>
        <w:t>”) is the sole general partner of ECP III and EZP, and may be deemed to beneficially own 6,488,825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3.1%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represent 6.0% of the aggregate combined voting power of the Class A Common Stock and Class B Common Stock.</w:t>
      </w:r>
    </w:p>
    <w:p>
      <w:pPr>
        <w:spacing w:after="0" w:line="65" w:lineRule="exact"/>
        <w:rPr>
          <w:rFonts w:ascii="Arial" w:cs="Arial" w:eastAsia="Arial" w:hAnsi="Arial"/>
          <w:sz w:val="17"/>
          <w:szCs w:val="17"/>
          <w:color w:val="auto"/>
        </w:rPr>
      </w:pPr>
    </w:p>
    <w:p>
      <w:pPr>
        <w:ind w:left="2560" w:hanging="365"/>
        <w:spacing w:after="0" w:line="289" w:lineRule="auto"/>
        <w:tabs>
          <w:tab w:leader="none" w:pos="255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Emergence GP Partners, LLC (“</w:t>
      </w:r>
      <w:r>
        <w:rPr>
          <w:rFonts w:ascii="Arial" w:cs="Arial" w:eastAsia="Arial" w:hAnsi="Arial"/>
          <w:sz w:val="16"/>
          <w:szCs w:val="16"/>
          <w:b w:val="1"/>
          <w:bCs w:val="1"/>
          <w:u w:val="single" w:color="auto"/>
          <w:color w:val="auto"/>
        </w:rPr>
        <w:t>EGP</w:t>
      </w:r>
      <w:r>
        <w:rPr>
          <w:rFonts w:ascii="Arial" w:cs="Arial" w:eastAsia="Arial" w:hAnsi="Arial"/>
          <w:sz w:val="16"/>
          <w:szCs w:val="16"/>
          <w:color w:val="auto"/>
        </w:rPr>
        <w:t>”) is the sole general partner of EEP III, which is the sole general partner of ECP III and EZP, and may be deemed to beneficially own 6,488,825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3.1%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represent 6.0% of the aggregate combined voting power of the Class A Common Stock and Class B Common Stock.</w:t>
      </w:r>
    </w:p>
    <w:p>
      <w:pPr>
        <w:spacing w:after="0" w:line="58" w:lineRule="exact"/>
        <w:rPr>
          <w:rFonts w:ascii="Arial" w:cs="Arial" w:eastAsia="Arial" w:hAnsi="Arial"/>
          <w:sz w:val="16"/>
          <w:szCs w:val="16"/>
          <w:color w:val="auto"/>
        </w:rPr>
      </w:pPr>
    </w:p>
    <w:p>
      <w:pPr>
        <w:ind w:left="2560" w:right="200" w:hanging="365"/>
        <w:spacing w:after="0" w:line="286" w:lineRule="auto"/>
        <w:tabs>
          <w:tab w:leader="none" w:pos="2547" w:val="left"/>
        </w:tabs>
        <w:numPr>
          <w:ilvl w:val="1"/>
          <w:numId w:val="11"/>
        </w:numPr>
        <w:rPr>
          <w:rFonts w:ascii="Arial" w:cs="Arial" w:eastAsia="Arial" w:hAnsi="Arial"/>
          <w:sz w:val="16"/>
          <w:szCs w:val="16"/>
          <w:color w:val="auto"/>
        </w:rPr>
      </w:pPr>
      <w:r>
        <w:rPr>
          <w:rFonts w:ascii="Arial" w:cs="Arial" w:eastAsia="Arial" w:hAnsi="Arial"/>
          <w:sz w:val="16"/>
          <w:szCs w:val="16"/>
          <w:color w:val="auto"/>
        </w:rPr>
        <w:t>Gordon Ritter (“</w:t>
      </w:r>
      <w:r>
        <w:rPr>
          <w:rFonts w:ascii="Arial" w:cs="Arial" w:eastAsia="Arial" w:hAnsi="Arial"/>
          <w:sz w:val="16"/>
          <w:szCs w:val="16"/>
          <w:b w:val="1"/>
          <w:bCs w:val="1"/>
          <w:u w:val="single" w:color="auto"/>
          <w:color w:val="auto"/>
        </w:rPr>
        <w:t>Ritter</w:t>
      </w:r>
      <w:r>
        <w:rPr>
          <w:rFonts w:ascii="Arial" w:cs="Arial" w:eastAsia="Arial" w:hAnsi="Arial"/>
          <w:sz w:val="16"/>
          <w:szCs w:val="16"/>
          <w:color w:val="auto"/>
        </w:rPr>
        <w:t>”) is an equity holder of EGP, which is the sole general partner of EEP III, which is the sole general partner of ECP III and EZP, and may be deemed to beneficially own 6,488,825 shares of Class B Common Stock held directly by ECP III and EZP. These shares when treated as converted into Class A Common Stock only for purposes of computing the percentage ownership of the reporting person pursuant to Rule 13d-3 of the Securities Exchange Act of 1934, as amended, together with the 708,271 shares of Class A Common Stock held directly by</w:t>
      </w:r>
    </w:p>
    <w:p>
      <w:pPr>
        <w:spacing w:after="0" w:line="2" w:lineRule="exact"/>
        <w:rPr>
          <w:rFonts w:ascii="Arial" w:cs="Arial" w:eastAsia="Arial" w:hAnsi="Arial"/>
          <w:sz w:val="16"/>
          <w:szCs w:val="16"/>
          <w:color w:val="auto"/>
        </w:rPr>
      </w:pPr>
    </w:p>
    <w:p>
      <w:pPr>
        <w:ind w:left="2560" w:right="120"/>
        <w:spacing w:after="0" w:line="270" w:lineRule="auto"/>
        <w:rPr>
          <w:rFonts w:ascii="Arial" w:cs="Arial" w:eastAsia="Arial" w:hAnsi="Arial"/>
          <w:sz w:val="16"/>
          <w:szCs w:val="16"/>
          <w:color w:val="auto"/>
        </w:rPr>
      </w:pPr>
      <w:r>
        <w:rPr>
          <w:rFonts w:ascii="Arial" w:cs="Arial" w:eastAsia="Arial" w:hAnsi="Arial"/>
          <w:sz w:val="17"/>
          <w:szCs w:val="17"/>
          <w:color w:val="auto"/>
        </w:rPr>
        <w:t>Mr. Ritter represent approximately 3.4%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and the 708,271 shares of Class A Common Stock held by Mr. Ritter collectively represent 6.1% of the aggregate combined voting power of the Class A Common Stock and Class B Common Stock.</w:t>
      </w:r>
    </w:p>
    <w:p>
      <w:pPr>
        <w:sectPr>
          <w:pgSz w:w="11900" w:h="16838" w:orient="portrait"/>
          <w:cols w:equalWidth="0" w:num="1">
            <w:col w:w="11240"/>
          </w:cols>
          <w:pgMar w:left="320" w:top="270" w:right="339" w:bottom="1440" w:gutter="0" w:footer="0" w:header="0"/>
          <w:type w:val="continuous"/>
        </w:sectPr>
      </w:pPr>
    </w:p>
    <w:bookmarkStart w:id="9" w:name="page10"/>
    <w:bookmarkEnd w:id="9"/>
    <w:p>
      <w:pPr>
        <w:spacing w:after="0"/>
        <w:tabs>
          <w:tab w:leader="none" w:pos="5080" w:val="left"/>
          <w:tab w:leader="none" w:pos="9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10 of 11 Pages</w:t>
      </w:r>
    </w:p>
    <w:p>
      <w:pPr>
        <w:spacing w:after="0" w:line="374" w:lineRule="exact"/>
        <w:rPr>
          <w:sz w:val="20"/>
          <w:szCs w:val="20"/>
          <w:color w:val="auto"/>
        </w:rPr>
      </w:pPr>
    </w:p>
    <w:p>
      <w:pPr>
        <w:ind w:left="2400" w:right="40" w:hanging="354"/>
        <w:spacing w:after="0" w:line="269" w:lineRule="auto"/>
        <w:tabs>
          <w:tab w:leader="none" w:pos="23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Jason Green (“</w:t>
      </w:r>
      <w:r>
        <w:rPr>
          <w:rFonts w:ascii="Arial" w:cs="Arial" w:eastAsia="Arial" w:hAnsi="Arial"/>
          <w:sz w:val="17"/>
          <w:szCs w:val="17"/>
          <w:b w:val="1"/>
          <w:bCs w:val="1"/>
          <w:u w:val="single" w:color="auto"/>
          <w:color w:val="auto"/>
        </w:rPr>
        <w:t>Green</w:t>
      </w:r>
      <w:r>
        <w:rPr>
          <w:rFonts w:ascii="Arial" w:cs="Arial" w:eastAsia="Arial" w:hAnsi="Arial"/>
          <w:sz w:val="17"/>
          <w:szCs w:val="17"/>
          <w:color w:val="auto"/>
        </w:rPr>
        <w:t>”) is an equity holder of EGP, which is the sole general partner of EEP III, which is the sole general partner of ECP III and EZP, and may be deemed to beneficially own 6,488,825 shares of Class B Common Stock held directly by ECP III and EZP. These shares when treated as converted into Class A Common Stock only for purposes of computing the percentage ownership of the reporting person pursuant to Rule 13d-3 of the Securities Exchange Act of 1934, as amended, together with the 735,051 shares of Class A Common Stock held directly by Mr. Green represent approximately3.4%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6,488,825 shares of Class B Common Stock held by ECP III and EZP and the 735,051 shares of Class A Common Stock held by Mr. Green collectively represent6.1% of the aggregate combined voting power of the Class A Common Stock and Class B Common Stock.</w:t>
      </w:r>
    </w:p>
    <w:p>
      <w:pPr>
        <w:spacing w:after="0" w:line="91" w:lineRule="exact"/>
        <w:rPr>
          <w:rFonts w:ascii="Arial" w:cs="Arial" w:eastAsia="Arial" w:hAnsi="Arial"/>
          <w:sz w:val="17"/>
          <w:szCs w:val="17"/>
          <w:color w:val="auto"/>
        </w:rPr>
      </w:pPr>
    </w:p>
    <w:p>
      <w:pPr>
        <w:ind w:left="2400" w:right="40"/>
        <w:spacing w:after="0" w:line="311" w:lineRule="auto"/>
        <w:rPr>
          <w:rFonts w:ascii="Arial" w:cs="Arial" w:eastAsia="Arial" w:hAnsi="Arial"/>
          <w:sz w:val="17"/>
          <w:szCs w:val="17"/>
          <w:color w:val="auto"/>
        </w:rPr>
      </w:pPr>
      <w:r>
        <w:rPr>
          <w:rFonts w:ascii="Arial" w:cs="Arial" w:eastAsia="Arial" w:hAnsi="Arial"/>
          <w:sz w:val="16"/>
          <w:szCs w:val="16"/>
          <w:color w:val="auto"/>
        </w:rPr>
        <w:t>The percent of class and voting power were calculated based on (i) 203,326,868 shares of Class A Common Stock and (ii) 87,765,770 shares of Class B Common Stock outstanding as of January 12, 2021, as set forth in the Issuer’s prospectus supplement, dated as of the same date, and filed with the Securities and Exchange Commission on January 13, 2021.</w:t>
      </w:r>
    </w:p>
    <w:p>
      <w:pPr>
        <w:spacing w:after="0" w:line="54" w:lineRule="exact"/>
        <w:rPr>
          <w:rFonts w:ascii="Arial" w:cs="Arial" w:eastAsia="Arial" w:hAnsi="Arial"/>
          <w:sz w:val="17"/>
          <w:szCs w:val="17"/>
          <w:color w:val="auto"/>
        </w:rPr>
      </w:pPr>
    </w:p>
    <w:p>
      <w:pPr>
        <w:ind w:left="2040" w:hanging="777"/>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6120" w:type="dxa"/>
            <w:vAlign w:val="bottom"/>
            <w:vMerge w:val="restart"/>
          </w:tcPr>
          <w:p>
            <w:pPr>
              <w:spacing w:after="0"/>
              <w:rPr>
                <w:sz w:val="14"/>
                <w:szCs w:val="14"/>
                <w:color w:val="auto"/>
              </w:rPr>
            </w:pPr>
          </w:p>
        </w:tc>
        <w:tc>
          <w:tcPr>
            <w:tcW w:w="3120" w:type="dxa"/>
            <w:vAlign w:val="bottom"/>
            <w:gridSpan w:val="8"/>
          </w:tcPr>
          <w:p>
            <w:pPr>
              <w:ind w:left="160"/>
              <w:spacing w:after="0"/>
              <w:rPr>
                <w:sz w:val="20"/>
                <w:szCs w:val="20"/>
                <w:color w:val="auto"/>
              </w:rPr>
            </w:pPr>
            <w:r>
              <w:rPr>
                <w:rFonts w:ascii="Arial" w:cs="Arial" w:eastAsia="Arial" w:hAnsi="Arial"/>
                <w:sz w:val="14"/>
                <w:szCs w:val="14"/>
                <w:b w:val="1"/>
                <w:bCs w:val="1"/>
                <w:color w:val="auto"/>
                <w:w w:val="98"/>
              </w:rPr>
              <w:t>Number of Shares of Class A Common Stock</w:t>
            </w:r>
          </w:p>
        </w:tc>
        <w:tc>
          <w:tcPr>
            <w:tcW w:w="0" w:type="dxa"/>
            <w:vAlign w:val="bottom"/>
          </w:tcPr>
          <w:p>
            <w:pPr>
              <w:spacing w:after="0"/>
              <w:rPr>
                <w:sz w:val="1"/>
                <w:szCs w:val="1"/>
                <w:color w:val="auto"/>
              </w:rPr>
            </w:pPr>
          </w:p>
        </w:tc>
      </w:tr>
      <w:tr>
        <w:trPr>
          <w:trHeight w:val="149"/>
        </w:trPr>
        <w:tc>
          <w:tcPr>
            <w:tcW w:w="1100" w:type="dxa"/>
            <w:vAlign w:val="bottom"/>
            <w:tcBorders>
              <w:bottom w:val="single" w:sz="8" w:color="auto"/>
            </w:tcBorders>
            <w:vMerge w:val="continue"/>
          </w:tcPr>
          <w:p>
            <w:pPr>
              <w:spacing w:after="0"/>
              <w:rPr>
                <w:sz w:val="12"/>
                <w:szCs w:val="12"/>
                <w:color w:val="auto"/>
              </w:rPr>
            </w:pPr>
          </w:p>
        </w:tc>
        <w:tc>
          <w:tcPr>
            <w:tcW w:w="6120" w:type="dxa"/>
            <w:vAlign w:val="bottom"/>
            <w:vMerge w:val="continue"/>
          </w:tcPr>
          <w:p>
            <w:pPr>
              <w:spacing w:after="0"/>
              <w:rPr>
                <w:sz w:val="12"/>
                <w:szCs w:val="12"/>
                <w:color w:val="auto"/>
              </w:rPr>
            </w:pPr>
          </w:p>
        </w:tc>
        <w:tc>
          <w:tcPr>
            <w:tcW w:w="1100" w:type="dxa"/>
            <w:vAlign w:val="bottom"/>
            <w:tcBorders>
              <w:top w:val="single" w:sz="8" w:color="auto"/>
            </w:tcBorders>
            <w:gridSpan w:val="2"/>
          </w:tcPr>
          <w:p>
            <w:pPr>
              <w:ind w:left="360"/>
              <w:spacing w:after="0" w:line="129" w:lineRule="exact"/>
              <w:rPr>
                <w:sz w:val="20"/>
                <w:szCs w:val="20"/>
                <w:color w:val="auto"/>
              </w:rPr>
            </w:pPr>
            <w:r>
              <w:rPr>
                <w:rFonts w:ascii="Arial" w:cs="Arial" w:eastAsia="Arial" w:hAnsi="Arial"/>
                <w:sz w:val="14"/>
                <w:szCs w:val="14"/>
                <w:color w:val="auto"/>
              </w:rPr>
              <w:t>(i)</w:t>
            </w:r>
          </w:p>
        </w:tc>
        <w:tc>
          <w:tcPr>
            <w:tcW w:w="5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color w:val="auto"/>
              </w:rPr>
              <w:t>(ii)</w:t>
            </w:r>
          </w:p>
        </w:tc>
        <w:tc>
          <w:tcPr>
            <w:tcW w:w="1100" w:type="dxa"/>
            <w:vAlign w:val="bottom"/>
            <w:tcBorders>
              <w:top w:val="single" w:sz="8" w:color="auto"/>
            </w:tcBorders>
            <w:gridSpan w:val="2"/>
          </w:tcPr>
          <w:p>
            <w:pPr>
              <w:ind w:left="320"/>
              <w:spacing w:after="0" w:line="129" w:lineRule="exact"/>
              <w:rPr>
                <w:sz w:val="20"/>
                <w:szCs w:val="20"/>
                <w:color w:val="auto"/>
              </w:rPr>
            </w:pPr>
            <w:r>
              <w:rPr>
                <w:rFonts w:ascii="Arial" w:cs="Arial" w:eastAsia="Arial" w:hAnsi="Arial"/>
                <w:sz w:val="14"/>
                <w:szCs w:val="14"/>
                <w:color w:val="auto"/>
              </w:rPr>
              <w:t>(iii)</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(iv)</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Emergence Capital Partners III, L.P.</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5,784,568</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1"/>
              </w:rPr>
              <w:t>-0-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5,784,568</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EZP Opportunity, L.P.</w:t>
            </w:r>
          </w:p>
        </w:tc>
        <w:tc>
          <w:tcPr>
            <w:tcW w:w="840" w:type="dxa"/>
            <w:vAlign w:val="bottom"/>
          </w:tcPr>
          <w:p>
            <w:pPr>
              <w:jc w:val="right"/>
              <w:spacing w:after="0"/>
              <w:rPr>
                <w:sz w:val="20"/>
                <w:szCs w:val="20"/>
                <w:color w:val="auto"/>
              </w:rPr>
            </w:pPr>
            <w:r>
              <w:rPr>
                <w:rFonts w:ascii="Arial" w:cs="Arial" w:eastAsia="Arial" w:hAnsi="Arial"/>
                <w:sz w:val="18"/>
                <w:szCs w:val="18"/>
                <w:color w:val="auto"/>
              </w:rPr>
              <w:t>704,257</w:t>
            </w:r>
          </w:p>
        </w:tc>
        <w:tc>
          <w:tcPr>
            <w:tcW w:w="2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704,257</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Emergence Equity Partners III, L.P.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6,488,825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6,488,825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Emergence GP Partners, LLC</w:t>
            </w:r>
          </w:p>
        </w:tc>
        <w:tc>
          <w:tcPr>
            <w:tcW w:w="840" w:type="dxa"/>
            <w:vAlign w:val="bottom"/>
          </w:tcPr>
          <w:p>
            <w:pPr>
              <w:jc w:val="right"/>
              <w:spacing w:after="0"/>
              <w:rPr>
                <w:sz w:val="20"/>
                <w:szCs w:val="20"/>
                <w:color w:val="auto"/>
              </w:rPr>
            </w:pPr>
            <w:r>
              <w:rPr>
                <w:rFonts w:ascii="Arial" w:cs="Arial" w:eastAsia="Arial" w:hAnsi="Arial"/>
                <w:sz w:val="18"/>
                <w:szCs w:val="18"/>
                <w:color w:val="auto"/>
              </w:rPr>
              <w:t>6,488,825</w:t>
            </w:r>
          </w:p>
        </w:tc>
        <w:tc>
          <w:tcPr>
            <w:tcW w:w="2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6,488,825</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Ritter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7,197,096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7,197,096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Jason Green</w:t>
            </w:r>
          </w:p>
        </w:tc>
        <w:tc>
          <w:tcPr>
            <w:tcW w:w="840" w:type="dxa"/>
            <w:vAlign w:val="bottom"/>
          </w:tcPr>
          <w:p>
            <w:pPr>
              <w:jc w:val="right"/>
              <w:spacing w:after="0"/>
              <w:rPr>
                <w:sz w:val="20"/>
                <w:szCs w:val="20"/>
                <w:color w:val="auto"/>
              </w:rPr>
            </w:pPr>
            <w:r>
              <w:rPr>
                <w:rFonts w:ascii="Arial" w:cs="Arial" w:eastAsia="Arial" w:hAnsi="Arial"/>
                <w:sz w:val="18"/>
                <w:szCs w:val="18"/>
                <w:color w:val="auto"/>
              </w:rPr>
              <w:t>7,223,876</w:t>
            </w:r>
          </w:p>
        </w:tc>
        <w:tc>
          <w:tcPr>
            <w:tcW w:w="2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7,223,876</w:t>
            </w: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hanging="35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720" w:hanging="339"/>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720" w:hanging="339"/>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740" w:hanging="35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31" w:lineRule="exact"/>
        <w:rPr>
          <w:sz w:val="20"/>
          <w:szCs w:val="20"/>
          <w:color w:val="auto"/>
        </w:rPr>
      </w:pPr>
    </w:p>
    <w:p>
      <w:pPr>
        <w:ind w:left="1020" w:right="160"/>
        <w:spacing w:after="0" w:line="263" w:lineRule="auto"/>
        <w:rPr>
          <w:sz w:val="20"/>
          <w:szCs w:val="20"/>
          <w:color w:val="auto"/>
        </w:rPr>
      </w:pPr>
      <w:r>
        <w:rPr>
          <w:rFonts w:ascii="Arial" w:cs="Arial" w:eastAsia="Arial" w:hAnsi="Arial"/>
          <w:sz w:val="18"/>
          <w:szCs w:val="18"/>
          <w:color w:val="auto"/>
        </w:rPr>
        <w:t>The percent of class was calculated based on 203,326,868 shares of Class A Common Stock outstanding as of January 12, 2021, as set forth in the Issuer’s prospectus supplement, dated as of the same date, and filed with the Securities and Exchange Commission on January 13, 2021.</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102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1020" w:right="10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70" w:right="339" w:bottom="1440" w:gutter="0" w:footer="0" w:header="0"/>
        </w:sectPr>
      </w:pPr>
    </w:p>
    <w:bookmarkStart w:id="10" w:name="page11"/>
    <w:bookmarkEnd w:id="10"/>
    <w:p>
      <w:pPr>
        <w:spacing w:after="0"/>
        <w:tabs>
          <w:tab w:leader="none" w:pos="5080" w:val="left"/>
          <w:tab w:leader="none" w:pos="9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11 of 11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4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Equity Partners III, L.P., its sole general partner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GP Partners, LLC, its sole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EZP OPPORTUNITY,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Equity Partners III, L.P., its sole general partner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GP Partners, LLC, its sole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EMERGENCE EQUITY PARTNERS III,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GP Partners, LLC, its sole general partner</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EMERGENCE GP PARTNERS, LLC</w:t>
      </w:r>
    </w:p>
    <w:p>
      <w:pPr>
        <w:spacing w:after="0" w:line="229"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Gordon Ritter</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Jason Green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4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Equity Partners III, L.P., its sole general partner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GP Partners, LLC, its sole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EZP OPPORTUNITY,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Equity Partners III, L.P., its sole general partner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GP Partners, LLC, its sole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EMERGENCE EQUITY PARTNERS III,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Emergence GP Partners, LLC, its sole general partner</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EMERGENCE GP PARTNERS, LLC</w:t>
      </w:r>
    </w:p>
    <w:p>
      <w:pPr>
        <w:spacing w:after="0" w:line="229"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Gordon Ritter</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Jason Green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1"/>
    </w:lvl>
    <w:lvl w:ilvl="1">
      <w:lvlJc w:val="left"/>
      <w:lvlText w:val="(%2)"/>
      <w:numFmt w:val="lowerRoman"/>
      <w:start w:val="1"/>
    </w:lvl>
  </w:abstractNum>
  <w:abstractNum w:abstractNumId="11">
    <w:nsid w:val="3352255A"/>
    <w:multiLevelType w:val="hybridMultilevel"/>
    <w:lvl w:ilvl="0">
      <w:lvlJc w:val="left"/>
      <w:lvlText w:val="%1"/>
      <w:numFmt w:val="lowerLetter"/>
      <w:start w:val="1"/>
    </w:lvl>
    <w:lvl w:ilvl="1">
      <w:lvlJc w:val="left"/>
      <w:lvlText w:val="(%2)"/>
      <w:numFmt w:val="lowerRoman"/>
      <w:start w:val="6"/>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2021-02-16T05:57:32Z</dcterms:created>
  <dcterms:modified xsi:type="dcterms:W3CDTF">2021-02-16T05:57:32Z</dcterms:modified>
</cp:coreProperties>
</file>