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2"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4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20, 2023</w:t>
      </w:r>
    </w:p>
    <w:p>
      <w:pPr>
        <w:spacing w:after="0" w:line="2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Zoom Video Communications, Inc.</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8" w:lineRule="exact"/>
        <w:rPr>
          <w:sz w:val="24"/>
          <w:szCs w:val="24"/>
          <w:color w:val="auto"/>
        </w:rPr>
      </w:pPr>
    </w:p>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32"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Arial" w:cs="Arial" w:eastAsia="Arial" w:hAnsi="Arial"/>
                <w:sz w:val="19"/>
                <w:szCs w:val="19"/>
                <w:b w:val="1"/>
                <w:bCs w:val="1"/>
                <w:color w:val="auto"/>
                <w:w w:val="91"/>
              </w:rPr>
              <w:t>Delaware</w:t>
            </w:r>
          </w:p>
        </w:tc>
        <w:tc>
          <w:tcPr>
            <w:tcW w:w="5020" w:type="dxa"/>
            <w:vAlign w:val="bottom"/>
          </w:tcPr>
          <w:p>
            <w:pPr>
              <w:jc w:val="center"/>
              <w:ind w:right="77"/>
              <w:spacing w:after="0"/>
              <w:rPr>
                <w:sz w:val="20"/>
                <w:szCs w:val="20"/>
                <w:color w:val="auto"/>
              </w:rPr>
            </w:pPr>
            <w:r>
              <w:rPr>
                <w:rFonts w:ascii="Arial" w:cs="Arial" w:eastAsia="Arial" w:hAnsi="Arial"/>
                <w:sz w:val="19"/>
                <w:szCs w:val="19"/>
                <w:b w:val="1"/>
                <w:bCs w:val="1"/>
                <w:color w:val="auto"/>
                <w:w w:val="90"/>
              </w:rPr>
              <w:t>001-38865</w:t>
            </w:r>
          </w:p>
        </w:tc>
        <w:tc>
          <w:tcPr>
            <w:tcW w:w="1700" w:type="dxa"/>
            <w:vAlign w:val="bottom"/>
          </w:tcPr>
          <w:p>
            <w:pPr>
              <w:jc w:val="center"/>
              <w:ind w:left="543"/>
              <w:spacing w:after="0"/>
              <w:rPr>
                <w:sz w:val="20"/>
                <w:szCs w:val="20"/>
                <w:color w:val="auto"/>
              </w:rPr>
            </w:pPr>
            <w:r>
              <w:rPr>
                <w:rFonts w:ascii="Arial" w:cs="Arial" w:eastAsia="Arial" w:hAnsi="Arial"/>
                <w:sz w:val="19"/>
                <w:szCs w:val="19"/>
                <w:b w:val="1"/>
                <w:bCs w:val="1"/>
                <w:color w:val="auto"/>
                <w:w w:val="90"/>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Arial" w:cs="Arial" w:eastAsia="Arial" w:hAnsi="Arial"/>
                <w:sz w:val="14"/>
                <w:szCs w:val="14"/>
                <w:b w:val="1"/>
                <w:bCs w:val="1"/>
                <w:color w:val="auto"/>
                <w:w w:val="90"/>
              </w:rPr>
              <w:t>(State or Other Jurisdiction</w:t>
            </w:r>
          </w:p>
        </w:tc>
        <w:tc>
          <w:tcPr>
            <w:tcW w:w="50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(Commission File Number)</w:t>
            </w:r>
          </w:p>
        </w:tc>
        <w:tc>
          <w:tcPr>
            <w:tcW w:w="1700" w:type="dxa"/>
            <w:vAlign w:val="bottom"/>
          </w:tcPr>
          <w:p>
            <w:pPr>
              <w:jc w:val="center"/>
              <w:ind w:left="543"/>
              <w:spacing w:after="0" w:line="142"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9"/>
        </w:trPr>
        <w:tc>
          <w:tcPr>
            <w:tcW w:w="2120" w:type="dxa"/>
            <w:vAlign w:val="bottom"/>
          </w:tcPr>
          <w:p>
            <w:pPr>
              <w:jc w:val="center"/>
              <w:ind w:right="423"/>
              <w:spacing w:after="0"/>
              <w:rPr>
                <w:sz w:val="20"/>
                <w:szCs w:val="20"/>
                <w:color w:val="auto"/>
              </w:rPr>
            </w:pPr>
            <w:r>
              <w:rPr>
                <w:rFonts w:ascii="Arial" w:cs="Arial" w:eastAsia="Arial" w:hAnsi="Arial"/>
                <w:sz w:val="14"/>
                <w:szCs w:val="14"/>
                <w:b w:val="1"/>
                <w:bCs w:val="1"/>
                <w:color w:val="auto"/>
                <w:w w:val="91"/>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351"/>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Arial" w:cs="Arial" w:eastAsia="Arial" w:hAnsi="Arial"/>
                <w:sz w:val="19"/>
                <w:szCs w:val="19"/>
                <w:b w:val="1"/>
                <w:bCs w:val="1"/>
                <w:color w:val="auto"/>
                <w:w w:val="91"/>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8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8"/>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Arial" w:cs="Arial" w:eastAsia="Arial" w:hAnsi="Arial"/>
                <w:sz w:val="19"/>
                <w:szCs w:val="19"/>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Arial" w:cs="Arial" w:eastAsia="Arial" w:hAnsi="Arial"/>
          <w:sz w:val="21"/>
          <w:szCs w:val="21"/>
          <w:b w:val="1"/>
          <w:bCs w:val="1"/>
          <w:color w:val="auto"/>
        </w:rPr>
        <w:t>_________________________</w:t>
      </w:r>
    </w:p>
    <w:p>
      <w:pPr>
        <w:spacing w:after="0" w:line="107" w:lineRule="exact"/>
        <w:rPr>
          <w:sz w:val="24"/>
          <w:szCs w:val="24"/>
          <w:color w:val="auto"/>
        </w:rPr>
      </w:pPr>
    </w:p>
    <w:p>
      <w:pPr>
        <w:ind w:right="440"/>
        <w:spacing w:after="0" w:line="26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8"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36"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The Nasdaq Global Select Market</w:t>
            </w:r>
          </w:p>
        </w:tc>
      </w:tr>
    </w:tbl>
    <w:p>
      <w:pPr>
        <w:spacing w:after="0" w:line="181" w:lineRule="exact"/>
        <w:rPr>
          <w:sz w:val="24"/>
          <w:szCs w:val="24"/>
          <w:color w:val="auto"/>
        </w:rPr>
      </w:pPr>
    </w:p>
    <w:p>
      <w:pPr>
        <w:ind w:right="18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59" w:lineRule="exact"/>
        <w:rPr>
          <w:sz w:val="24"/>
          <w:szCs w:val="24"/>
          <w:color w:val="auto"/>
        </w:rPr>
      </w:pPr>
    </w:p>
    <w:p>
      <w:pPr>
        <w:ind w:right="46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767080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16510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41275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 w:name="page2"/>
    <w:bookmarkEnd w:id="1"/>
    <w:p>
      <w:pPr>
        <w:spacing w:after="0"/>
        <w:tabs>
          <w:tab w:leader="none" w:pos="840" w:val="left"/>
        </w:tabs>
        <w:rPr>
          <w:sz w:val="20"/>
          <w:szCs w:val="20"/>
          <w:color w:val="auto"/>
        </w:rPr>
      </w:pPr>
      <w:r>
        <w:rPr>
          <w:rFonts w:ascii="Arial" w:cs="Arial" w:eastAsia="Arial" w:hAnsi="Arial"/>
          <w:sz w:val="17"/>
          <w:szCs w:val="17"/>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24" w:lineRule="exact"/>
        <w:rPr>
          <w:sz w:val="20"/>
          <w:szCs w:val="20"/>
          <w:color w:val="auto"/>
        </w:rPr>
      </w:pPr>
    </w:p>
    <w:p>
      <w:pPr>
        <w:ind w:right="100" w:firstLine="620"/>
        <w:spacing w:after="0" w:line="283" w:lineRule="auto"/>
        <w:rPr>
          <w:sz w:val="20"/>
          <w:szCs w:val="20"/>
          <w:color w:val="auto"/>
        </w:rPr>
      </w:pPr>
      <w:r>
        <w:rPr>
          <w:rFonts w:ascii="Arial" w:cs="Arial" w:eastAsia="Arial" w:hAnsi="Arial"/>
          <w:sz w:val="17"/>
          <w:szCs w:val="17"/>
          <w:color w:val="auto"/>
        </w:rPr>
        <w:t>On November 20, 2023, Zoom Video Communications, Inc. (the “Company”) issued a press release announcing its financial results for the three months ended October 31, 2023. A copy of the press release is furnished as Exhibit 99.1 to this report and is incorporated by reference.</w:t>
      </w:r>
    </w:p>
    <w:p>
      <w:pPr>
        <w:spacing w:after="0" w:line="159" w:lineRule="exact"/>
        <w:rPr>
          <w:sz w:val="20"/>
          <w:szCs w:val="20"/>
          <w:color w:val="auto"/>
        </w:rPr>
      </w:pPr>
    </w:p>
    <w:p>
      <w:pPr>
        <w:ind w:right="120" w:firstLine="620"/>
        <w:spacing w:after="0" w:line="263" w:lineRule="auto"/>
        <w:rPr>
          <w:sz w:val="20"/>
          <w:szCs w:val="20"/>
          <w:color w:val="auto"/>
        </w:rPr>
      </w:pPr>
      <w:r>
        <w:rPr>
          <w:rFonts w:ascii="Arial" w:cs="Arial" w:eastAsia="Arial" w:hAnsi="Arial"/>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2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Exhibit No.</w:t>
            </w:r>
          </w:p>
        </w:tc>
        <w:tc>
          <w:tcPr>
            <w:tcW w:w="4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Description</w:t>
            </w:r>
          </w:p>
        </w:tc>
        <w:tc>
          <w:tcPr>
            <w:tcW w:w="20" w:type="dxa"/>
            <w:vAlign w:val="bottom"/>
          </w:tcPr>
          <w:p>
            <w:pPr>
              <w:spacing w:after="0"/>
              <w:rPr>
                <w:sz w:val="21"/>
                <w:szCs w:val="21"/>
                <w:color w:val="auto"/>
              </w:rPr>
            </w:pPr>
          </w:p>
        </w:tc>
      </w:tr>
      <w:tr>
        <w:trPr>
          <w:trHeight w:val="174"/>
        </w:trPr>
        <w:tc>
          <w:tcPr>
            <w:tcW w:w="1780" w:type="dxa"/>
            <w:vAlign w:val="bottom"/>
            <w:gridSpan w:val="2"/>
          </w:tcPr>
          <w:p>
            <w:pPr>
              <w:jc w:val="right"/>
              <w:ind w:right="414"/>
              <w:spacing w:after="0" w:line="174" w:lineRule="exact"/>
              <w:rPr>
                <w:sz w:val="20"/>
                <w:szCs w:val="20"/>
                <w:color w:val="auto"/>
              </w:rPr>
            </w:pPr>
            <w:r>
              <w:rPr>
                <w:rFonts w:ascii="Arial" w:cs="Arial" w:eastAsia="Arial" w:hAnsi="Arial"/>
                <w:sz w:val="17"/>
                <w:szCs w:val="17"/>
                <w:color w:val="auto"/>
              </w:rPr>
              <w:t>99.1</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gridSpan w:val="3"/>
          </w:tcPr>
          <w:p>
            <w:pPr>
              <w:spacing w:after="0" w:line="174" w:lineRule="exact"/>
              <w:rPr>
                <w:sz w:val="20"/>
                <w:szCs w:val="20"/>
                <w:color w:val="auto"/>
              </w:rPr>
            </w:pPr>
            <w:r>
              <w:rPr>
                <w:rFonts w:ascii="Arial" w:cs="Arial" w:eastAsia="Arial" w:hAnsi="Arial"/>
                <w:sz w:val="17"/>
                <w:szCs w:val="17"/>
                <w:color w:val="0000FF"/>
              </w:rPr>
              <w:t>Press release dated November 20, 2023 of Zoom Video Communications, Inc.</w:t>
            </w: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Arial" w:cs="Arial" w:eastAsia="Arial" w:hAnsi="Arial"/>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80" w:firstLine="620"/>
        <w:spacing w:after="0" w:line="283"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225"/>
        </w:trPr>
        <w:tc>
          <w:tcPr>
            <w:tcW w:w="3560" w:type="dxa"/>
            <w:vAlign w:val="bottom"/>
          </w:tcPr>
          <w:p>
            <w:pPr>
              <w:spacing w:after="0"/>
              <w:rPr>
                <w:sz w:val="19"/>
                <w:szCs w:val="19"/>
                <w:color w:val="auto"/>
              </w:rPr>
            </w:pPr>
          </w:p>
        </w:tc>
        <w:tc>
          <w:tcPr>
            <w:tcW w:w="7140" w:type="dxa"/>
            <w:vAlign w:val="bottom"/>
            <w:gridSpan w:val="2"/>
          </w:tcPr>
          <w:p>
            <w:pPr>
              <w:ind w:left="1680"/>
              <w:spacing w:after="0"/>
              <w:rPr>
                <w:sz w:val="20"/>
                <w:szCs w:val="20"/>
                <w:color w:val="auto"/>
              </w:rPr>
            </w:pPr>
            <w:r>
              <w:rPr>
                <w:rFonts w:ascii="Arial" w:cs="Arial" w:eastAsia="Arial" w:hAnsi="Arial"/>
                <w:sz w:val="17"/>
                <w:szCs w:val="17"/>
                <w:b w:val="1"/>
                <w:bCs w:val="1"/>
                <w:color w:val="auto"/>
              </w:rPr>
              <w:t>Zoom Video Communications, Inc.</w:t>
            </w:r>
          </w:p>
        </w:tc>
      </w:tr>
      <w:tr>
        <w:trPr>
          <w:trHeight w:val="465"/>
        </w:trPr>
        <w:tc>
          <w:tcPr>
            <w:tcW w:w="3560" w:type="dxa"/>
            <w:vAlign w:val="bottom"/>
          </w:tcPr>
          <w:p>
            <w:pPr>
              <w:spacing w:after="0"/>
              <w:rPr>
                <w:sz w:val="20"/>
                <w:szCs w:val="20"/>
                <w:color w:val="auto"/>
              </w:rPr>
            </w:pPr>
            <w:r>
              <w:rPr>
                <w:rFonts w:ascii="Arial" w:cs="Arial" w:eastAsia="Arial" w:hAnsi="Arial"/>
                <w:sz w:val="17"/>
                <w:szCs w:val="17"/>
                <w:color w:val="auto"/>
              </w:rPr>
              <w:t>Dated: November 20, 2023</w:t>
            </w:r>
          </w:p>
        </w:tc>
        <w:tc>
          <w:tcPr>
            <w:tcW w:w="2380" w:type="dxa"/>
            <w:vAlign w:val="bottom"/>
          </w:tcPr>
          <w:p>
            <w:pPr>
              <w:ind w:left="1680"/>
              <w:spacing w:after="0"/>
              <w:rPr>
                <w:sz w:val="20"/>
                <w:szCs w:val="20"/>
                <w:color w:val="auto"/>
              </w:rPr>
            </w:pPr>
            <w:r>
              <w:rPr>
                <w:rFonts w:ascii="Arial" w:cs="Arial" w:eastAsia="Arial" w:hAnsi="Arial"/>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Kelly Steckelberg</w:t>
            </w:r>
          </w:p>
        </w:tc>
      </w:tr>
      <w:tr>
        <w:trPr>
          <w:trHeight w:val="213"/>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Arial" w:cs="Arial" w:eastAsia="Arial" w:hAnsi="Arial"/>
                <w:sz w:val="17"/>
                <w:szCs w:val="17"/>
                <w:color w:val="auto"/>
              </w:rPr>
              <w:t>Kelly Steckelberg</w:t>
            </w:r>
          </w:p>
        </w:tc>
      </w:tr>
      <w:tr>
        <w:trPr>
          <w:trHeight w:val="220"/>
        </w:trPr>
        <w:tc>
          <w:tcPr>
            <w:tcW w:w="3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Arial" w:cs="Arial" w:eastAsia="Arial" w:hAnsi="Arial"/>
                <w:sz w:val="17"/>
                <w:szCs w:val="17"/>
                <w:i w:val="1"/>
                <w:iCs w:val="1"/>
                <w:color w:val="auto"/>
              </w:rPr>
              <w:t>Chief Financial Officer</w:t>
            </w:r>
          </w:p>
        </w:tc>
      </w:tr>
    </w:tbl>
    <w:p>
      <w:pPr>
        <w:sectPr>
          <w:pgSz w:w="11900" w:h="16838" w:orient="portrait"/>
          <w:cols w:equalWidth="0" w:num="1">
            <w:col w:w="11340"/>
          </w:cols>
          <w:pgMar w:left="320" w:top="85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color w:val="auto"/>
        </w:rPr>
        <w:t>Exhibit 99.1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Zoom Video Communications Reports Financial Results for the Third Quarter of Fiscal Year 2024</w:t>
      </w:r>
    </w:p>
    <w:p>
      <w:pPr>
        <w:spacing w:after="0" w:line="121" w:lineRule="exact"/>
        <w:rPr>
          <w:sz w:val="20"/>
          <w:szCs w:val="20"/>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quarter total revenue of $1,136.7 million, up 3.2% year over year as reported and 3.5% in constant currency</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quarter Enterprise revenue of $660.6 million, up 7.5% year over year</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quarter GAAP operating margin of 14.9% and non-GAAP operating margin of 39.3%</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Third quarter operating cash flow of $493.2 million, up 67.0% year over year</w:t>
      </w:r>
    </w:p>
    <w:p>
      <w:pPr>
        <w:spacing w:after="0" w:line="114" w:lineRule="exact"/>
        <w:rPr>
          <w:rFonts w:ascii="Arial" w:cs="Arial" w:eastAsia="Arial" w:hAnsi="Arial"/>
          <w:sz w:val="17"/>
          <w:szCs w:val="17"/>
          <w:b w:val="1"/>
          <w:bCs w:val="1"/>
          <w:i w:val="1"/>
          <w:iCs w:val="1"/>
          <w:color w:val="auto"/>
        </w:rPr>
      </w:pPr>
    </w:p>
    <w:p>
      <w:pPr>
        <w:ind w:left="920" w:hanging="296"/>
        <w:spacing w:after="0"/>
        <w:tabs>
          <w:tab w:leader="none" w:pos="9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Number of customers contributing more than $100,000 in trailing 12 months revenue up 13.5% year over year</w:t>
      </w:r>
    </w:p>
    <w:p>
      <w:pPr>
        <w:spacing w:after="0" w:line="21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b w:val="1"/>
          <w:bCs w:val="1"/>
          <w:color w:val="auto"/>
        </w:rPr>
        <w:t xml:space="preserve">San Jose, California – </w:t>
      </w:r>
      <w:r>
        <w:rPr>
          <w:rFonts w:ascii="Arial" w:cs="Arial" w:eastAsia="Arial" w:hAnsi="Arial"/>
          <w:sz w:val="17"/>
          <w:szCs w:val="17"/>
          <w:color w:val="auto"/>
        </w:rPr>
        <w:t>November 20, 2023 – Zoom Video Communications, Inc. (NASDAQ: ZM), today announced financial results for the third fiscal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October 31, 2023.</w:t>
      </w:r>
    </w:p>
    <w:p>
      <w:pPr>
        <w:spacing w:after="0" w:line="50"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“In Q3, revenue came in ahead of guidance as we bolstered Zoom’s all-in-one intelligent collaboration platform with advanced new capabilities like Zoom AI Companion and continued to evolve our customer and employee engagement solutions. We are also pleased with our Online business where we drove higher retention and saw usage of our new AI capabilities, enhancing the value of our platform,” said Eric S. Yuan, Zoom founder, and CEO. “Our strong performance across a number of metrics has enabled us to increase our full year outlook for revenue and non-GAAP profitability, as well as for free cash flow, which we now expect to be in the range of $1.34 billion to $1.35 billion, up approximately 13% year over year.”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Fiscal Year 2024 Financial Highlights:</w:t>
      </w:r>
    </w:p>
    <w:p>
      <w:pPr>
        <w:spacing w:after="0" w:line="205" w:lineRule="exact"/>
        <w:rPr>
          <w:sz w:val="20"/>
          <w:szCs w:val="20"/>
          <w:color w:val="auto"/>
        </w:rPr>
      </w:pPr>
    </w:p>
    <w:p>
      <w:pPr>
        <w:ind w:left="940" w:right="40" w:hanging="316"/>
        <w:spacing w:after="0" w:line="272" w:lineRule="auto"/>
        <w:tabs>
          <w:tab w:leader="none" w:pos="936"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Total revenue for the third quarter was $1,136.7 million, up 3.2% year over year. Adjusting for foreign currency impact, revenue in</w:t>
      </w:r>
      <w:r>
        <w:rPr>
          <w:rFonts w:ascii="Arial" w:cs="Arial" w:eastAsia="Arial" w:hAnsi="Arial"/>
          <w:sz w:val="17"/>
          <w:szCs w:val="17"/>
          <w:b w:val="1"/>
          <w:bCs w:val="1"/>
          <w:color w:val="auto"/>
        </w:rPr>
        <w:t xml:space="preserve"> </w:t>
      </w:r>
      <w:r>
        <w:rPr>
          <w:rFonts w:ascii="Arial" w:cs="Arial" w:eastAsia="Arial" w:hAnsi="Arial"/>
          <w:sz w:val="17"/>
          <w:szCs w:val="17"/>
          <w:color w:val="auto"/>
        </w:rPr>
        <w:t>constant currency was $1,140.7 million, up 3.5% year over year. Enterprise revenue was $660.6 million, up 7.5% year over year, and Online revenue was $476.1 million, down 2.4% year over year.</w:t>
      </w:r>
    </w:p>
    <w:p>
      <w:pPr>
        <w:spacing w:after="0" w:line="58" w:lineRule="exact"/>
        <w:rPr>
          <w:rFonts w:ascii="Arial" w:cs="Arial" w:eastAsia="Arial" w:hAnsi="Arial"/>
          <w:sz w:val="17"/>
          <w:szCs w:val="17"/>
          <w:color w:val="auto"/>
        </w:rPr>
      </w:pPr>
    </w:p>
    <w:p>
      <w:pPr>
        <w:ind w:left="940" w:right="140" w:hanging="316"/>
        <w:spacing w:after="0" w:line="283" w:lineRule="auto"/>
        <w:tabs>
          <w:tab w:leader="none" w:pos="93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from Operations and Operating Margin: </w:t>
      </w:r>
      <w:r>
        <w:rPr>
          <w:rFonts w:ascii="Arial" w:cs="Arial" w:eastAsia="Arial" w:hAnsi="Arial"/>
          <w:sz w:val="16"/>
          <w:szCs w:val="16"/>
          <w:color w:val="auto"/>
        </w:rPr>
        <w:t>GAAP income from operations for the third quarter was $169.4 million, compared to GAAP</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from operations of $66.5 million in the third quarter of fiscal year 2023. After adjusting for stock-based compensation expense and related payroll taxes, acquisition-related expenses, restructuring expenses, and litigation settlements, net, non-GAAP income from operations for the third quarter was $447.1 million, compared to non-GAAP income from operations of $380.9 million in the third quarter of fiscal year 2023. For the third quarter, GAAP operating margin was 14.9% and non-GAAP operating margin was 39.3%.</w:t>
      </w:r>
    </w:p>
    <w:p>
      <w:pPr>
        <w:spacing w:after="0" w:line="155" w:lineRule="exact"/>
        <w:rPr>
          <w:rFonts w:ascii="Arial" w:cs="Arial" w:eastAsia="Arial" w:hAnsi="Arial"/>
          <w:sz w:val="16"/>
          <w:szCs w:val="16"/>
          <w:b w:val="1"/>
          <w:bCs w:val="1"/>
          <w:color w:val="auto"/>
        </w:rPr>
      </w:pPr>
    </w:p>
    <w:p>
      <w:pPr>
        <w:ind w:left="940" w:right="160" w:hanging="316"/>
        <w:spacing w:after="0" w:line="272"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Income and Diluted Net Income Per Share: </w:t>
      </w:r>
      <w:r>
        <w:rPr>
          <w:rFonts w:ascii="Arial" w:cs="Arial" w:eastAsia="Arial" w:hAnsi="Arial"/>
          <w:sz w:val="17"/>
          <w:szCs w:val="17"/>
          <w:color w:val="auto"/>
        </w:rPr>
        <w:t>GAAP net income attributable to common stockholders for the third quarter was $141.2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or $0.45 per share, compared to GAAP net income attributable to common stockholders of $48.4 million, or $0.16 per share in the third quarter of fiscal year 2023.</w:t>
      </w:r>
    </w:p>
    <w:p>
      <w:pPr>
        <w:spacing w:after="0" w:line="64" w:lineRule="exact"/>
        <w:rPr>
          <w:rFonts w:ascii="Arial" w:cs="Arial" w:eastAsia="Arial" w:hAnsi="Arial"/>
          <w:sz w:val="17"/>
          <w:szCs w:val="17"/>
          <w:b w:val="1"/>
          <w:bCs w:val="1"/>
          <w:color w:val="auto"/>
        </w:rPr>
      </w:pPr>
    </w:p>
    <w:p>
      <w:pPr>
        <w:ind w:left="940" w:right="260"/>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Non-GAAP net income for the third quarter was $401.2 million, after adjusting for stock-based compensation expense and related payroll taxes, losses (gains) on strategic investments, net, acquisition-related expenses, restructuring expenses, litigation settlements, net, undistributed earnings attributable to participating securities, and the tax effects on non-GAAP adjustments. Non-GAAP net income per share was $1.29. In the third quarter of fiscal year 2023, non-GAAP net income was $323.2 million, or $1.07 per share.</w:t>
      </w:r>
    </w:p>
    <w:p>
      <w:pPr>
        <w:spacing w:after="0" w:line="153" w:lineRule="exact"/>
        <w:rPr>
          <w:rFonts w:ascii="Arial" w:cs="Arial" w:eastAsia="Arial" w:hAnsi="Arial"/>
          <w:sz w:val="17"/>
          <w:szCs w:val="17"/>
          <w:b w:val="1"/>
          <w:bCs w:val="1"/>
          <w:color w:val="auto"/>
        </w:rPr>
      </w:pPr>
    </w:p>
    <w:p>
      <w:pPr>
        <w:ind w:left="940" w:right="320" w:hanging="316"/>
        <w:spacing w:after="0" w:line="290" w:lineRule="auto"/>
        <w:tabs>
          <w:tab w:leader="none" w:pos="936"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and Marketable Securities: </w:t>
      </w:r>
      <w:r>
        <w:rPr>
          <w:rFonts w:ascii="Arial" w:cs="Arial" w:eastAsia="Arial" w:hAnsi="Arial"/>
          <w:sz w:val="17"/>
          <w:szCs w:val="17"/>
          <w:color w:val="auto"/>
        </w:rPr>
        <w:t>Total cash, cash equivalents, and marketable securities, excluding restricted cash, as of October 31, 2023 was</w:t>
      </w:r>
      <w:r>
        <w:rPr>
          <w:rFonts w:ascii="Arial" w:cs="Arial" w:eastAsia="Arial" w:hAnsi="Arial"/>
          <w:sz w:val="17"/>
          <w:szCs w:val="17"/>
          <w:b w:val="1"/>
          <w:bCs w:val="1"/>
          <w:color w:val="auto"/>
        </w:rPr>
        <w:t xml:space="preserve"> </w:t>
      </w:r>
      <w:r>
        <w:rPr>
          <w:rFonts w:ascii="Arial" w:cs="Arial" w:eastAsia="Arial" w:hAnsi="Arial"/>
          <w:sz w:val="17"/>
          <w:szCs w:val="17"/>
          <w:color w:val="auto"/>
        </w:rPr>
        <w:t>$6.5 billion.</w:t>
      </w:r>
    </w:p>
    <w:p>
      <w:pPr>
        <w:spacing w:after="0" w:line="44" w:lineRule="exact"/>
        <w:rPr>
          <w:rFonts w:ascii="Arial" w:cs="Arial" w:eastAsia="Arial" w:hAnsi="Arial"/>
          <w:sz w:val="17"/>
          <w:szCs w:val="17"/>
          <w:b w:val="1"/>
          <w:bCs w:val="1"/>
          <w:color w:val="auto"/>
        </w:rPr>
      </w:pPr>
    </w:p>
    <w:p>
      <w:pPr>
        <w:ind w:left="940" w:right="340" w:hanging="316"/>
        <w:spacing w:after="0" w:line="296"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Cash Flow: </w:t>
      </w:r>
      <w:r>
        <w:rPr>
          <w:rFonts w:ascii="Arial" w:cs="Arial" w:eastAsia="Arial" w:hAnsi="Arial"/>
          <w:sz w:val="16"/>
          <w:szCs w:val="16"/>
          <w:color w:val="auto"/>
        </w:rPr>
        <w:t>Net cash provided by operating activities was $493.2 million for the third quarter, compared to $295.3 million in the third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2023, up 67.0% year over year. Free cash flow, which is net cash provided by operating activities less purchases of property and equipment, was $453.2 million, compared to $272.6 million in the third quarter of fiscal year 2023, up 66.2% year over year.</w:t>
      </w:r>
    </w:p>
    <w:p>
      <w:pPr>
        <w:spacing w:after="0" w:line="146"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b w:val="1"/>
          <w:bCs w:val="1"/>
          <w:color w:val="auto"/>
        </w:rPr>
        <w:t xml:space="preserve">Customer Metrics: </w:t>
      </w:r>
      <w:r>
        <w:rPr>
          <w:rFonts w:ascii="Arial" w:cs="Arial" w:eastAsia="Arial" w:hAnsi="Arial"/>
          <w:sz w:val="17"/>
          <w:szCs w:val="17"/>
          <w:color w:val="auto"/>
        </w:rPr>
        <w:t>Drivers of total revenue included acquiring new customers and expanding across existing customers. At the end of the third quarter of fiscal</w:t>
      </w:r>
      <w:r>
        <w:rPr>
          <w:rFonts w:ascii="Arial" w:cs="Arial" w:eastAsia="Arial" w:hAnsi="Arial"/>
          <w:sz w:val="17"/>
          <w:szCs w:val="17"/>
          <w:b w:val="1"/>
          <w:bCs w:val="1"/>
          <w:color w:val="auto"/>
        </w:rPr>
        <w:t xml:space="preserve"> </w:t>
      </w:r>
      <w:r>
        <w:rPr>
          <w:rFonts w:ascii="Arial" w:cs="Arial" w:eastAsia="Arial" w:hAnsi="Arial"/>
          <w:sz w:val="17"/>
          <w:szCs w:val="17"/>
          <w:color w:val="auto"/>
        </w:rPr>
        <w:t>year 2024, Zoom had:</w:t>
      </w:r>
    </w:p>
    <w:p>
      <w:pPr>
        <w:spacing w:after="0" w:line="50" w:lineRule="exact"/>
        <w:rPr>
          <w:sz w:val="20"/>
          <w:szCs w:val="20"/>
          <w:color w:val="auto"/>
        </w:rPr>
      </w:pPr>
    </w:p>
    <w:p>
      <w:pPr>
        <w:ind w:left="920" w:hanging="296"/>
        <w:spacing w:after="0"/>
        <w:tabs>
          <w:tab w:leader="none" w:pos="92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Approximately 219,700 Enterprise customers, up 5.0% from the same quarter last fiscal year.</w:t>
      </w:r>
    </w:p>
    <w:p>
      <w:pPr>
        <w:spacing w:after="0" w:line="114" w:lineRule="exact"/>
        <w:rPr>
          <w:rFonts w:ascii="Arial" w:cs="Arial" w:eastAsia="Arial" w:hAnsi="Arial"/>
          <w:sz w:val="17"/>
          <w:szCs w:val="17"/>
          <w:b w:val="1"/>
          <w:bCs w:val="1"/>
          <w:color w:val="auto"/>
        </w:rPr>
      </w:pPr>
    </w:p>
    <w:p>
      <w:pPr>
        <w:ind w:left="920" w:hanging="29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trailing 12-month net dollar expansion rate for Enterprise customers of 105%.</w:t>
      </w:r>
    </w:p>
    <w:p>
      <w:pPr>
        <w:sectPr>
          <w:pgSz w:w="11900" w:h="16838" w:orient="portrait"/>
          <w:cols w:equalWidth="0" w:num="1">
            <w:col w:w="11240"/>
          </w:cols>
          <w:pgMar w:left="320" w:top="1096" w:right="339" w:bottom="1440" w:gutter="0" w:footer="0" w:header="0"/>
        </w:sectPr>
      </w:pPr>
    </w:p>
    <w:bookmarkStart w:id="4" w:name="page5"/>
    <w:bookmarkEnd w:id="4"/>
    <w:p>
      <w:pPr>
        <w:ind w:left="920" w:hanging="296"/>
        <w:spacing w:after="0"/>
        <w:tabs>
          <w:tab w:leader="none" w:pos="92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3,731 customers contributing more than $100,000 in trailing 12 months revenue, up approximately 13.5% from the same quarter last fiscal year.</w:t>
      </w:r>
    </w:p>
    <w:p>
      <w:pPr>
        <w:spacing w:after="0" w:line="126" w:lineRule="exact"/>
        <w:rPr>
          <w:rFonts w:ascii="Arial" w:cs="Arial" w:eastAsia="Arial" w:hAnsi="Arial"/>
          <w:sz w:val="16"/>
          <w:szCs w:val="16"/>
          <w:b w:val="1"/>
          <w:bCs w:val="1"/>
          <w:color w:val="auto"/>
        </w:rPr>
      </w:pPr>
    </w:p>
    <w:p>
      <w:pPr>
        <w:ind w:left="920" w:hanging="296"/>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Online average monthly churn of 3.0% for the third quarter, down 10 bps from the same quarter last fiscal year.</w:t>
      </w:r>
    </w:p>
    <w:p>
      <w:pPr>
        <w:spacing w:after="0" w:line="114" w:lineRule="exact"/>
        <w:rPr>
          <w:rFonts w:ascii="Arial" w:cs="Arial" w:eastAsia="Arial" w:hAnsi="Arial"/>
          <w:sz w:val="17"/>
          <w:szCs w:val="17"/>
          <w:color w:val="auto"/>
        </w:rPr>
      </w:pPr>
    </w:p>
    <w:p>
      <w:pPr>
        <w:ind w:left="940" w:right="120" w:hanging="316"/>
        <w:spacing w:after="0" w:line="283" w:lineRule="auto"/>
        <w:tabs>
          <w:tab w:leader="none" w:pos="9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percentage of total Online MRR from Online customers with a continual term of service of at least 16 months was 73.2%, up 250 bps year over year.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Outlook: </w:t>
      </w:r>
      <w:r>
        <w:rPr>
          <w:rFonts w:ascii="Arial" w:cs="Arial" w:eastAsia="Arial" w:hAnsi="Arial"/>
          <w:sz w:val="17"/>
          <w:szCs w:val="17"/>
          <w:color w:val="auto"/>
        </w:rPr>
        <w:t>Zoom is providing the following guidance for its fourth quarter of fiscal year 2024 and its full fiscal year 2024.</w:t>
      </w:r>
    </w:p>
    <w:p>
      <w:pPr>
        <w:spacing w:after="0" w:line="121" w:lineRule="exact"/>
        <w:rPr>
          <w:sz w:val="20"/>
          <w:szCs w:val="20"/>
          <w:color w:val="auto"/>
        </w:rPr>
      </w:pPr>
    </w:p>
    <w:p>
      <w:pPr>
        <w:ind w:left="940" w:right="100" w:hanging="316"/>
        <w:spacing w:after="0" w:line="320" w:lineRule="auto"/>
        <w:tabs>
          <w:tab w:leader="none" w:pos="936" w:val="left"/>
        </w:tabs>
        <w:numPr>
          <w:ilvl w:val="0"/>
          <w:numId w:val="6"/>
        </w:numPr>
        <w:rPr>
          <w:rFonts w:ascii="Arial" w:cs="Arial" w:eastAsia="Arial" w:hAnsi="Arial"/>
          <w:sz w:val="15"/>
          <w:szCs w:val="15"/>
          <w:b w:val="1"/>
          <w:bCs w:val="1"/>
          <w:color w:val="auto"/>
        </w:rPr>
      </w:pPr>
      <w:r>
        <w:rPr>
          <w:rFonts w:ascii="Arial" w:cs="Arial" w:eastAsia="Arial" w:hAnsi="Arial"/>
          <w:sz w:val="15"/>
          <w:szCs w:val="15"/>
          <w:color w:val="auto"/>
        </w:rPr>
        <w:t>Fourth Quarter Fiscal Year 2024: Total revenue is expected to be between $1.125 billion and $1.130 billion and revenue in constant currency is expected to be between $1.129 billion and $1.134 billion. Non-GAAP income from operations is expected to be between $409.0 million and $414.0 million. Non-GAAP diluted EPS is expected to be between $1.13 and $1.15 with approximately 312 million weighted average shares outstanding.</w:t>
      </w:r>
    </w:p>
    <w:p>
      <w:pPr>
        <w:spacing w:after="0" w:line="33" w:lineRule="exact"/>
        <w:rPr>
          <w:rFonts w:ascii="Arial" w:cs="Arial" w:eastAsia="Arial" w:hAnsi="Arial"/>
          <w:sz w:val="15"/>
          <w:szCs w:val="15"/>
          <w:b w:val="1"/>
          <w:bCs w:val="1"/>
          <w:color w:val="auto"/>
        </w:rPr>
      </w:pPr>
    </w:p>
    <w:p>
      <w:pPr>
        <w:jc w:val="both"/>
        <w:ind w:left="940" w:right="120" w:hanging="316"/>
        <w:spacing w:after="0" w:line="263" w:lineRule="auto"/>
        <w:tabs>
          <w:tab w:leader="none" w:pos="936"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Full Fiscal Year 2024: Total revenue is expected to be between $4.506 billion and $4.511 billion and revenue in constant currency is expected to be between $4.542 billion and $4.547 billion. Full fiscal year non-GAAP income from operations is expected to be between $1.740 billion and $1.745 billion. Full fiscal year non-GAAP diluted EPS is expected to be between $4.93 and $4.95 with approximately 308 million weighted average shares outstanding.</w:t>
      </w:r>
    </w:p>
    <w:p>
      <w:pPr>
        <w:spacing w:after="0" w:line="177"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 supplemental financial presentation and other information can be accessed through Zoom’s investor relations website at investors.zoom.us.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 Video Earnings Call</w:t>
      </w:r>
    </w:p>
    <w:p>
      <w:pPr>
        <w:spacing w:after="0" w:line="108"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color w:val="auto"/>
        </w:rPr>
        <w:t>Zoom will host a Zoom Video Webinar for investors on November 20, 2023 at 2:00 p.m. Pacific Time / 5:00 p.m. Eastern Time to discuss the company’s financial results, business highlights and financial outlook. Investors are invited to join the Zoom Video Webinar by visiting: https://investors.zoom.us/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Zoom</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Zoom is an all-in-one intelligent collaboration platform that makes connecting easier, more immersive, and more dynamic for businesses and individuals. Zoom technology puts people at the center, enabling meaningful connections, facilitating modern collaboration, and driving human innovation through solutions like team chat, phone, meetings, omnichannel cloud contact center, smart recordings, whiteboard, and more, in one offering. Founded in 2011, Zoom is publicly traded (NASDAQ:ZM) and headquartered in San Jose, California. Get more info at zoom.com.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This press release contains express and implied “forward-looking statements” within the meaning of the Private Securities Litigation Reform Act of 1995, including statements regarding Zoom's financial outlook for the fourth quarter of fiscal year 2024 and full fiscal year 2024, Zoom’s market position, opportunities, and growth strategy, product initiatives, including Zoom AI Companion,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other macroeconomic conditions, including inflation and at the current scale of our business,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w:t>
      </w:r>
    </w:p>
    <w:p>
      <w:pPr>
        <w:sectPr>
          <w:pgSz w:w="11900" w:h="16838" w:orient="portrait"/>
          <w:cols w:equalWidth="0" w:num="1">
            <w:col w:w="11240"/>
          </w:cols>
          <w:pgMar w:left="320" w:top="967" w:right="339" w:bottom="1440" w:gutter="0" w:footer="0" w:header="0"/>
        </w:sectPr>
      </w:pPr>
    </w:p>
    <w:bookmarkStart w:id="5" w:name="page6"/>
    <w:bookmarkEnd w:id="5"/>
    <w:p>
      <w:pPr>
        <w:ind w:right="20"/>
        <w:spacing w:after="0" w:line="245" w:lineRule="auto"/>
        <w:rPr>
          <w:sz w:val="20"/>
          <w:szCs w:val="20"/>
          <w:color w:val="auto"/>
        </w:rPr>
      </w:pPr>
      <w:r>
        <w:rPr>
          <w:rFonts w:ascii="Arial" w:cs="Arial" w:eastAsia="Arial" w:hAnsi="Arial"/>
          <w:sz w:val="17"/>
          <w:szCs w:val="17"/>
          <w:color w:val="auto"/>
        </w:rPr>
        <w:t>materially from those contemplated by the forward-looking statements are included under the caption “Risk Factors” and elsewhere in our most recent filings with the Securities and Exchange Commission (the “SEC”), including our quarterly report on Form 10-Q for the fiscal quarter ended July 31, 2023.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7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73"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and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60"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restructuring expenses, gains/losses on strategic investments, net, litigation settlements, net, undistributed earnings attributable to participating securities, and the tax effects of all non-GAAP adjustments. Zoom excludes gains/loses on strategic investments, net because given the size and volatility in the ongoing adjustments to the valuation of our strategic investments. Zoom believes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5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w:t>
      </w:r>
    </w:p>
    <w:p>
      <w:pPr>
        <w:spacing w:after="0" w:line="52"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w:t>
      </w:r>
    </w:p>
    <w:p>
      <w:pPr>
        <w:sectPr>
          <w:pgSz w:w="11900" w:h="16838" w:orient="portrait"/>
          <w:cols w:equalWidth="0" w:num="1">
            <w:col w:w="11220"/>
          </w:cols>
          <w:pgMar w:left="320" w:top="851" w:right="359" w:bottom="1440" w:gutter="0" w:footer="0" w:header="0"/>
        </w:sectPr>
      </w:pPr>
    </w:p>
    <w:bookmarkStart w:id="6" w:name="page7"/>
    <w:bookmarkEnd w:id="6"/>
    <w:p>
      <w:pPr>
        <w:ind w:right="300"/>
        <w:spacing w:after="0" w:line="283" w:lineRule="auto"/>
        <w:rPr>
          <w:sz w:val="20"/>
          <w:szCs w:val="20"/>
          <w:color w:val="auto"/>
        </w:rPr>
      </w:pPr>
      <w:r>
        <w:rPr>
          <w:rFonts w:ascii="Arial" w:cs="Arial" w:eastAsia="Arial" w:hAnsi="Arial"/>
          <w:sz w:val="17"/>
          <w:szCs w:val="17"/>
          <w:color w:val="auto"/>
        </w:rPr>
        <w:t>revenue in constant currency information as a framework for assessing how Zoom's underlying businesses performed period to period, excluding the effects of foreign currency fluctuations.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Metrics</w:t>
      </w:r>
    </w:p>
    <w:p>
      <w:pPr>
        <w:spacing w:after="0" w:line="121" w:lineRule="exact"/>
        <w:rPr>
          <w:sz w:val="20"/>
          <w:szCs w:val="20"/>
          <w:color w:val="auto"/>
        </w:rPr>
      </w:pPr>
    </w:p>
    <w:p>
      <w:pPr>
        <w:jc w:val="both"/>
        <w:ind w:right="40"/>
        <w:spacing w:after="0" w:line="320" w:lineRule="auto"/>
        <w:rPr>
          <w:sz w:val="20"/>
          <w:szCs w:val="20"/>
          <w:color w:val="auto"/>
        </w:rPr>
      </w:pPr>
      <w:r>
        <w:rPr>
          <w:rFonts w:ascii="Arial" w:cs="Arial" w:eastAsia="Arial" w:hAnsi="Arial"/>
          <w:sz w:val="15"/>
          <w:szCs w:val="15"/>
          <w:color w:val="auto"/>
        </w:rPr>
        <w:t>Zoom defines a customer as a separate and distinct buying entity, which can be a single paid user or host or an organization of any size (including a distinct unit of an organization) that has multiple paid hosts. Zoom defines Enterprise customers as distinct business units who have been engaged by either our direct sales team, resellers, or strategic partners. All other customers that subscribe to our services directly through our website are referred to as Online customers.</w:t>
      </w: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Public Relations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Colleen Rodriguez</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press@zoom.us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Tom McCallum</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investors@zoom.us</w:t>
      </w:r>
    </w:p>
    <w:p>
      <w:pPr>
        <w:sectPr>
          <w:pgSz w:w="11900" w:h="16838" w:orient="portrait"/>
          <w:cols w:equalWidth="0" w:num="1">
            <w:col w:w="11240"/>
          </w:cols>
          <w:pgMar w:left="320" w:top="96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As of</w:t>
            </w:r>
          </w:p>
        </w:tc>
        <w:tc>
          <w:tcPr>
            <w:tcW w:w="1200" w:type="dxa"/>
            <w:vAlign w:val="bottom"/>
          </w:tcPr>
          <w:p>
            <w:pPr>
              <w:spacing w:after="0"/>
              <w:rPr>
                <w:sz w:val="15"/>
                <w:szCs w:val="15"/>
                <w:color w:val="auto"/>
              </w:rPr>
            </w:pPr>
          </w:p>
        </w:tc>
      </w:tr>
      <w:tr>
        <w:trPr>
          <w:trHeight w:val="25"/>
        </w:trPr>
        <w:tc>
          <w:tcPr>
            <w:tcW w:w="8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6"/>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0"/>
              </w:rPr>
              <w:t>October 31,</w:t>
            </w:r>
          </w:p>
        </w:tc>
        <w:tc>
          <w:tcPr>
            <w:tcW w:w="220" w:type="dxa"/>
            <w:vAlign w:val="bottom"/>
          </w:tcPr>
          <w:p>
            <w:pPr>
              <w:spacing w:after="0"/>
              <w:rPr>
                <w:sz w:val="10"/>
                <w:szCs w:val="10"/>
                <w:color w:val="auto"/>
              </w:rPr>
            </w:pPr>
          </w:p>
        </w:tc>
        <w:tc>
          <w:tcPr>
            <w:tcW w:w="1200" w:type="dxa"/>
            <w:vAlign w:val="bottom"/>
          </w:tcPr>
          <w:p>
            <w:pPr>
              <w:jc w:val="right"/>
              <w:ind w:right="275"/>
              <w:spacing w:after="0" w:line="126" w:lineRule="exact"/>
              <w:rPr>
                <w:sz w:val="20"/>
                <w:szCs w:val="20"/>
                <w:color w:val="auto"/>
              </w:rPr>
            </w:pPr>
            <w:r>
              <w:rPr>
                <w:rFonts w:ascii="Arial" w:cs="Arial" w:eastAsia="Arial" w:hAnsi="Arial"/>
                <w:sz w:val="14"/>
                <w:szCs w:val="14"/>
                <w:b w:val="1"/>
                <w:bCs w:val="1"/>
                <w:color w:val="auto"/>
              </w:rPr>
              <w:t>January 31,</w:t>
            </w:r>
          </w:p>
        </w:tc>
      </w:tr>
      <w:tr>
        <w:trPr>
          <w:trHeight w:val="185"/>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3"/>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r>
      <w:tr>
        <w:trPr>
          <w:trHeight w:val="218"/>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0"/>
              </w:rPr>
              <w:t>(unaudited)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1,492,910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1,086,830</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5,001,507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4,325,836</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557,404</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205,169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223,250</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271,128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163,092</w:t>
            </w: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7,484,759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6,356,412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179,991</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291,844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252,821</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80,906</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353,022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398,992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122,641</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531,677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558,428</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177,874</w:t>
            </w:r>
          </w:p>
        </w:tc>
      </w:tr>
      <w:tr>
        <w:trPr>
          <w:trHeight w:val="213"/>
        </w:trPr>
        <w:tc>
          <w:tcPr>
            <w:tcW w:w="82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9,317,472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8,128,065</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14,414</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441,472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457,716</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1,297,102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1,266,514</w:t>
            </w:r>
          </w:p>
        </w:tc>
      </w:tr>
      <w:tr>
        <w:trPr>
          <w:trHeight w:val="213"/>
        </w:trPr>
        <w:tc>
          <w:tcPr>
            <w:tcW w:w="8280" w:type="dxa"/>
            <w:vAlign w:val="bottom"/>
          </w:tcPr>
          <w:p>
            <w:pPr>
              <w:ind w:left="520"/>
              <w:spacing w:after="0"/>
              <w:rPr>
                <w:sz w:val="20"/>
                <w:szCs w:val="20"/>
                <w:color w:val="auto"/>
              </w:rPr>
            </w:pPr>
            <w:r>
              <w:rPr>
                <w:rFonts w:ascii="Arial" w:cs="Arial" w:eastAsia="Arial" w:hAnsi="Arial"/>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1,753,005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1,738,644</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41,932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73,687</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67,195</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1,904,071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1,921,458</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4,949,757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4,104,880</w:t>
            </w:r>
          </w:p>
        </w:tc>
      </w:tr>
      <w:tr>
        <w:trPr>
          <w:trHeight w:val="220"/>
        </w:trPr>
        <w:tc>
          <w:tcPr>
            <w:tcW w:w="828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(50,385)</w:t>
            </w:r>
          </w:p>
        </w:tc>
      </w:tr>
      <w:tr>
        <w:trPr>
          <w:trHeight w:val="220"/>
        </w:trPr>
        <w:tc>
          <w:tcPr>
            <w:tcW w:w="82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2,490,448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2,151,818</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7,413,401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6,206,607</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9,317,472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8,128,065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Note: The amount of unbilled accounts receivable included within accounts receivable, net on the condensed consolidated balance sheets was $132.3 million and $91.6 million as of October 31, 2023 and January 31, 2023, respectively.</w:t>
      </w:r>
    </w:p>
    <w:p>
      <w:pPr>
        <w:sectPr>
          <w:pgSz w:w="11900" w:h="16838" w:orient="portrait"/>
          <w:cols w:equalWidth="0" w:num="1">
            <w:col w:w="11240"/>
          </w:cols>
          <w:pgMar w:left="320" w:top="85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5"/>
                <w:szCs w:val="15"/>
                <w:color w:val="auto"/>
              </w:rPr>
            </w:pPr>
          </w:p>
        </w:tc>
        <w:tc>
          <w:tcPr>
            <w:tcW w:w="262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w w:val="98"/>
              </w:rPr>
              <w:t>Nine Months Ended October 31,</w:t>
            </w:r>
          </w:p>
        </w:tc>
      </w:tr>
      <w:tr>
        <w:trPr>
          <w:trHeight w:val="25"/>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0"/>
        </w:trPr>
        <w:tc>
          <w:tcPr>
            <w:tcW w:w="5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1,101,899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3,275,157</w:t>
            </w:r>
          </w:p>
        </w:tc>
      </w:tr>
      <w:tr>
        <w:trPr>
          <w:trHeight w:val="22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801,494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806,097</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865,739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831,234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2,579,273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2,469,060</w:t>
            </w:r>
          </w:p>
        </w:tc>
      </w:tr>
      <w:tr>
        <w:trPr>
          <w:trHeight w:val="200"/>
        </w:trPr>
        <w:tc>
          <w:tcPr>
            <w:tcW w:w="52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512,801</w:t>
            </w:r>
          </w:p>
        </w:tc>
      </w:tr>
      <w:tr>
        <w:trPr>
          <w:trHeight w:val="220"/>
        </w:trPr>
        <w:tc>
          <w:tcPr>
            <w:tcW w:w="524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374,378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427,747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1,170,255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1,191,004</w:t>
            </w:r>
          </w:p>
        </w:tc>
      </w:tr>
      <w:tr>
        <w:trPr>
          <w:trHeight w:val="220"/>
        </w:trPr>
        <w:tc>
          <w:tcPr>
            <w:tcW w:w="5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389,939</w:t>
            </w:r>
          </w:p>
        </w:tc>
      </w:tr>
      <w:tr>
        <w:trPr>
          <w:trHeight w:val="213"/>
        </w:trPr>
        <w:tc>
          <w:tcPr>
            <w:tcW w:w="5240" w:type="dxa"/>
            <w:vAlign w:val="bottom"/>
            <w:tcBorders>
              <w:bottom w:val="single" w:sz="8" w:color="CCEEFF"/>
            </w:tcBorders>
          </w:tcPr>
          <w:p>
            <w:pPr>
              <w:ind w:left="5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696,350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764,726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2,222,524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2,093,744</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375,316</w:t>
            </w:r>
          </w:p>
        </w:tc>
      </w:tr>
      <w:tr>
        <w:trPr>
          <w:trHeight w:val="220"/>
        </w:trPr>
        <w:tc>
          <w:tcPr>
            <w:tcW w:w="5240" w:type="dxa"/>
            <w:vAlign w:val="bottom"/>
          </w:tcPr>
          <w:p>
            <w:pPr>
              <w:ind w:left="20"/>
              <w:spacing w:after="0"/>
              <w:rPr>
                <w:sz w:val="20"/>
                <w:szCs w:val="20"/>
                <w:color w:val="auto"/>
              </w:rPr>
            </w:pPr>
            <w:r>
              <w:rPr>
                <w:rFonts w:ascii="Arial" w:cs="Arial" w:eastAsia="Arial" w:hAnsi="Arial"/>
                <w:sz w:val="17"/>
                <w:szCs w:val="17"/>
                <w:color w:val="auto"/>
              </w:rPr>
              <w:t>(Losses) 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(78,014)</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(8,482)</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54,749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479,429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288,820</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81,059</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141,212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48,353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338,630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207,761</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Undistributed earnings attributable to participating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color w:val="auto"/>
              </w:rPr>
              <w:t>Net income attributable to common stockholders</w:t>
            </w: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141,212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48,353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338,630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207,744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40" w:type="dxa"/>
            <w:vAlign w:val="bottom"/>
          </w:tcPr>
          <w:p>
            <w:pPr>
              <w:ind w:left="20"/>
              <w:spacing w:after="0"/>
              <w:rPr>
                <w:sz w:val="20"/>
                <w:szCs w:val="20"/>
                <w:color w:val="auto"/>
              </w:rPr>
            </w:pPr>
            <w:r>
              <w:rPr>
                <w:rFonts w:ascii="Arial" w:cs="Arial" w:eastAsia="Arial" w:hAnsi="Arial"/>
                <w:sz w:val="17"/>
                <w:szCs w:val="17"/>
                <w:color w:val="auto"/>
              </w:rPr>
              <w:t>Net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40" w:type="dxa"/>
            <w:vAlign w:val="bottom"/>
          </w:tcPr>
          <w:p>
            <w:pPr>
              <w:ind w:left="20"/>
              <w:spacing w:after="0" w:line="191" w:lineRule="exact"/>
              <w:rPr>
                <w:sz w:val="20"/>
                <w:szCs w:val="20"/>
                <w:color w:val="auto"/>
              </w:rPr>
            </w:pPr>
            <w:r>
              <w:rPr>
                <w:rFonts w:ascii="Arial" w:cs="Arial" w:eastAsia="Arial" w:hAnsi="Arial"/>
                <w:sz w:val="17"/>
                <w:szCs w:val="17"/>
                <w:color w:val="auto"/>
              </w:rPr>
              <w:t>Diluted</w:t>
            </w:r>
          </w:p>
        </w:tc>
        <w:tc>
          <w:tcPr>
            <w:tcW w:w="30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0.45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0.16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1.10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035" cy="254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p>
      <w:pPr>
        <w:spacing w:after="0" w:line="13" w:lineRule="exact"/>
        <w:rPr>
          <w:sz w:val="20"/>
          <w:szCs w:val="20"/>
          <w:color w:val="auto"/>
        </w:rPr>
      </w:pPr>
    </w:p>
    <w:p>
      <w:pPr>
        <w:ind w:left="20" w:right="480"/>
        <w:spacing w:after="0" w:line="237" w:lineRule="auto"/>
        <w:rPr>
          <w:sz w:val="20"/>
          <w:szCs w:val="20"/>
          <w:color w:val="auto"/>
        </w:rPr>
      </w:pPr>
      <w:r>
        <w:rPr>
          <w:rFonts w:ascii="Arial" w:cs="Arial" w:eastAsia="Arial" w:hAnsi="Arial"/>
          <w:sz w:val="17"/>
          <w:szCs w:val="17"/>
          <w:color w:val="auto"/>
        </w:rPr>
        <w:t>Weighted-average shares used in computing net income per share attributable to common stockholders: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tabs>
          <w:tab w:leader="none" w:pos="1500" w:val="left"/>
          <w:tab w:leader="none" w:pos="3040" w:val="left"/>
          <w:tab w:leader="none" w:pos="4560" w:val="left"/>
        </w:tabs>
        <w:rPr>
          <w:sz w:val="20"/>
          <w:szCs w:val="20"/>
          <w:color w:val="auto"/>
        </w:rPr>
      </w:pPr>
      <w:r>
        <w:rPr>
          <w:rFonts w:ascii="Arial" w:cs="Arial" w:eastAsia="Arial" w:hAnsi="Arial"/>
          <w:sz w:val="17"/>
          <w:szCs w:val="17"/>
          <w:color w:val="auto"/>
        </w:rPr>
        <w:t>302,493,182</w:t>
      </w:r>
      <w:r>
        <w:rPr>
          <w:sz w:val="20"/>
          <w:szCs w:val="20"/>
          <w:color w:val="auto"/>
        </w:rPr>
        <w:tab/>
      </w:r>
      <w:r>
        <w:rPr>
          <w:rFonts w:ascii="Arial" w:cs="Arial" w:eastAsia="Arial" w:hAnsi="Arial"/>
          <w:sz w:val="17"/>
          <w:szCs w:val="17"/>
          <w:color w:val="auto"/>
        </w:rPr>
        <w:t>295,537,026</w:t>
      </w:r>
      <w:r>
        <w:rPr>
          <w:sz w:val="20"/>
          <w:szCs w:val="20"/>
          <w:color w:val="auto"/>
        </w:rPr>
        <w:tab/>
      </w:r>
      <w:r>
        <w:rPr>
          <w:rFonts w:ascii="Arial" w:cs="Arial" w:eastAsia="Arial" w:hAnsi="Arial"/>
          <w:sz w:val="17"/>
          <w:szCs w:val="17"/>
          <w:color w:val="auto"/>
        </w:rPr>
        <w:t>299,037,999</w:t>
      </w:r>
      <w:r>
        <w:rPr>
          <w:sz w:val="20"/>
          <w:szCs w:val="20"/>
          <w:color w:val="auto"/>
        </w:rPr>
        <w:tab/>
      </w:r>
      <w:r>
        <w:rPr>
          <w:rFonts w:ascii="Arial" w:cs="Arial" w:eastAsia="Arial" w:hAnsi="Arial"/>
          <w:sz w:val="15"/>
          <w:szCs w:val="15"/>
          <w:color w:val="auto"/>
        </w:rPr>
        <w:t>297,765,848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-3642360</wp:posOffset>
            </wp:positionH>
            <wp:positionV relativeFrom="paragraph">
              <wp:posOffset>15240</wp:posOffset>
            </wp:positionV>
            <wp:extent cx="713803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88595"/>
                    </a:xfrm>
                    <a:prstGeom prst="rect">
                      <a:avLst/>
                    </a:prstGeom>
                    <a:noFill/>
                  </pic:spPr>
                </pic:pic>
              </a:graphicData>
            </a:graphic>
          </wp:anchor>
        </w:drawing>
      </w:r>
    </w:p>
    <w:p>
      <w:pPr>
        <w:spacing w:after="0" w:line="56" w:lineRule="exact"/>
        <w:rPr>
          <w:sz w:val="20"/>
          <w:szCs w:val="20"/>
          <w:color w:val="auto"/>
        </w:rPr>
      </w:pPr>
    </w:p>
    <w:p>
      <w:pPr>
        <w:spacing w:after="0"/>
        <w:tabs>
          <w:tab w:leader="none" w:pos="1500" w:val="left"/>
          <w:tab w:leader="none" w:pos="3040" w:val="left"/>
          <w:tab w:leader="none" w:pos="4560" w:val="left"/>
        </w:tabs>
        <w:rPr>
          <w:sz w:val="20"/>
          <w:szCs w:val="20"/>
          <w:color w:val="auto"/>
        </w:rPr>
      </w:pPr>
      <w:r>
        <w:rPr>
          <w:rFonts w:ascii="Arial" w:cs="Arial" w:eastAsia="Arial" w:hAnsi="Arial"/>
          <w:sz w:val="17"/>
          <w:szCs w:val="17"/>
          <w:color w:val="auto"/>
        </w:rPr>
        <w:t>310,389,905</w:t>
      </w:r>
      <w:r>
        <w:rPr>
          <w:sz w:val="20"/>
          <w:szCs w:val="20"/>
          <w:color w:val="auto"/>
        </w:rPr>
        <w:tab/>
      </w:r>
      <w:r>
        <w:rPr>
          <w:rFonts w:ascii="Arial" w:cs="Arial" w:eastAsia="Arial" w:hAnsi="Arial"/>
          <w:sz w:val="17"/>
          <w:szCs w:val="17"/>
          <w:color w:val="auto"/>
        </w:rPr>
        <w:t>301,986,341</w:t>
      </w:r>
      <w:r>
        <w:rPr>
          <w:sz w:val="20"/>
          <w:szCs w:val="20"/>
          <w:color w:val="auto"/>
        </w:rPr>
        <w:tab/>
      </w:r>
      <w:r>
        <w:rPr>
          <w:rFonts w:ascii="Arial" w:cs="Arial" w:eastAsia="Arial" w:hAnsi="Arial"/>
          <w:sz w:val="17"/>
          <w:szCs w:val="17"/>
          <w:color w:val="auto"/>
        </w:rPr>
        <w:t>306,852,190</w:t>
      </w:r>
      <w:r>
        <w:rPr>
          <w:sz w:val="20"/>
          <w:szCs w:val="20"/>
          <w:color w:val="auto"/>
        </w:rPr>
        <w:tab/>
      </w:r>
      <w:r>
        <w:rPr>
          <w:rFonts w:ascii="Arial" w:cs="Arial" w:eastAsia="Arial" w:hAnsi="Arial"/>
          <w:sz w:val="15"/>
          <w:szCs w:val="15"/>
          <w:color w:val="auto"/>
        </w:rPr>
        <w:t>305,273,812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3806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06825" cy="8255"/>
                    </a:xfrm>
                    <a:prstGeom prst="rect">
                      <a:avLst/>
                    </a:prstGeom>
                    <a:noFill/>
                  </pic:spPr>
                </pic:pic>
              </a:graphicData>
            </a:graphic>
          </wp:anchor>
        </w:drawing>
      </w:r>
    </w:p>
    <w:p>
      <w:pPr>
        <w:sectPr>
          <w:pgSz w:w="11900" w:h="16838" w:orient="portrait"/>
          <w:cols w:equalWidth="0" w:num="2">
            <w:col w:w="5020" w:space="720"/>
            <w:col w:w="5500"/>
          </w:cols>
          <w:pgMar w:left="320" w:top="85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October 31,</w:t>
            </w:r>
          </w:p>
        </w:tc>
        <w:tc>
          <w:tcPr>
            <w:tcW w:w="320" w:type="dxa"/>
            <w:vAlign w:val="bottom"/>
          </w:tcPr>
          <w:p>
            <w:pPr>
              <w:spacing w:after="0"/>
              <w:rPr>
                <w:sz w:val="15"/>
                <w:szCs w:val="15"/>
                <w:color w:val="auto"/>
              </w:rPr>
            </w:pPr>
          </w:p>
        </w:tc>
        <w:tc>
          <w:tcPr>
            <w:tcW w:w="27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141,212</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48,353</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338,630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207,761</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operating</w:t>
            </w: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258,934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302,815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802,788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767,693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65,164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186,626</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26,977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21,766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77,179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57,921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Losses (gains) on strategic investments, net</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25,471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78,014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Unrealized foreign exchange losses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18,598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40,884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16,949</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Amortization of discount/premium on marketable securities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(238,020)</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(40,567)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(124,455)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(163,721)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contract acquisition costs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(217,822)</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24,561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58,936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116,391</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(54,414)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174,325</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lease liabilities, net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(17,668)</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493,153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295,314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1,247,611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1,078,674</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(1,137,431)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(350,196)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(2,963,597)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(1,927,049)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814,958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2,358,078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2,137,875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(108,413)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(75,568)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(65,050)</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Proceeds from strategic investments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107,244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(120,553)</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Purchases of intangible assets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(10,568)</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(364,260)</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447,748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(864,406)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(60,613)</w:t>
            </w: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w w:val="89"/>
              </w:rPr>
              <w:t>Proceeds from issuance of common stock for employee stock purchase plan</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32,513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34,605</w:t>
            </w: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w w:val="95"/>
              </w:rPr>
              <w:t>Proceeds from employee equity transactions (remitted) to be remitted to</w:t>
            </w:r>
          </w:p>
        </w:tc>
        <w:tc>
          <w:tcPr>
            <w:tcW w:w="3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employees and tax authorities, net</w:t>
            </w:r>
          </w:p>
        </w:tc>
        <w:tc>
          <w:tcPr>
            <w:tcW w:w="3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Arial" w:cs="Arial" w:eastAsia="Arial" w:hAnsi="Arial"/>
                <w:sz w:val="16"/>
                <w:szCs w:val="16"/>
                <w:color w:val="auto"/>
              </w:rPr>
              <w:t>Cash paid for repurchases of common stock</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(564,832)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(990,778)</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(559,866)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(948,687)</w:t>
            </w:r>
          </w:p>
        </w:tc>
        <w:tc>
          <w:tcPr>
            <w:tcW w:w="0" w:type="dxa"/>
            <w:vAlign w:val="bottom"/>
          </w:tcPr>
          <w:p>
            <w:pPr>
              <w:spacing w:after="0"/>
              <w:rPr>
                <w:sz w:val="1"/>
                <w:szCs w:val="1"/>
                <w:color w:val="auto"/>
              </w:rPr>
            </w:pPr>
          </w:p>
        </w:tc>
      </w:tr>
      <w:tr>
        <w:trPr>
          <w:trHeight w:val="19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0"/>
              </w:rPr>
              <w:t>Effect of exchange rate changes on cash, cash equivalents, and restricted cash</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(36,639)</w:t>
            </w:r>
          </w:p>
        </w:tc>
        <w:tc>
          <w:tcPr>
            <w:tcW w:w="0" w:type="dxa"/>
            <w:vAlign w:val="bottom"/>
          </w:tcPr>
          <w:p>
            <w:pPr>
              <w:spacing w:after="0"/>
              <w:rPr>
                <w:sz w:val="1"/>
                <w:szCs w:val="1"/>
                <w:color w:val="auto"/>
              </w:rPr>
            </w:pPr>
          </w:p>
        </w:tc>
      </w:tr>
      <w:tr>
        <w:trPr>
          <w:trHeight w:val="20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105,895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162,668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397,884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32,735</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1,392,232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943,420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1,100,243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1,073,353</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1,498,127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1,106,088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1,498,127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1,106,088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2"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7"/>
          <w:szCs w:val="17"/>
          <w:b w:val="1"/>
          <w:bCs w:val="1"/>
          <w:color w:val="auto"/>
        </w:rPr>
        <w:t>Zoom Video Communications,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Reconciliation of GAAP to Non-GAAP Measures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5"/>
                <w:szCs w:val="15"/>
                <w:color w:val="auto"/>
              </w:rPr>
            </w:pPr>
          </w:p>
        </w:tc>
        <w:tc>
          <w:tcPr>
            <w:tcW w:w="286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income from operations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169,389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66,508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356,749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375,316</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266,090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305,258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813,458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780,712</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Arial" w:cs="Arial" w:eastAsia="Arial" w:hAnsi="Arial"/>
                <w:sz w:val="17"/>
                <w:szCs w:val="17"/>
                <w:color w:val="auto"/>
              </w:rPr>
              <w:t>Litigation settlements, net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52,500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(4,226)</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Acquisition-related expenses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35,439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Arial" w:cs="Arial" w:eastAsia="Arial" w:hAnsi="Arial"/>
                <w:sz w:val="17"/>
                <w:szCs w:val="17"/>
                <w:color w:val="auto"/>
              </w:rPr>
              <w:t>Restructuring expenses</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72,993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Non-GAAP income from operations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447,139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380,885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1,331,139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1,174,252</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GAAP 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14.9 %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6.0 %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10.6 %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Non-GAAP operating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35.9 %</w:t>
            </w:r>
          </w:p>
        </w:tc>
        <w:tc>
          <w:tcPr>
            <w:tcW w:w="0" w:type="dxa"/>
            <w:vAlign w:val="bottom"/>
          </w:tcPr>
          <w:p>
            <w:pPr>
              <w:spacing w:after="0"/>
              <w:rPr>
                <w:sz w:val="1"/>
                <w:szCs w:val="1"/>
                <w:color w:val="auto"/>
              </w:rPr>
            </w:pPr>
          </w:p>
        </w:tc>
      </w:tr>
      <w:tr>
        <w:trPr>
          <w:trHeight w:val="258"/>
        </w:trPr>
        <w:tc>
          <w:tcPr>
            <w:tcW w:w="4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net income attributable to common stockholders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141,212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338,630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207,744</w:t>
            </w: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266,090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305,258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813,458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780,712</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Arial" w:cs="Arial" w:eastAsia="Arial" w:hAnsi="Arial"/>
                <w:sz w:val="17"/>
                <w:szCs w:val="17"/>
                <w:color w:val="auto"/>
              </w:rPr>
              <w:t>Litigation settlements, net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52,500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(4,226)</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Losses (gains) on strategic investments,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6,898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(8,474)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78,014</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Arial" w:cs="Arial" w:eastAsia="Arial" w:hAnsi="Arial"/>
                <w:sz w:val="17"/>
                <w:szCs w:val="17"/>
                <w:color w:val="auto"/>
              </w:rPr>
              <w:t>Acquisition-related expenses</w:t>
            </w:r>
          </w:p>
        </w:tc>
        <w:tc>
          <w:tcPr>
            <w:tcW w:w="2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11,660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9,119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35,439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22,450</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Restructuring expenses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72,993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00"/>
              <w:spacing w:after="0"/>
              <w:rPr>
                <w:sz w:val="20"/>
                <w:szCs w:val="20"/>
                <w:color w:val="auto"/>
              </w:rPr>
            </w:pPr>
            <w:r>
              <w:rPr>
                <w:rFonts w:ascii="Arial" w:cs="Arial" w:eastAsia="Arial" w:hAnsi="Arial"/>
                <w:sz w:val="17"/>
                <w:szCs w:val="17"/>
                <w:color w:val="auto"/>
              </w:rPr>
              <w:t>Undistributed earnings attributable to participating securities</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Tax effects on non-GAAP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(43,197)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(46,442)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(140,494)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(122,254)</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color w:val="auto"/>
              </w:rPr>
              <w:t>Non-GAAP net income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401,236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323,186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1,164,052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962,457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0"/>
              <w:spacing w:after="0"/>
              <w:rPr>
                <w:sz w:val="20"/>
                <w:szCs w:val="20"/>
                <w:color w:val="auto"/>
              </w:rPr>
            </w:pPr>
            <w:r>
              <w:rPr>
                <w:rFonts w:ascii="Arial" w:cs="Arial" w:eastAsia="Arial" w:hAnsi="Arial"/>
                <w:sz w:val="17"/>
                <w:szCs w:val="17"/>
                <w:color w:val="auto"/>
              </w:rPr>
              <w:t>Net income per share - basic and diluted:</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GAAP net income per share - basic</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0.70</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tcPr>
          <w:p>
            <w:pPr>
              <w:ind w:left="200"/>
              <w:spacing w:after="0" w:line="191" w:lineRule="exact"/>
              <w:rPr>
                <w:sz w:val="20"/>
                <w:szCs w:val="20"/>
                <w:color w:val="auto"/>
              </w:rPr>
            </w:pPr>
            <w:r>
              <w:rPr>
                <w:rFonts w:ascii="Arial" w:cs="Arial" w:eastAsia="Arial" w:hAnsi="Arial"/>
                <w:sz w:val="17"/>
                <w:szCs w:val="17"/>
                <w:color w:val="auto"/>
              </w:rPr>
              <w:t>Non-GAAP net income per share - basic</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5"/>
              <w:spacing w:after="0" w:line="191" w:lineRule="exact"/>
              <w:rPr>
                <w:sz w:val="20"/>
                <w:szCs w:val="20"/>
                <w:color w:val="auto"/>
              </w:rPr>
            </w:pPr>
            <w:r>
              <w:rPr>
                <w:rFonts w:ascii="Arial" w:cs="Arial" w:eastAsia="Arial" w:hAnsi="Arial"/>
                <w:sz w:val="17"/>
                <w:szCs w:val="17"/>
                <w:color w:val="auto"/>
              </w:rPr>
              <w:t>1.33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rPr>
              <w:t>1.09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Arial" w:cs="Arial" w:eastAsia="Arial" w:hAnsi="Arial"/>
                <w:sz w:val="17"/>
                <w:szCs w:val="17"/>
                <w:color w:val="auto"/>
              </w:rPr>
              <w:t>3.89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GAAP net income per share - diluted</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tcPr>
          <w:p>
            <w:pPr>
              <w:ind w:left="200"/>
              <w:spacing w:after="0" w:line="191" w:lineRule="exact"/>
              <w:rPr>
                <w:sz w:val="20"/>
                <w:szCs w:val="20"/>
                <w:color w:val="auto"/>
              </w:rPr>
            </w:pPr>
            <w:r>
              <w:rPr>
                <w:rFonts w:ascii="Arial" w:cs="Arial" w:eastAsia="Arial" w:hAnsi="Arial"/>
                <w:sz w:val="17"/>
                <w:szCs w:val="17"/>
                <w:color w:val="auto"/>
              </w:rPr>
              <w:t>Non-GAAP net income per share - diluted</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5"/>
              <w:spacing w:after="0" w:line="191" w:lineRule="exact"/>
              <w:rPr>
                <w:sz w:val="20"/>
                <w:szCs w:val="20"/>
                <w:color w:val="auto"/>
              </w:rPr>
            </w:pPr>
            <w:r>
              <w:rPr>
                <w:rFonts w:ascii="Arial" w:cs="Arial" w:eastAsia="Arial" w:hAnsi="Arial"/>
                <w:sz w:val="17"/>
                <w:szCs w:val="17"/>
                <w:color w:val="auto"/>
              </w:rPr>
              <w:t>1.29</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Arial" w:cs="Arial" w:eastAsia="Arial" w:hAnsi="Arial"/>
                <w:sz w:val="17"/>
                <w:szCs w:val="17"/>
                <w:color w:val="auto"/>
              </w:rPr>
              <w:t>1.07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Arial" w:cs="Arial" w:eastAsia="Arial" w:hAnsi="Arial"/>
                <w:sz w:val="17"/>
                <w:szCs w:val="17"/>
                <w:color w:val="auto"/>
              </w:rPr>
              <w:t>3.79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880" w:type="dxa"/>
            <w:vAlign w:val="bottom"/>
          </w:tcPr>
          <w:p>
            <w:pPr>
              <w:ind w:left="20"/>
              <w:spacing w:after="0" w:line="181" w:lineRule="exact"/>
              <w:rPr>
                <w:sz w:val="20"/>
                <w:szCs w:val="20"/>
                <w:color w:val="auto"/>
              </w:rPr>
            </w:pPr>
            <w:r>
              <w:rPr>
                <w:rFonts w:ascii="Arial" w:cs="Arial" w:eastAsia="Arial" w:hAnsi="Arial"/>
                <w:sz w:val="17"/>
                <w:szCs w:val="17"/>
                <w:color w:val="auto"/>
                <w:w w:val="92"/>
              </w:rPr>
              <w:t>GAAP and non-GAAP weighted-average shares used to compute net</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Arial" w:cs="Arial" w:eastAsia="Arial" w:hAnsi="Arial"/>
                <w:sz w:val="17"/>
                <w:szCs w:val="17"/>
                <w:color w:val="auto"/>
              </w:rPr>
              <w:t>income per share - basic</w:t>
            </w:r>
          </w:p>
        </w:tc>
        <w:tc>
          <w:tcPr>
            <w:tcW w:w="28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302,493,182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7"/>
                <w:szCs w:val="17"/>
                <w:color w:val="auto"/>
              </w:rPr>
              <w:t>295,537,026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299,037,999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297,765,848</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w w:val="92"/>
              </w:rPr>
              <w:t>GAAP and non-GAAP weighted-average shares used to compute net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per share - diluted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310,389,905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301,986,341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306,852,190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305,273,812</w:t>
            </w:r>
          </w:p>
        </w:tc>
        <w:tc>
          <w:tcPr>
            <w:tcW w:w="0" w:type="dxa"/>
            <w:vAlign w:val="bottom"/>
          </w:tcPr>
          <w:p>
            <w:pPr>
              <w:spacing w:after="0"/>
              <w:rPr>
                <w:sz w:val="1"/>
                <w:szCs w:val="1"/>
                <w:color w:val="auto"/>
              </w:rPr>
            </w:pPr>
          </w:p>
        </w:tc>
      </w:tr>
      <w:tr>
        <w:trPr>
          <w:trHeight w:val="258"/>
        </w:trPr>
        <w:tc>
          <w:tcPr>
            <w:tcW w:w="4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493,153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295,314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1,247,611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1,078,674</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Less: Purchases of property and equipment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(39,987)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(22,698)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(108,413)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(75,568)</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(non-GAAP)</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453,166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272,616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1,139,198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1,003,106</w:t>
            </w:r>
          </w:p>
        </w:tc>
        <w:tc>
          <w:tcPr>
            <w:tcW w:w="0" w:type="dxa"/>
            <w:vAlign w:val="bottom"/>
          </w:tcPr>
          <w:p>
            <w:pPr>
              <w:spacing w:after="0"/>
              <w:rPr>
                <w:sz w:val="1"/>
                <w:szCs w:val="1"/>
                <w:color w:val="auto"/>
              </w:rPr>
            </w:pPr>
          </w:p>
        </w:tc>
      </w:tr>
      <w:tr>
        <w:trPr>
          <w:trHeight w:val="21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(364,260)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447,748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(864,406)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(60,613)</w:t>
            </w: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(5,506)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(559,866)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35,952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(948,687)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cash flow margin (GAAP)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43.4 %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26.8 %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36.9 %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32.9 %</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margin (non-GAAP)</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30.6 %</w:t>
            </w:r>
          </w:p>
        </w:tc>
        <w:tc>
          <w:tcPr>
            <w:tcW w:w="0" w:type="dxa"/>
            <w:vAlign w:val="bottom"/>
          </w:tcPr>
          <w:p>
            <w:pPr>
              <w:spacing w:after="0"/>
              <w:rPr>
                <w:sz w:val="1"/>
                <w:szCs w:val="1"/>
                <w:color w:val="auto"/>
              </w:rPr>
            </w:pPr>
          </w:p>
        </w:tc>
      </w:tr>
    </w:tbl>
    <w:p>
      <w:pPr>
        <w:sectPr>
          <w:pgSz w:w="11900" w:h="16838" w:orient="portrait"/>
          <w:cols w:equalWidth="0" w:num="1">
            <w:col w:w="11220"/>
          </w:cols>
          <w:pgMar w:left="340" w:top="98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80" w:type="dxa"/>
            <w:vAlign w:val="bottom"/>
            <w:gridSpan w:val="6"/>
            <w:shd w:val="clear" w:color="auto" w:fill="CCEEFF"/>
          </w:tcPr>
          <w:p>
            <w:pPr>
              <w:jc w:val="center"/>
              <w:ind w:right="640"/>
              <w:spacing w:after="0"/>
              <w:rPr>
                <w:sz w:val="20"/>
                <w:szCs w:val="20"/>
                <w:color w:val="auto"/>
              </w:rPr>
            </w:pPr>
            <w:r>
              <w:rPr>
                <w:rFonts w:ascii="Arial" w:cs="Arial" w:eastAsia="Arial" w:hAnsi="Arial"/>
                <w:sz w:val="14"/>
                <w:szCs w:val="14"/>
                <w:b w:val="1"/>
                <w:bCs w:val="1"/>
                <w:color w:val="auto"/>
                <w:w w:val="89"/>
              </w:rPr>
              <w:t>Three Months Ended October 31,</w:t>
            </w:r>
          </w:p>
        </w:tc>
        <w:tc>
          <w:tcPr>
            <w:tcW w:w="2720" w:type="dxa"/>
            <w:vAlign w:val="bottom"/>
            <w:gridSpan w:val="4"/>
            <w:shd w:val="clear" w:color="auto" w:fill="CCEEFF"/>
          </w:tcPr>
          <w:p>
            <w:pPr>
              <w:jc w:val="right"/>
              <w:ind w:right="485"/>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180"/>
        </w:trPr>
        <w:tc>
          <w:tcPr>
            <w:tcW w:w="51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3"/>
          </w:tcPr>
          <w:p>
            <w:pPr>
              <w:jc w:val="right"/>
              <w:ind w:right="128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3"/>
          </w:tcPr>
          <w:p>
            <w:pPr>
              <w:jc w:val="right"/>
              <w:ind w:right="1285"/>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133"/>
        </w:trPr>
        <w:tc>
          <w:tcPr>
            <w:tcW w:w="5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21"/>
              <w:spacing w:after="0"/>
              <w:rPr>
                <w:sz w:val="20"/>
                <w:szCs w:val="20"/>
                <w:color w:val="auto"/>
              </w:rPr>
            </w:pPr>
            <w:r>
              <w:rPr>
                <w:rFonts w:ascii="Arial" w:cs="Arial" w:eastAsia="Arial" w:hAnsi="Arial"/>
                <w:sz w:val="14"/>
                <w:szCs w:val="14"/>
                <w:b w:val="1"/>
                <w:bCs w:val="1"/>
                <w:color w:val="auto"/>
              </w:rPr>
              <w:t>Revenue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b w:val="1"/>
                <w:bCs w:val="1"/>
                <w:color w:val="auto"/>
                <w:w w:val="89"/>
              </w:rPr>
              <w:t>YoY Revenue Growth</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01"/>
              <w:spacing w:after="0"/>
              <w:rPr>
                <w:sz w:val="20"/>
                <w:szCs w:val="20"/>
                <w:color w:val="auto"/>
              </w:rPr>
            </w:pPr>
            <w:r>
              <w:rPr>
                <w:rFonts w:ascii="Arial" w:cs="Arial" w:eastAsia="Arial" w:hAnsi="Arial"/>
                <w:sz w:val="14"/>
                <w:szCs w:val="14"/>
                <w:b w:val="1"/>
                <w:bCs w:val="1"/>
                <w:color w:val="auto"/>
              </w:rPr>
              <w:t>Revenue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jc w:val="right"/>
              <w:ind w:right="45"/>
              <w:spacing w:after="0" w:line="133" w:lineRule="exact"/>
              <w:rPr>
                <w:sz w:val="20"/>
                <w:szCs w:val="20"/>
                <w:color w:val="auto"/>
              </w:rPr>
            </w:pPr>
            <w:r>
              <w:rPr>
                <w:rFonts w:ascii="Arial" w:cs="Arial" w:eastAsia="Arial" w:hAnsi="Arial"/>
                <w:sz w:val="14"/>
                <w:szCs w:val="14"/>
                <w:b w:val="1"/>
                <w:bCs w:val="1"/>
                <w:color w:val="auto"/>
                <w:w w:val="96"/>
              </w:rPr>
              <w:t>YoY Revenue Growth</w:t>
            </w:r>
          </w:p>
        </w:tc>
        <w:tc>
          <w:tcPr>
            <w:tcW w:w="0" w:type="dxa"/>
            <w:vAlign w:val="bottom"/>
          </w:tcPr>
          <w:p>
            <w:pPr>
              <w:spacing w:after="0"/>
              <w:rPr>
                <w:sz w:val="1"/>
                <w:szCs w:val="1"/>
                <w:color w:val="auto"/>
              </w:rPr>
            </w:pPr>
          </w:p>
        </w:tc>
      </w:tr>
      <w:tr>
        <w:trPr>
          <w:trHeight w:val="190"/>
        </w:trPr>
        <w:tc>
          <w:tcPr>
            <w:tcW w:w="5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color w:val="auto"/>
              </w:rPr>
              <w:t>GAAP revenue</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1,136,727</w:t>
            </w:r>
          </w:p>
        </w:tc>
        <w:tc>
          <w:tcPr>
            <w:tcW w:w="2020" w:type="dxa"/>
            <w:vAlign w:val="bottom"/>
            <w:gridSpan w:val="5"/>
          </w:tcPr>
          <w:p>
            <w:pPr>
              <w:ind w:left="1240"/>
              <w:spacing w:after="0"/>
              <w:rPr>
                <w:sz w:val="20"/>
                <w:szCs w:val="20"/>
                <w:color w:val="auto"/>
              </w:rPr>
            </w:pPr>
            <w:r>
              <w:rPr>
                <w:rFonts w:ascii="Arial" w:cs="Arial" w:eastAsia="Arial" w:hAnsi="Arial"/>
                <w:sz w:val="17"/>
                <w:szCs w:val="17"/>
                <w:color w:val="auto"/>
              </w:rPr>
              <w:t>3.2 %  $</w:t>
            </w:r>
          </w:p>
        </w:tc>
        <w:tc>
          <w:tcPr>
            <w:tcW w:w="1060" w:type="dxa"/>
            <w:vAlign w:val="bottom"/>
          </w:tcPr>
          <w:p>
            <w:pPr>
              <w:jc w:val="right"/>
              <w:spacing w:after="0"/>
              <w:rPr>
                <w:sz w:val="20"/>
                <w:szCs w:val="20"/>
                <w:color w:val="auto"/>
              </w:rPr>
            </w:pPr>
            <w:r>
              <w:rPr>
                <w:rFonts w:ascii="Arial" w:cs="Arial" w:eastAsia="Arial" w:hAnsi="Arial"/>
                <w:sz w:val="17"/>
                <w:szCs w:val="17"/>
                <w:color w:val="auto"/>
              </w:rPr>
              <w:t>3,380,767</w:t>
            </w: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20"/>
        </w:trPr>
        <w:tc>
          <w:tcPr>
            <w:tcW w:w="51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 Constant currency impact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7"/>
                <w:szCs w:val="17"/>
                <w:color w:val="auto"/>
                <w:w w:val="91"/>
              </w:rPr>
              <w:t>0.3 %</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32,591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Arial" w:cs="Arial" w:eastAsia="Arial" w:hAnsi="Arial"/>
                <w:sz w:val="17"/>
                <w:szCs w:val="17"/>
                <w:color w:val="auto"/>
              </w:rPr>
              <w:t>Revenue in constant currency (non-GAAP)</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1,140,662</w:t>
            </w:r>
          </w:p>
        </w:tc>
        <w:tc>
          <w:tcPr>
            <w:tcW w:w="1660" w:type="dxa"/>
            <w:vAlign w:val="bottom"/>
            <w:gridSpan w:val="3"/>
          </w:tcPr>
          <w:p>
            <w:pPr>
              <w:ind w:left="1240"/>
              <w:spacing w:after="0"/>
              <w:rPr>
                <w:sz w:val="20"/>
                <w:szCs w:val="20"/>
                <w:color w:val="auto"/>
              </w:rPr>
            </w:pPr>
            <w:r>
              <w:rPr>
                <w:rFonts w:ascii="Arial" w:cs="Arial" w:eastAsia="Arial" w:hAnsi="Arial"/>
                <w:sz w:val="17"/>
                <w:szCs w:val="17"/>
                <w:color w:val="auto"/>
                <w:w w:val="91"/>
              </w:rPr>
              <w:t>3.5 %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3,413,358</w:t>
            </w: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40" w:top="10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2023-11-20T15:21:28Z</dcterms:created>
  <dcterms:modified xsi:type="dcterms:W3CDTF">2023-11-20T15:21:28Z</dcterms:modified>
</cp:coreProperties>
</file>