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40"/>
        <w:jc w:val="both"/>
        <w:rPr/>
      </w:pPr>
      <w:r>
        <w:rPr/>
      </w:r>
    </w:p>
    <w:tbl>
      <w:tblPr>
        <w:tblW w:w="6066" w:type="dxa"/>
        <w:jc w:val="center"/>
        <w:tblInd w:w="0" w:type="dxa"/>
        <w:tblLayout w:type="fixed"/>
        <w:tblCellMar>
          <w:top w:w="28" w:type="dxa"/>
          <w:left w:w="28" w:type="dxa"/>
          <w:bottom w:w="28" w:type="dxa"/>
          <w:right w:w="28" w:type="dxa"/>
        </w:tblCellMar>
      </w:tblPr>
      <w:tblGrid>
        <w:gridCol w:w="444"/>
        <w:gridCol w:w="390"/>
        <w:gridCol w:w="390"/>
        <w:gridCol w:w="390"/>
        <w:gridCol w:w="390"/>
        <w:gridCol w:w="390"/>
        <w:gridCol w:w="390"/>
        <w:gridCol w:w="390"/>
        <w:gridCol w:w="390"/>
        <w:gridCol w:w="390"/>
        <w:gridCol w:w="390"/>
        <w:gridCol w:w="390"/>
        <w:gridCol w:w="390"/>
        <w:gridCol w:w="390"/>
        <w:gridCol w:w="552"/>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6066" w:type="dxa"/>
            <w:gridSpan w:val="15"/>
            <w:tcBorders/>
            <w:tcMar>
              <w:top w:w="0" w:type="dxa"/>
              <w:left w:w="0" w:type="dxa"/>
              <w:bottom w:w="0" w:type="dxa"/>
              <w:right w:w="0" w:type="dxa"/>
            </w:tcMar>
            <w:vAlign w:val="center"/>
          </w:tcPr>
          <w:p>
            <w:pPr>
              <w:pStyle w:val="TableContents"/>
              <w:bidi w:val="0"/>
              <w:spacing w:lineRule="auto" w:line="240" w:before="0" w:after="140"/>
              <w:jc w:val="center"/>
              <w:rPr>
                <w:rFonts w:ascii="Arial;sans-serif" w:hAnsi="Arial;sans-serif"/>
                <w:b w:val="false"/>
                <w:color w:val="000000"/>
                <w:sz w:val="16"/>
              </w:rPr>
            </w:pPr>
            <w:r>
              <w:rPr>
                <w:rFonts w:ascii="Arial;sans-serif" w:hAnsi="Arial;sans-serif"/>
                <w:b w:val="false"/>
                <w:color w:val="000000"/>
                <w:sz w:val="16"/>
              </w:rPr>
              <w:t>As filed with the U.S. Securities and Exchange Commission on February 28, 2025</w:t>
            </w:r>
          </w:p>
        </w:tc>
      </w:tr>
      <w:tr>
        <w:trPr/>
        <w:tc>
          <w:tcPr>
            <w:tcW w:w="4734" w:type="dxa"/>
            <w:gridSpan w:val="1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140"/>
              <w:jc w:val="right"/>
              <w:rPr>
                <w:rFonts w:ascii="Arial;sans-serif" w:hAnsi="Arial;sans-serif"/>
                <w:b w:val="false"/>
                <w:color w:val="000000"/>
                <w:sz w:val="16"/>
              </w:rPr>
            </w:pPr>
            <w:r>
              <w:rPr>
                <w:rFonts w:ascii="Arial;sans-serif" w:hAnsi="Arial;sans-serif"/>
                <w:b w:val="false"/>
                <w:color w:val="000000"/>
                <w:sz w:val="16"/>
              </w:rPr>
              <w:t>Registration No. 333-</w:t>
            </w:r>
          </w:p>
        </w:tc>
        <w:tc>
          <w:tcPr>
            <w:tcW w:w="133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FORM S-8</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REGISTRATION STATEMENT</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UNDER</w:t>
      </w:r>
    </w:p>
    <w:p>
      <w:pPr>
        <w:pStyle w:val="TextBody"/>
        <w:bidi w:val="0"/>
        <w:spacing w:lineRule="auto" w:line="288" w:before="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SECURITIES ACT OF 1933</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Zoom Communications, Inc.</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7376" w:type="dxa"/>
        <w:jc w:val="center"/>
        <w:tblInd w:w="0" w:type="dxa"/>
        <w:tblLayout w:type="fixed"/>
        <w:tblCellMar>
          <w:top w:w="28" w:type="dxa"/>
          <w:left w:w="28" w:type="dxa"/>
          <w:bottom w:w="28" w:type="dxa"/>
          <w:right w:w="28" w:type="dxa"/>
        </w:tblCellMar>
      </w:tblPr>
      <w:tblGrid>
        <w:gridCol w:w="1564"/>
        <w:gridCol w:w="1379"/>
        <w:gridCol w:w="1391"/>
        <w:gridCol w:w="109"/>
        <w:gridCol w:w="109"/>
        <w:gridCol w:w="109"/>
        <w:gridCol w:w="791"/>
        <w:gridCol w:w="791"/>
        <w:gridCol w:w="1133"/>
      </w:tblGrid>
      <w:tr>
        <w:trPr/>
        <w:tc>
          <w:tcPr>
            <w:tcW w:w="156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61-1648780</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both"/>
        <w:rPr/>
      </w:pPr>
      <w:r>
        <w:rPr/>
      </w:r>
    </w:p>
    <w:p>
      <w:pPr>
        <w:pStyle w:val="TextBody"/>
        <w:bidi w:val="0"/>
        <w:spacing w:lineRule="auto" w:line="288" w:before="0" w:after="0"/>
        <w:jc w:val="center"/>
        <w:rPr/>
      </w:pPr>
      <w:r>
        <w:rPr>
          <w:rFonts w:ascii="Times New Roman;sans-serif" w:hAnsi="Times New Roman;sans-serif"/>
          <w:b/>
          <w:color w:val="000000"/>
          <w:sz w:val="18"/>
        </w:rPr>
        <w:t>55 Almaden Blvd, 6</w:t>
      </w:r>
      <w:r>
        <w:rPr>
          <w:rFonts w:ascii="Times New Roman;sans-serif" w:hAnsi="Times New Roman;sans-serif"/>
          <w:b/>
          <w:color w:val="000000"/>
          <w:sz w:val="12"/>
        </w:rPr>
        <w:t>th</w:t>
      </w:r>
      <w:r>
        <w:rPr>
          <w:color w:val="000000"/>
        </w:rPr>
        <w:t xml:space="preserve"> </w:t>
      </w:r>
      <w:r>
        <w:rPr>
          <w:rFonts w:ascii="Times New Roman;sans-serif" w:hAnsi="Times New Roman;sans-serif"/>
          <w:b/>
          <w:color w:val="000000"/>
          <w:sz w:val="18"/>
        </w:rPr>
        <w:t>Floor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San Jose, California 95113</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(888) 799-9666</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Zoom Communications, Inc. 2019 Equity Incentive Plan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Zoom Communications, Inc. 2019 Employee Stock Purchase Plan</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(Full titles of the plans)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Eric S. Yuan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President and Chief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Zoom Communications, Inc.</w:t>
      </w:r>
    </w:p>
    <w:p>
      <w:pPr>
        <w:pStyle w:val="TextBody"/>
        <w:bidi w:val="0"/>
        <w:spacing w:lineRule="auto" w:line="288" w:before="0" w:after="0"/>
        <w:jc w:val="center"/>
        <w:rPr/>
      </w:pPr>
      <w:r>
        <w:rPr>
          <w:rFonts w:ascii="Times New Roman;sans-serif" w:hAnsi="Times New Roman;sans-serif"/>
          <w:b/>
          <w:color w:val="000000"/>
          <w:sz w:val="18"/>
        </w:rPr>
        <w:t>55 Almaden Blvd, 6</w:t>
      </w:r>
      <w:r>
        <w:rPr>
          <w:rFonts w:ascii="Times New Roman;sans-serif" w:hAnsi="Times New Roman;sans-serif"/>
          <w:b/>
          <w:color w:val="000000"/>
          <w:sz w:val="12"/>
        </w:rPr>
        <w:t>th</w:t>
      </w:r>
      <w:r>
        <w:rPr>
          <w:color w:val="000000"/>
        </w:rPr>
        <w:t xml:space="preserve"> </w:t>
      </w:r>
      <w:r>
        <w:rPr>
          <w:rFonts w:ascii="Times New Roman;sans-serif" w:hAnsi="Times New Roman;sans-serif"/>
          <w:b/>
          <w:color w:val="000000"/>
          <w:sz w:val="18"/>
        </w:rPr>
        <w:t>Floor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San Jose, California 95113</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(888) 799-9666</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(Name and address of agent for service) (Telephone number, including area code, of agent for service)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 xml:space="preserve">Copies to: </w:t>
      </w:r>
    </w:p>
    <w:tbl>
      <w:tblPr>
        <w:tblW w:w="4751" w:type="dxa"/>
        <w:jc w:val="center"/>
        <w:tblInd w:w="0" w:type="dxa"/>
        <w:tblLayout w:type="fixed"/>
        <w:tblCellMar>
          <w:top w:w="28" w:type="dxa"/>
          <w:left w:w="28" w:type="dxa"/>
          <w:bottom w:w="28" w:type="dxa"/>
          <w:right w:w="28" w:type="dxa"/>
        </w:tblCellMar>
      </w:tblPr>
      <w:tblGrid>
        <w:gridCol w:w="793"/>
        <w:gridCol w:w="695"/>
        <w:gridCol w:w="701"/>
        <w:gridCol w:w="109"/>
        <w:gridCol w:w="109"/>
        <w:gridCol w:w="109"/>
        <w:gridCol w:w="653"/>
        <w:gridCol w:w="653"/>
        <w:gridCol w:w="929"/>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Jon C. Avina</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Julia R. Boesch</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Cooley LLP</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3175 Hanover Street</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Palo Alto, California 94304</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(650) 843-5000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Aparna Bawa</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Chief Operating Officer</w:t>
            </w:r>
          </w:p>
          <w:p>
            <w:pPr>
              <w:pStyle w:val="TableContents"/>
              <w:bidi w:val="0"/>
              <w:spacing w:lineRule="auto" w:line="288" w:before="0" w:after="0"/>
              <w:jc w:val="center"/>
              <w:rPr/>
            </w:pPr>
            <w:r>
              <w:rPr>
                <w:rFonts w:ascii="Times New Roman;sans-serif" w:hAnsi="Times New Roman;sans-serif"/>
                <w:b/>
                <w:color w:val="000000"/>
                <w:sz w:val="18"/>
              </w:rPr>
              <w:t>55 Almaden Blvd, 6</w:t>
            </w:r>
            <w:r>
              <w:rPr>
                <w:rFonts w:ascii="Times New Roman;sans-serif" w:hAnsi="Times New Roman;sans-serif"/>
                <w:b/>
                <w:color w:val="000000"/>
                <w:sz w:val="12"/>
              </w:rPr>
              <w:t>th</w:t>
            </w:r>
            <w:r>
              <w:rPr>
                <w:color w:val="000000"/>
              </w:rPr>
              <w:t xml:space="preserve"> </w:t>
            </w:r>
            <w:r>
              <w:rPr>
                <w:rFonts w:ascii="Times New Roman;sans-serif" w:hAnsi="Times New Roman;sans-serif"/>
                <w:b/>
                <w:color w:val="000000"/>
                <w:sz w:val="18"/>
              </w:rPr>
              <w:t>Floor</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San Jose, CA 95113</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(888) 799-9666</w:t>
            </w:r>
          </w:p>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tbl>
      <w:tblPr>
        <w:tblW w:w="3838" w:type="dxa"/>
        <w:jc w:val="center"/>
        <w:tblInd w:w="0" w:type="dxa"/>
        <w:tblLayout w:type="fixed"/>
        <w:tblCellMar>
          <w:top w:w="28" w:type="dxa"/>
          <w:left w:w="28" w:type="dxa"/>
          <w:bottom w:w="28" w:type="dxa"/>
          <w:right w:w="28" w:type="dxa"/>
        </w:tblCellMar>
      </w:tblPr>
      <w:tblGrid>
        <w:gridCol w:w="619"/>
        <w:gridCol w:w="544"/>
        <w:gridCol w:w="546"/>
        <w:gridCol w:w="622"/>
        <w:gridCol w:w="622"/>
        <w:gridCol w:w="885"/>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Large accelerated filer </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Accelerated filer </w:t>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Smaller reporting company </w:t>
            </w:r>
          </w:p>
        </w:tc>
      </w:tr>
      <w:tr>
        <w:trPr/>
        <w:tc>
          <w:tcPr>
            <w:tcW w:w="170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4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Zoom Communications, Inc. (the “</w:t>
      </w:r>
      <w:r>
        <w:rPr>
          <w:rFonts w:ascii="Times New Roman;sans-serif" w:hAnsi="Times New Roman;sans-serif"/>
          <w:b/>
          <w:i/>
          <w:color w:val="000000"/>
          <w:sz w:val="20"/>
        </w:rPr>
        <w:t>Registrant</w:t>
      </w:r>
      <w:r>
        <w:rPr>
          <w:color w:val="000000"/>
        </w:rPr>
        <w:t>”</w:t>
      </w:r>
      <w:r>
        <w:rPr>
          <w:rFonts w:ascii="Times New Roman;sans-serif" w:hAnsi="Times New Roman;sans-serif"/>
          <w:b w:val="false"/>
          <w:color w:val="000000"/>
          <w:sz w:val="20"/>
        </w:rPr>
        <w:t>) is filing this Registration Statement with the Securities and Exchange Commission (the “</w:t>
      </w:r>
      <w:r>
        <w:rPr>
          <w:rFonts w:ascii="Times New Roman;sans-serif" w:hAnsi="Times New Roman;sans-serif"/>
          <w:b/>
          <w:i/>
          <w:color w:val="000000"/>
          <w:sz w:val="20"/>
        </w:rPr>
        <w:t>Commission</w:t>
      </w:r>
      <w:r>
        <w:rPr>
          <w:color w:val="000000"/>
        </w:rPr>
        <w:t>”</w:t>
      </w:r>
      <w:r>
        <w:rPr>
          <w:rFonts w:ascii="Times New Roman;sans-serif" w:hAnsi="Times New Roman;sans-serif"/>
          <w:b w:val="false"/>
          <w:color w:val="000000"/>
          <w:sz w:val="20"/>
        </w:rPr>
        <w:t>) to register (i) 15,287,043 additional shares of its Class A common stock under its 2019 Equity Incentive Plan (the "</w:t>
      </w:r>
      <w:r>
        <w:rPr>
          <w:rFonts w:ascii="Times New Roman;sans-serif" w:hAnsi="Times New Roman;sans-serif"/>
          <w:b/>
          <w:i/>
          <w:color w:val="000000"/>
          <w:sz w:val="20"/>
        </w:rPr>
        <w:t>2019 Plan</w:t>
      </w:r>
      <w:r>
        <w:rPr>
          <w:rFonts w:ascii="Times New Roman;sans-serif" w:hAnsi="Times New Roman;sans-serif"/>
          <w:b w:val="false"/>
          <w:color w:val="000000"/>
          <w:sz w:val="20"/>
        </w:rPr>
        <w:t>"), pursuant to the provisions of the 2019 Plan providing for an automatic increase in the number of shares Class A common stock reserved and available for issuance under the 2019 Plan on February 1, 2025 and (ii) 3,057,408</w:t>
      </w:r>
      <w:r>
        <w:rPr>
          <w:color w:val="000000"/>
        </w:rPr>
        <w:t xml:space="preserve"> </w:t>
      </w:r>
      <w:r>
        <w:rPr>
          <w:rFonts w:ascii="Times New Roman;sans-serif" w:hAnsi="Times New Roman;sans-serif"/>
          <w:b w:val="false"/>
          <w:color w:val="000000"/>
          <w:sz w:val="20"/>
        </w:rPr>
        <w:t>additional shares of its Class A common stock under its 2019 Employee Stock Purchase Plan (the "</w:t>
      </w:r>
      <w:r>
        <w:rPr>
          <w:rFonts w:ascii="Times New Roman;sans-serif" w:hAnsi="Times New Roman;sans-serif"/>
          <w:b/>
          <w:i/>
          <w:color w:val="000000"/>
          <w:sz w:val="20"/>
        </w:rPr>
        <w:t>2019 ESPP</w:t>
      </w:r>
      <w:r>
        <w:rPr>
          <w:rFonts w:ascii="Times New Roman;sans-serif" w:hAnsi="Times New Roman;sans-serif"/>
          <w:b w:val="false"/>
          <w:color w:val="000000"/>
          <w:sz w:val="20"/>
        </w:rPr>
        <w:t>"), pursuant to the provisions of 2019 ESPP providing for an automatic increase in the number of shares of Class A common stock reserved and available for issuance under the 2019 ESPP on February 1, 2025. In accordance with the instructional note to Part I of Form S-8 as promulgated by the Commission, the information specified by Part I of the Form S-8 has been omitted from this Registration Statement.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Pursuant to General Instruction E of Form S-8, the contents of the Registration Statements on Form S-8 filed with the Commission on April 23, 2019 (</w:t>
      </w:r>
      <w:hyperlink r:id="rId2">
        <w:r>
          <w:rPr>
            <w:rStyle w:val="InternetLink"/>
            <w:rFonts w:ascii="Times New Roman;sans-serif" w:hAnsi="Times New Roman;sans-serif"/>
            <w:b w:val="false"/>
            <w:color w:val="0000FF"/>
            <w:sz w:val="20"/>
            <w:u w:val="single"/>
          </w:rPr>
          <w:t>File No. 333-230997</w:t>
        </w:r>
      </w:hyperlink>
      <w:r>
        <w:rPr>
          <w:rFonts w:ascii="Times New Roman;sans-serif" w:hAnsi="Times New Roman;sans-serif"/>
          <w:b w:val="false"/>
          <w:color w:val="000000"/>
          <w:sz w:val="20"/>
        </w:rPr>
        <w:t>), March 20, 2020 (</w:t>
      </w:r>
      <w:hyperlink r:id="rId3">
        <w:r>
          <w:rPr>
            <w:rStyle w:val="InternetLink"/>
            <w:rFonts w:ascii="Times New Roman;sans-serif" w:hAnsi="Times New Roman;sans-serif"/>
            <w:b w:val="false"/>
            <w:color w:val="0000FF"/>
            <w:sz w:val="20"/>
            <w:u w:val="single"/>
          </w:rPr>
          <w:t>File No. 333-237348</w:t>
        </w:r>
      </w:hyperlink>
      <w:r>
        <w:rPr>
          <w:rFonts w:ascii="Times New Roman;sans-serif" w:hAnsi="Times New Roman;sans-serif"/>
          <w:b w:val="false"/>
          <w:color w:val="000000"/>
          <w:sz w:val="20"/>
        </w:rPr>
        <w:t>), March 18, 2021 (</w:t>
      </w:r>
      <w:hyperlink r:id="rId4">
        <w:r>
          <w:rPr>
            <w:rStyle w:val="InternetLink"/>
            <w:rFonts w:ascii="Times New Roman;sans-serif" w:hAnsi="Times New Roman;sans-serif"/>
            <w:b w:val="false"/>
            <w:color w:val="0000FF"/>
            <w:sz w:val="20"/>
            <w:u w:val="single"/>
          </w:rPr>
          <w:t>File No. 333-254444</w:t>
        </w:r>
      </w:hyperlink>
      <w:r>
        <w:rPr>
          <w:rFonts w:ascii="Times New Roman;sans-serif" w:hAnsi="Times New Roman;sans-serif"/>
          <w:b w:val="false"/>
          <w:color w:val="000000"/>
          <w:sz w:val="20"/>
        </w:rPr>
        <w:t>), March 8, 2022 (</w:t>
      </w:r>
      <w:hyperlink r:id="rId5">
        <w:r>
          <w:rPr>
            <w:rStyle w:val="InternetLink"/>
            <w:rFonts w:ascii="Times New Roman;sans-serif" w:hAnsi="Times New Roman;sans-serif"/>
            <w:b w:val="false"/>
            <w:color w:val="0000FF"/>
            <w:sz w:val="20"/>
            <w:u w:val="single"/>
          </w:rPr>
          <w:t>File No. 333-263354</w:t>
        </w:r>
      </w:hyperlink>
      <w:r>
        <w:rPr>
          <w:rFonts w:ascii="Times New Roman;sans-serif" w:hAnsi="Times New Roman;sans-serif"/>
          <w:b w:val="false"/>
          <w:color w:val="000000"/>
          <w:sz w:val="20"/>
        </w:rPr>
        <w:t>), March 3, 2023 (</w:t>
      </w:r>
      <w:hyperlink r:id="rId6">
        <w:r>
          <w:rPr>
            <w:rStyle w:val="InternetLink"/>
            <w:rFonts w:ascii="Times New Roman;sans-serif" w:hAnsi="Times New Roman;sans-serif"/>
            <w:b w:val="false"/>
            <w:color w:val="0000FF"/>
            <w:sz w:val="20"/>
            <w:u w:val="single"/>
          </w:rPr>
          <w:t>File No. 333-270264</w:t>
        </w:r>
      </w:hyperlink>
      <w:r>
        <w:rPr>
          <w:rFonts w:ascii="Times New Roman;sans-serif" w:hAnsi="Times New Roman;sans-serif"/>
          <w:b w:val="false"/>
          <w:color w:val="000000"/>
          <w:sz w:val="20"/>
        </w:rPr>
        <w:t>) and March 4, 2024 (</w:t>
      </w:r>
      <w:hyperlink r:id="rId7">
        <w:r>
          <w:rPr>
            <w:rStyle w:val="InternetLink"/>
            <w:rFonts w:ascii="Times New Roman;sans-serif" w:hAnsi="Times New Roman;sans-serif"/>
            <w:b w:val="false"/>
            <w:color w:val="000080"/>
            <w:sz w:val="20"/>
            <w:u w:val="single"/>
          </w:rPr>
          <w:t xml:space="preserve">File No. </w:t>
        </w:r>
      </w:hyperlink>
      <w:hyperlink r:id="rId8">
        <w:r>
          <w:rPr>
            <w:rStyle w:val="InternetLink"/>
            <w:rFonts w:ascii="Times New Roman;sans-serif" w:hAnsi="Times New Roman;sans-serif"/>
            <w:b w:val="false"/>
            <w:color w:val="000080"/>
            <w:sz w:val="20"/>
            <w:u w:val="single"/>
          </w:rPr>
          <w:t>333-277614</w:t>
        </w:r>
      </w:hyperlink>
      <w:r>
        <w:rPr>
          <w:rFonts w:ascii="Times New Roman;sans-serif" w:hAnsi="Times New Roman;sans-serif"/>
          <w:b w:val="false"/>
          <w:color w:val="000000"/>
          <w:sz w:val="20"/>
        </w:rPr>
        <w:t>) are hereby incorporated by reference in this Registration Statement to the extent not replaced hereby.</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PART II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3.    INCORPORATION OF CERTAIN DOCUMENTS BY REFERENCE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filed by the Registrant with the Commission are incorporated by reference into this Registration Statement:</w:t>
      </w:r>
    </w:p>
    <w:p>
      <w:pPr>
        <w:pStyle w:val="TextBody"/>
        <w:bidi w:val="0"/>
        <w:spacing w:lineRule="auto" w:line="288" w:before="0" w:after="200"/>
        <w:ind w:left="0" w:right="0" w:firstLine="531"/>
        <w:jc w:val="both"/>
        <w:rPr/>
      </w:pPr>
      <w:r>
        <w:rPr>
          <w:rFonts w:ascii="Times New Roman;sans-serif" w:hAnsi="Times New Roman;sans-serif"/>
          <w:b/>
          <w:color w:val="000000"/>
          <w:sz w:val="20"/>
        </w:rPr>
        <w:t>(i)</w:t>
      </w:r>
      <w:r>
        <w:rPr>
          <w:color w:val="000000"/>
        </w:rPr>
        <w:t xml:space="preserve"> </w:t>
      </w:r>
      <w:r>
        <w:rPr>
          <w:rFonts w:ascii="Times New Roman;sans-serif" w:hAnsi="Times New Roman;sans-serif"/>
          <w:b w:val="false"/>
          <w:color w:val="000000"/>
          <w:sz w:val="20"/>
        </w:rPr>
        <w:t xml:space="preserve">The Registrant’s Annual Report on </w:t>
      </w:r>
      <w:hyperlink r:id="rId9">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fiscal year ended January 31, 2025 filed on February 28, 2025 (the "</w:t>
      </w:r>
      <w:r>
        <w:rPr>
          <w:rFonts w:ascii="Times New Roman;sans-serif" w:hAnsi="Times New Roman;sans-serif"/>
          <w:b/>
          <w:i/>
          <w:color w:val="000000"/>
          <w:sz w:val="20"/>
        </w:rPr>
        <w:t>Annual Report</w:t>
      </w:r>
      <w:r>
        <w:rPr>
          <w:rFonts w:ascii="Times New Roman;sans-serif" w:hAnsi="Times New Roman;sans-serif"/>
          <w:b w:val="false"/>
          <w:color w:val="000000"/>
          <w:sz w:val="20"/>
        </w:rPr>
        <w:t>"), which contains audited financial statements for the Registrant’s latest fiscal year, including the information to be incorporated by reference into the Annual Report from the Registrant’s definitive proxy statement on Schedule 14A, to be filed with the Commission.</w:t>
      </w:r>
    </w:p>
    <w:p>
      <w:pPr>
        <w:pStyle w:val="TextBody"/>
        <w:bidi w:val="0"/>
        <w:spacing w:lineRule="auto" w:line="288" w:before="0" w:after="200"/>
        <w:ind w:left="0" w:right="0" w:firstLine="476"/>
        <w:jc w:val="both"/>
        <w:rPr/>
      </w:pPr>
      <w:r>
        <w:rPr>
          <w:rFonts w:ascii="Times New Roman;sans-serif" w:hAnsi="Times New Roman;sans-serif"/>
          <w:b/>
          <w:color w:val="000000"/>
          <w:sz w:val="20"/>
        </w:rPr>
        <w:t>(ii)</w:t>
      </w:r>
      <w:r>
        <w:rPr>
          <w:color w:val="000000"/>
        </w:rPr>
        <w:t xml:space="preserve"> </w:t>
      </w:r>
      <w:r>
        <w:rPr>
          <w:rFonts w:ascii="Times New Roman;sans-serif" w:hAnsi="Times New Roman;sans-serif"/>
          <w:b w:val="false"/>
          <w:color w:val="000000"/>
          <w:sz w:val="20"/>
        </w:rPr>
        <w:t xml:space="preserve">The description of the Registrant’s Class A Common Stock which is contained in a registration statement on </w:t>
      </w:r>
      <w:hyperlink r:id="rId10">
        <w:r>
          <w:rPr>
            <w:rStyle w:val="InternetLink"/>
            <w:rFonts w:ascii="Times New Roman;sans-serif" w:hAnsi="Times New Roman;sans-serif"/>
            <w:b w:val="false"/>
            <w:strike w:val="false"/>
            <w:dstrike w:val="false"/>
            <w:color w:val="0000FF"/>
            <w:sz w:val="20"/>
            <w:u w:val="none"/>
            <w:effect w:val="none"/>
          </w:rPr>
          <w:t>Form 8-A</w:t>
        </w:r>
      </w:hyperlink>
      <w:r>
        <w:rPr>
          <w:color w:val="000000"/>
        </w:rPr>
        <w:t xml:space="preserve"> </w:t>
      </w:r>
      <w:r>
        <w:rPr>
          <w:rFonts w:ascii="Times New Roman;sans-serif" w:hAnsi="Times New Roman;sans-serif"/>
          <w:b w:val="false"/>
          <w:color w:val="000000"/>
          <w:sz w:val="20"/>
        </w:rPr>
        <w:t>filed on April 8, 2019 (File No. 001-38865) under the Exchange Act of 1934, as amended (the “</w:t>
      </w:r>
      <w:r>
        <w:rPr>
          <w:rFonts w:ascii="Times New Roman;sans-serif" w:hAnsi="Times New Roman;sans-serif"/>
          <w:b/>
          <w:i/>
          <w:color w:val="000000"/>
          <w:sz w:val="20"/>
        </w:rPr>
        <w:t>Exchange Act</w:t>
      </w:r>
      <w:r>
        <w:rPr>
          <w:color w:val="000000"/>
        </w:rPr>
        <w:t>”</w:t>
      </w:r>
      <w:r>
        <w:rPr>
          <w:rFonts w:ascii="Times New Roman;sans-serif" w:hAnsi="Times New Roman;sans-serif"/>
          <w:b w:val="false"/>
          <w:color w:val="000000"/>
          <w:sz w:val="20"/>
        </w:rPr>
        <w:t xml:space="preserve">), including any amendment or report filed for the purpose of updating such description, including </w:t>
      </w:r>
      <w:hyperlink r:id="rId11">
        <w:r>
          <w:rPr>
            <w:rStyle w:val="InternetLink"/>
            <w:rFonts w:ascii="Times New Roman;sans-serif" w:hAnsi="Times New Roman;sans-serif"/>
            <w:b w:val="false"/>
            <w:color w:val="0000FF"/>
            <w:sz w:val="20"/>
            <w:u w:val="single"/>
          </w:rPr>
          <w:t>Exhibit 4.3</w:t>
        </w:r>
      </w:hyperlink>
      <w:r>
        <w:rPr>
          <w:color w:val="000000"/>
        </w:rPr>
        <w:t xml:space="preserve"> </w:t>
      </w:r>
      <w:r>
        <w:rPr>
          <w:rFonts w:ascii="Times New Roman;sans-serif" w:hAnsi="Times New Roman;sans-serif"/>
          <w:b w:val="false"/>
          <w:color w:val="000000"/>
          <w:sz w:val="20"/>
        </w:rPr>
        <w:t xml:space="preserve">to the Registrant's Annual Report. </w:t>
      </w:r>
    </w:p>
    <w:p>
      <w:pPr>
        <w:pStyle w:val="TextBody"/>
        <w:bidi w:val="0"/>
        <w:spacing w:lineRule="auto" w:line="288" w:before="0" w:after="200"/>
        <w:ind w:left="0" w:right="0" w:firstLine="421"/>
        <w:jc w:val="both"/>
        <w:rPr/>
      </w:pPr>
      <w:r>
        <w:rPr>
          <w:rFonts w:ascii="Times New Roman;sans-serif" w:hAnsi="Times New Roman;sans-serif"/>
          <w:b/>
          <w:color w:val="000000"/>
          <w:sz w:val="20"/>
        </w:rPr>
        <w:t>(iii)</w:t>
      </w:r>
      <w:r>
        <w:rPr>
          <w:color w:val="000000"/>
        </w:rPr>
        <w:t xml:space="preserve"> </w:t>
      </w:r>
      <w:r>
        <w:rPr>
          <w:rFonts w:ascii="Times New Roman;sans-serif" w:hAnsi="Times New Roman;sans-serif"/>
          <w:b w:val="false"/>
          <w:color w:val="000000"/>
          <w:sz w:val="20"/>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14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381"/>
        <w:gridCol w:w="334"/>
        <w:gridCol w:w="335"/>
        <w:gridCol w:w="109"/>
        <w:gridCol w:w="109"/>
        <w:gridCol w:w="109"/>
        <w:gridCol w:w="1368"/>
        <w:gridCol w:w="1368"/>
        <w:gridCol w:w="1379"/>
        <w:gridCol w:w="109"/>
        <w:gridCol w:w="109"/>
        <w:gridCol w:w="109"/>
        <w:gridCol w:w="195"/>
        <w:gridCol w:w="195"/>
        <w:gridCol w:w="196"/>
        <w:gridCol w:w="126"/>
        <w:gridCol w:w="126"/>
        <w:gridCol w:w="126"/>
        <w:gridCol w:w="309"/>
        <w:gridCol w:w="309"/>
        <w:gridCol w:w="310"/>
        <w:gridCol w:w="126"/>
        <w:gridCol w:w="126"/>
        <w:gridCol w:w="126"/>
        <w:gridCol w:w="245"/>
        <w:gridCol w:w="245"/>
        <w:gridCol w:w="246"/>
        <w:gridCol w:w="109"/>
        <w:gridCol w:w="231"/>
        <w:gridCol w:w="231"/>
        <w:gridCol w:w="228"/>
        <w:gridCol w:w="167"/>
        <w:gridCol w:w="167"/>
        <w:gridCol w:w="247"/>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81" w:type="dxa"/>
            <w:gridSpan w:val="3"/>
            <w:tcBorders/>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Amended and Restated Certificate of Incorporation of Zoom Video Communications, Inc</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001-38865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23, 2019</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Certificate of Amendment to Certificate of Incorporation of Zoom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001-38865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25, 2024</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Amended and Restated Bylaws of Zoom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001-38865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25, 2024</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Form of Class A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333-230444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8, 2019</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s-851_opinionx2025.htm">
              <w:r>
                <w:rPr>
                  <w:rStyle w:val="InternetLink"/>
                  <w:rFonts w:ascii="Times New Roman;sans-serif" w:hAnsi="Times New Roman;sans-serif"/>
                  <w:b w:val="false"/>
                  <w:color w:val="0000FF"/>
                  <w:sz w:val="20"/>
                  <w:u w:val="single"/>
                </w:rPr>
                <w:t>Opinion of Cooley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6"/>
            <w:tcBorders/>
            <w:tcMar>
              <w:top w:w="0" w:type="dxa"/>
              <w:left w:w="0" w:type="dxa"/>
              <w:bottom w:w="0" w:type="dxa"/>
              <w:right w:w="0" w:type="dxa"/>
            </w:tcMar>
            <w:vAlign w:val="center"/>
          </w:tcPr>
          <w:p>
            <w:pPr>
              <w:pStyle w:val="TableContents"/>
              <w:bidi w:val="0"/>
              <w:spacing w:before="0" w:after="0"/>
              <w:jc w:val="center"/>
              <w:rPr/>
            </w:pPr>
            <w:r>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851_opinionx2025.htm">
              <w:r>
                <w:rPr>
                  <w:rStyle w:val="InternetLink"/>
                  <w:rFonts w:ascii="Times New Roman;sans-serif" w:hAnsi="Times New Roman;sans-serif"/>
                  <w:b w:val="false"/>
                  <w:color w:val="0000FF"/>
                  <w:sz w:val="20"/>
                  <w:u w:val="single"/>
                </w:rPr>
                <w:t>Consent of Cooley LLP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6"/>
            <w:tcBorders/>
            <w:tcMar>
              <w:top w:w="0" w:type="dxa"/>
              <w:left w:w="0" w:type="dxa"/>
              <w:bottom w:w="0" w:type="dxa"/>
              <w:right w:w="0" w:type="dxa"/>
            </w:tcMar>
            <w:vAlign w:val="center"/>
          </w:tcPr>
          <w:p>
            <w:pPr>
              <w:pStyle w:val="TableContents"/>
              <w:bidi w:val="0"/>
              <w:spacing w:before="0" w:after="0"/>
              <w:jc w:val="center"/>
              <w:rPr/>
            </w:pPr>
            <w:r>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8232_auditconsentx2025.htm">
              <w:r>
                <w:rPr>
                  <w:rStyle w:val="InternetLink"/>
                  <w:rFonts w:ascii="Times New Roman;sans-serif" w:hAnsi="Times New Roman;sans-serif"/>
                  <w:b w:val="false"/>
                  <w:color w:val="0000FF"/>
                  <w:sz w:val="20"/>
                  <w:u w:val="single"/>
                </w:rPr>
                <w:t>Consent of KPMG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6"/>
            <w:tcBorders/>
            <w:tcMar>
              <w:top w:w="0" w:type="dxa"/>
              <w:left w:w="0" w:type="dxa"/>
              <w:bottom w:w="0" w:type="dxa"/>
              <w:right w:w="0" w:type="dxa"/>
            </w:tcMar>
            <w:vAlign w:val="center"/>
          </w:tcPr>
          <w:p>
            <w:pPr>
              <w:pStyle w:val="TableContents"/>
              <w:bidi w:val="0"/>
              <w:spacing w:before="0" w:after="0"/>
              <w:jc w:val="center"/>
              <w:rPr/>
            </w:pPr>
            <w:r>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d2bb11418844de92a387f5d3a98c38_16">
              <w:r>
                <w:rPr>
                  <w:rStyle w:val="InternetLink"/>
                  <w:rFonts w:ascii="Times New Roman;sans-serif" w:hAnsi="Times New Roman;sans-serif"/>
                  <w:b w:val="false"/>
                  <w:color w:val="0000FF"/>
                  <w:sz w:val="20"/>
                  <w:u w:val="single"/>
                </w:rPr>
                <w:t>Power of Attorney (included on the signature page of this Form S-8).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6"/>
            <w:tcBorders/>
            <w:tcMar>
              <w:top w:w="0" w:type="dxa"/>
              <w:left w:w="0" w:type="dxa"/>
              <w:bottom w:w="0" w:type="dxa"/>
              <w:right w:w="0" w:type="dxa"/>
            </w:tcMar>
            <w:vAlign w:val="center"/>
          </w:tcPr>
          <w:p>
            <w:pPr>
              <w:pStyle w:val="TableContents"/>
              <w:bidi w:val="0"/>
              <w:spacing w:before="0" w:after="0"/>
              <w:jc w:val="center"/>
              <w:rPr/>
            </w:pPr>
            <w:r>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80"/>
                  <w:sz w:val="20"/>
                  <w:u w:val="single"/>
                </w:rPr>
                <w:t xml:space="preserve">Zoom </w:t>
              </w:r>
            </w:hyperlink>
            <w:hyperlink r:id="rId17">
              <w:r>
                <w:rPr>
                  <w:rStyle w:val="InternetLink"/>
                  <w:rFonts w:ascii="Times New Roman;sans-serif" w:hAnsi="Times New Roman;sans-serif"/>
                  <w:b w:val="false"/>
                  <w:color w:val="000080"/>
                  <w:sz w:val="20"/>
                  <w:u w:val="single"/>
                </w:rPr>
                <w:t>Communications, Inc. 2019 Equity Incentive Plan, as amended, and forms of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001-38865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80"/>
                  <w:sz w:val="20"/>
                  <w:u w:val="single"/>
                </w:rPr>
                <w:t xml:space="preserve">Zoom </w:t>
              </w:r>
            </w:hyperlink>
            <w:hyperlink r:id="rId19">
              <w:r>
                <w:rPr>
                  <w:rStyle w:val="InternetLink"/>
                  <w:rFonts w:ascii="Times New Roman;sans-serif" w:hAnsi="Times New Roman;sans-serif"/>
                  <w:b w:val="false"/>
                  <w:color w:val="000080"/>
                  <w:sz w:val="20"/>
                  <w:u w:val="single"/>
                </w:rPr>
                <w:t>Communications, Inc. 2019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001-38865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oom-2025sx8ex107calculati.htm">
              <w:r>
                <w:rPr>
                  <w:rStyle w:val="InternetLink"/>
                  <w:rFonts w:ascii="Times New Roman;sans-serif" w:hAnsi="Times New Roman;sans-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before="0" w:after="200"/>
        <w:jc w:val="both"/>
        <w:rPr/>
      </w:pPr>
      <w:r>
        <w:rPr/>
      </w:r>
    </w:p>
    <w:p>
      <w:pPr>
        <w:pStyle w:val="TextBody"/>
        <w:bidi w:val="0"/>
        <w:spacing w:before="0" w:after="14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this 28th day of February, 2025.</w:t>
      </w:r>
    </w:p>
    <w:p>
      <w:pPr>
        <w:pStyle w:val="TextBody"/>
        <w:bidi w:val="0"/>
        <w:spacing w:before="0" w:after="0"/>
        <w:ind w:left="0" w:right="0" w:firstLine="720"/>
        <w:jc w:val="both"/>
        <w:rPr/>
      </w:pPr>
      <w:r>
        <w:rPr/>
      </w:r>
    </w:p>
    <w:tbl>
      <w:tblPr>
        <w:tblW w:w="5021" w:type="dxa"/>
        <w:jc w:val="left"/>
        <w:tblInd w:w="0" w:type="dxa"/>
        <w:tblLayout w:type="fixed"/>
        <w:tblCellMar>
          <w:top w:w="28" w:type="dxa"/>
          <w:left w:w="28" w:type="dxa"/>
          <w:bottom w:w="28" w:type="dxa"/>
          <w:right w:w="28" w:type="dxa"/>
        </w:tblCellMar>
      </w:tblPr>
      <w:tblGrid>
        <w:gridCol w:w="124"/>
        <w:gridCol w:w="109"/>
        <w:gridCol w:w="109"/>
        <w:gridCol w:w="490"/>
        <w:gridCol w:w="490"/>
        <w:gridCol w:w="490"/>
        <w:gridCol w:w="937"/>
        <w:gridCol w:w="937"/>
        <w:gridCol w:w="13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ZOOM COMMUNICATIONS,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320"/>
        <w:ind w:left="0" w:right="0" w:firstLine="72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120"/>
        <w:ind w:left="0" w:right="0" w:firstLine="720"/>
        <w:jc w:val="both"/>
        <w:rPr/>
      </w:pPr>
      <w:r>
        <w:rPr>
          <w:rFonts w:ascii="Times New Roman;sans-serif" w:hAnsi="Times New Roman;sans-serif"/>
          <w:b/>
          <w:color w:val="000000"/>
          <w:sz w:val="20"/>
        </w:rPr>
        <w:t>Know All Persons By These Presents</w:t>
      </w:r>
      <w:r>
        <w:rPr>
          <w:rFonts w:ascii="Times New Roman;sans-serif" w:hAnsi="Times New Roman;sans-serif"/>
          <w:b w:val="false"/>
          <w:color w:val="000000"/>
          <w:sz w:val="20"/>
        </w:rPr>
        <w:t>, that each person whose signature appears below constitutes and appoints Eric S. Yuan, Michelle Chang and Aparna Bawa, and each of them, as his or her true and lawful attorneys-in-fact and agents, each with the full power of substitution, for him or her and in their name, place or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this registration statement has been signed by the following persons in the capacities and on the dates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917" w:type="dxa"/>
        <w:jc w:val="left"/>
        <w:tblInd w:w="0" w:type="dxa"/>
        <w:tblLayout w:type="fixed"/>
        <w:tblCellMar>
          <w:top w:w="28" w:type="dxa"/>
          <w:left w:w="28" w:type="dxa"/>
          <w:bottom w:w="28" w:type="dxa"/>
          <w:right w:w="28" w:type="dxa"/>
        </w:tblCellMar>
      </w:tblPr>
      <w:tblGrid>
        <w:gridCol w:w="981"/>
        <w:gridCol w:w="864"/>
        <w:gridCol w:w="869"/>
        <w:gridCol w:w="109"/>
        <w:gridCol w:w="109"/>
        <w:gridCol w:w="109"/>
        <w:gridCol w:w="1299"/>
        <w:gridCol w:w="1299"/>
        <w:gridCol w:w="1316"/>
        <w:gridCol w:w="109"/>
        <w:gridCol w:w="109"/>
        <w:gridCol w:w="109"/>
        <w:gridCol w:w="477"/>
        <w:gridCol w:w="477"/>
        <w:gridCol w:w="681"/>
      </w:tblGrid>
      <w:tr>
        <w:trPr/>
        <w:tc>
          <w:tcPr>
            <w:tcW w:w="9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Michelle Chang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Michelle Chang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Shane Crehan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Shane Crehan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Jonathan Chadwick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Jonathan Chadwick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Mike Fenger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Mike Fenger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Peter Gassner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Peter Gassner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Cindy L. Hoots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Cindy L. Hoots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William R. McDermott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R. McDermott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Herbert Raymond McMaster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Herbert Raymond McMaster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Janet Napolitano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Janet Napolitano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Dan Scheinman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 Scheinman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Santiago Subotovsky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Santiago Subotovsky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107</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Calculation of Filing Fee Tables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S-8</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Zoom Communications, Inc.</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17"/>
        <w:gridCol w:w="279"/>
        <w:gridCol w:w="280"/>
        <w:gridCol w:w="343"/>
        <w:gridCol w:w="343"/>
        <w:gridCol w:w="345"/>
        <w:gridCol w:w="398"/>
        <w:gridCol w:w="398"/>
        <w:gridCol w:w="399"/>
        <w:gridCol w:w="396"/>
        <w:gridCol w:w="396"/>
        <w:gridCol w:w="398"/>
        <w:gridCol w:w="548"/>
        <w:gridCol w:w="548"/>
        <w:gridCol w:w="550"/>
        <w:gridCol w:w="880"/>
        <w:gridCol w:w="487"/>
        <w:gridCol w:w="489"/>
        <w:gridCol w:w="319"/>
        <w:gridCol w:w="319"/>
        <w:gridCol w:w="323"/>
        <w:gridCol w:w="422"/>
        <w:gridCol w:w="422"/>
        <w:gridCol w:w="606"/>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Table 1 – Newly Registered Securities</w:t>
            </w:r>
          </w:p>
        </w:tc>
      </w:tr>
      <w:tr>
        <w:trPr/>
        <w:tc>
          <w:tcPr>
            <w:tcW w:w="8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Security Type</w:t>
            </w:r>
          </w:p>
        </w:tc>
        <w:tc>
          <w:tcPr>
            <w:tcW w:w="10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Security Class Title</w:t>
            </w:r>
          </w:p>
        </w:tc>
        <w:tc>
          <w:tcPr>
            <w:tcW w:w="11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Fee Calculation Rule</w:t>
            </w:r>
          </w:p>
        </w:tc>
        <w:tc>
          <w:tcPr>
            <w:tcW w:w="11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Amount Registered</w:t>
            </w:r>
            <w:r>
              <w:rPr>
                <w:rFonts w:ascii="Times New Roman;sans-serif" w:hAnsi="Times New Roman;sans-serif"/>
                <w:b/>
                <w:color w:val="000000"/>
                <w:sz w:val="12"/>
              </w:rPr>
              <w:t>(1)</w:t>
            </w:r>
          </w:p>
        </w:tc>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Proposed Maximum Offering Price Per Unit</w:t>
            </w:r>
          </w:p>
        </w:tc>
        <w:tc>
          <w:tcPr>
            <w:tcW w:w="1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Maximum Aggregate Offering Price</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Fee Rate</w:t>
            </w:r>
          </w:p>
        </w:tc>
        <w:tc>
          <w:tcPr>
            <w:tcW w:w="14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Amount of Registration Fee</w:t>
            </w:r>
          </w:p>
        </w:tc>
      </w:tr>
      <w:tr>
        <w:trPr/>
        <w:tc>
          <w:tcPr>
            <w:tcW w:w="876"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031"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11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Other</w:t>
            </w:r>
            <w:r>
              <w:rPr>
                <w:rFonts w:ascii="Times New Roman;sans-serif" w:hAnsi="Times New Roman;sans-serif"/>
                <w:b w:val="false"/>
                <w:color w:val="000000"/>
                <w:sz w:val="12"/>
              </w:rPr>
              <w:t>(2)</w:t>
            </w:r>
          </w:p>
        </w:tc>
        <w:tc>
          <w:tcPr>
            <w:tcW w:w="11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40"/>
              <w:jc w:val="left"/>
              <w:rPr/>
            </w:pPr>
            <w:r>
              <w:rPr>
                <w:rFonts w:ascii="Times New Roman;sans-serif" w:hAnsi="Times New Roman;sans-serif"/>
                <w:b w:val="false"/>
                <w:color w:val="000000"/>
                <w:sz w:val="18"/>
              </w:rPr>
              <w:t>15,287,043</w:t>
            </w:r>
            <w:r>
              <w:rPr>
                <w:rFonts w:ascii="Times New Roman;sans-serif" w:hAnsi="Times New Roman;sans-serif"/>
                <w:b w:val="false"/>
                <w:color w:val="000000"/>
                <w:sz w:val="12"/>
              </w:rPr>
              <w:t>(</w:t>
            </w:r>
            <w:r>
              <w:rPr>
                <w:rFonts w:ascii="Times New Roman;sans-serif" w:hAnsi="Times New Roman;sans-serif"/>
                <w:b w:val="false"/>
                <w:color w:val="000000"/>
                <w:sz w:val="13"/>
              </w:rPr>
              <w:t>3)</w:t>
            </w:r>
          </w:p>
        </w:tc>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$73.72</w:t>
            </w:r>
            <w:r>
              <w:rPr>
                <w:rFonts w:ascii="Times New Roman;sans-serif" w:hAnsi="Times New Roman;sans-serif"/>
                <w:b w:val="false"/>
                <w:color w:val="000000"/>
                <w:sz w:val="12"/>
              </w:rPr>
              <w:t>(2)</w:t>
            </w:r>
          </w:p>
        </w:tc>
        <w:tc>
          <w:tcPr>
            <w:tcW w:w="1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$1,126,960,809.96</w:t>
            </w:r>
          </w:p>
        </w:tc>
        <w:tc>
          <w:tcPr>
            <w:tcW w:w="961"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0.00015310</w:t>
            </w:r>
          </w:p>
        </w:tc>
        <w:tc>
          <w:tcPr>
            <w:tcW w:w="14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$172,537.70</w:t>
            </w:r>
          </w:p>
        </w:tc>
      </w:tr>
      <w:tr>
        <w:trPr/>
        <w:tc>
          <w:tcPr>
            <w:tcW w:w="876"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031"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11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Other</w:t>
            </w:r>
            <w:r>
              <w:rPr>
                <w:rFonts w:ascii="Times New Roman;sans-serif" w:hAnsi="Times New Roman;sans-serif"/>
                <w:b w:val="false"/>
                <w:color w:val="000000"/>
                <w:sz w:val="12"/>
              </w:rPr>
              <w:t>(4)</w:t>
            </w:r>
          </w:p>
        </w:tc>
        <w:tc>
          <w:tcPr>
            <w:tcW w:w="11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00"/>
                <w:sz w:val="18"/>
              </w:rPr>
              <w:t>3,057,408</w:t>
            </w:r>
            <w:r>
              <w:rPr>
                <w:rFonts w:ascii="Times New Roman;sans-serif" w:hAnsi="Times New Roman;sans-serif"/>
                <w:b w:val="false"/>
                <w:color w:val="000000"/>
                <w:sz w:val="12"/>
              </w:rPr>
              <w:t>(5)</w:t>
            </w:r>
          </w:p>
        </w:tc>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$62.67</w:t>
            </w:r>
            <w:r>
              <w:rPr>
                <w:rFonts w:ascii="Times New Roman;sans-serif" w:hAnsi="Times New Roman;sans-serif"/>
                <w:b w:val="false"/>
                <w:color w:val="000000"/>
                <w:sz w:val="12"/>
              </w:rPr>
              <w:t>(4)</w:t>
            </w:r>
          </w:p>
        </w:tc>
        <w:tc>
          <w:tcPr>
            <w:tcW w:w="1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$191,607,759.36</w:t>
            </w:r>
          </w:p>
        </w:tc>
        <w:tc>
          <w:tcPr>
            <w:tcW w:w="961"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0.00015310</w:t>
            </w:r>
          </w:p>
        </w:tc>
        <w:tc>
          <w:tcPr>
            <w:tcW w:w="14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$29,335.15</w:t>
            </w:r>
          </w:p>
        </w:tc>
      </w:tr>
      <w:tr>
        <w:trPr/>
        <w:tc>
          <w:tcPr>
            <w:tcW w:w="4292" w:type="dxa"/>
            <w:gridSpan w:val="12"/>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Offering Amounts</w:t>
            </w:r>
          </w:p>
        </w:tc>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1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$1,318,568,569.32</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14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$201,872.85</w:t>
            </w:r>
          </w:p>
        </w:tc>
      </w:tr>
      <w:tr>
        <w:trPr/>
        <w:tc>
          <w:tcPr>
            <w:tcW w:w="4292" w:type="dxa"/>
            <w:gridSpan w:val="12"/>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Fees Previously Paid</w:t>
            </w:r>
          </w:p>
        </w:tc>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1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14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color w:val="000000"/>
              </w:rPr>
            </w:pPr>
            <w:r>
              <w:rPr>
                <w:color w:val="000000"/>
              </w:rPr>
              <w:t>–</w:t>
            </w:r>
          </w:p>
        </w:tc>
      </w:tr>
      <w:tr>
        <w:trPr/>
        <w:tc>
          <w:tcPr>
            <w:tcW w:w="4292" w:type="dxa"/>
            <w:gridSpan w:val="12"/>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Fee Offsets</w:t>
            </w:r>
          </w:p>
        </w:tc>
        <w:tc>
          <w:tcPr>
            <w:tcW w:w="1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1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color w:val="000000"/>
              </w:rPr>
            </w:pPr>
            <w:r>
              <w:rPr>
                <w:color w:val="000000"/>
              </w:rPr>
              <w:t>–</w:t>
            </w:r>
          </w:p>
        </w:tc>
        <w:tc>
          <w:tcPr>
            <w:tcW w:w="14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$201,872.85</w:t>
            </w:r>
          </w:p>
        </w:tc>
      </w:tr>
      <w:tr>
        <w:trPr/>
        <w:tc>
          <w:tcPr>
            <w:tcW w:w="4292" w:type="dxa"/>
            <w:gridSpan w:val="12"/>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Fee Due</w:t>
            </w:r>
          </w:p>
        </w:tc>
        <w:tc>
          <w:tcPr>
            <w:tcW w:w="16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color w:val="000000"/>
              </w:rPr>
            </w:pPr>
            <w:r>
              <w:rPr>
                <w:color w:val="000000"/>
              </w:rPr>
              <w:t>–</w:t>
            </w:r>
          </w:p>
        </w:tc>
        <w:tc>
          <w:tcPr>
            <w:tcW w:w="18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color w:val="000000"/>
              </w:rPr>
            </w:pPr>
            <w:r>
              <w:rPr>
                <w:color w:val="000000"/>
              </w:rPr>
              <w:t>–</w:t>
            </w:r>
          </w:p>
        </w:tc>
        <w:tc>
          <w:tcPr>
            <w:tcW w:w="9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color w:val="000000"/>
              </w:rPr>
            </w:pPr>
            <w:r>
              <w:rPr>
                <w:color w:val="000000"/>
              </w:rPr>
              <w:t>–</w:t>
            </w:r>
          </w:p>
        </w:tc>
        <w:tc>
          <w:tcPr>
            <w:tcW w:w="14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r>
    </w:tbl>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19"/>
        </w:rPr>
        <w:t>(1)</w:t>
      </w:r>
      <w:r>
        <w:rPr>
          <w:color w:val="000000"/>
        </w:rPr>
        <w:t>    </w:t>
      </w:r>
      <w:r>
        <w:rPr>
          <w:rFonts w:ascii="Times New Roman;sans-serif" w:hAnsi="Times New Roman;sans-serif"/>
          <w:b w:val="false"/>
          <w:color w:val="000000"/>
          <w:sz w:val="18"/>
        </w:rPr>
        <w:t>Pursuant to Rule 416(a) promulgated under the Securities Act of 1933, as amended (the "Securities Act"), this Registration Statement shall also cover any additional shares of Class A common stock of Zoom Communications, Inc. (the “Registrant”) that become issuable under the plans set forth herein by reason of any stock dividend, stock split, recapitalization, or other similar transaction effected that results in an increase to the number of outstanding shares of the Registrant’s Class A common stock, as applicable.</w:t>
      </w:r>
    </w:p>
    <w:p>
      <w:pPr>
        <w:pStyle w:val="TextBody"/>
        <w:bidi w:val="0"/>
        <w:spacing w:lineRule="auto" w:line="240"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    Estimated in accordance with Rules 457(c) and (h) solely for the purpose of calculating the registration fee on the basis of the average of the high and low prices of the Registrant’s Class A common stock as reported on the Nasdaq Global Select Market on February 27, 2025.</w:t>
      </w:r>
    </w:p>
    <w:p>
      <w:pPr>
        <w:pStyle w:val="TextBody"/>
        <w:bidi w:val="0"/>
        <w:spacing w:lineRule="auto" w:line="240"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    Represents an automatic annual increase equal to 5% of the total number of shares of the Registrant’s Class A common stock and Class B common stock outstanding on January 31 of the preceding fiscal year, which annual increase is provided by the Registrant’s 2019 Equity Incentive Plan.</w:t>
      </w:r>
    </w:p>
    <w:p>
      <w:pPr>
        <w:pStyle w:val="TextBody"/>
        <w:bidi w:val="0"/>
        <w:spacing w:lineRule="auto" w:line="240"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    Estimated in accordance with Rules 457(c) and (h) solely for the purpose of calculating the registration fee on the basis of the average of the high and low prices of the Registrant’s Class A common stock as reported on the Nasdaq Global Select Market on February 27, 2025, multiplied by 85%, which is the percentage of the price per share applicable to purchases under the Registrant’s 2019 Employee Stock Purchase Plan (the “2019 ESPP”).</w:t>
      </w:r>
    </w:p>
    <w:p>
      <w:pPr>
        <w:pStyle w:val="TextBody"/>
        <w:bidi w:val="0"/>
        <w:spacing w:lineRule="auto" w:line="240"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(5)    Represents an automatic increase equal to 1% of the total number of shares of the Registrant’s Class A common stock and Class B common stock outstanding on January 31 of the preceding fiscal year, which annual increase is provided by the 2019 ESPP.</w:t>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Table 2: Fee Offset Claims and Sources</w:t>
      </w:r>
    </w:p>
    <w:p>
      <w:pPr>
        <w:pStyle w:val="TextBody"/>
        <w:bidi w:val="0"/>
        <w:spacing w:before="0" w:after="0"/>
        <w:jc w:val="center"/>
        <w:rPr/>
      </w:pPr>
      <w:r>
        <w:rPr/>
      </w:r>
    </w:p>
    <w:p>
      <w:pPr>
        <w:pStyle w:val="TextBody"/>
        <w:bidi w:val="0"/>
        <w:spacing w:before="0" w:after="0"/>
        <w:jc w:val="center"/>
        <w:rPr/>
      </w:pPr>
      <w:r>
        <w:rPr/>
      </w:r>
    </w:p>
    <w:tbl>
      <w:tblPr>
        <w:tblW w:w="10900" w:type="dxa"/>
        <w:jc w:val="center"/>
        <w:tblInd w:w="0" w:type="dxa"/>
        <w:tblLayout w:type="fixed"/>
        <w:tblCellMar>
          <w:top w:w="28" w:type="dxa"/>
          <w:left w:w="28" w:type="dxa"/>
          <w:bottom w:w="28" w:type="dxa"/>
          <w:right w:w="28" w:type="dxa"/>
        </w:tblCellMar>
      </w:tblPr>
      <w:tblGrid>
        <w:gridCol w:w="317"/>
        <w:gridCol w:w="186"/>
        <w:gridCol w:w="188"/>
        <w:gridCol w:w="644"/>
        <w:gridCol w:w="386"/>
        <w:gridCol w:w="291"/>
        <w:gridCol w:w="176"/>
        <w:gridCol w:w="176"/>
        <w:gridCol w:w="177"/>
        <w:gridCol w:w="282"/>
        <w:gridCol w:w="282"/>
        <w:gridCol w:w="282"/>
        <w:gridCol w:w="247"/>
        <w:gridCol w:w="177"/>
        <w:gridCol w:w="177"/>
        <w:gridCol w:w="277"/>
        <w:gridCol w:w="161"/>
        <w:gridCol w:w="163"/>
        <w:gridCol w:w="499"/>
        <w:gridCol w:w="321"/>
        <w:gridCol w:w="216"/>
        <w:gridCol w:w="288"/>
        <w:gridCol w:w="288"/>
        <w:gridCol w:w="290"/>
        <w:gridCol w:w="288"/>
        <w:gridCol w:w="288"/>
        <w:gridCol w:w="290"/>
        <w:gridCol w:w="338"/>
        <w:gridCol w:w="288"/>
        <w:gridCol w:w="290"/>
        <w:gridCol w:w="936"/>
        <w:gridCol w:w="304"/>
        <w:gridCol w:w="306"/>
        <w:gridCol w:w="624"/>
        <w:gridCol w:w="189"/>
        <w:gridCol w:w="268"/>
      </w:tblGrid>
      <w:tr>
        <w:trPr/>
        <w:tc>
          <w:tcPr>
            <w:tcW w:w="31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before="8" w:after="283"/>
              <w:jc w:val="center"/>
              <w:rPr/>
            </w:pPr>
            <w:r>
              <w:rPr/>
            </w:r>
          </w:p>
          <w:p>
            <w:pPr>
              <w:pStyle w:val="TableContents"/>
              <w:bidi w:val="0"/>
              <w:spacing w:lineRule="auto" w:line="240" w:before="1" w:after="283"/>
              <w:jc w:val="center"/>
              <w:rPr>
                <w:rFonts w:ascii="Times New Roman;sans-serif" w:hAnsi="Times New Roman;sans-serif"/>
                <w:b/>
                <w:color w:val="000000"/>
                <w:sz w:val="16"/>
              </w:rPr>
            </w:pPr>
            <w:r>
              <w:rPr>
                <w:rFonts w:ascii="Times New Roman;sans-serif" w:hAnsi="Times New Roman;sans-serif"/>
                <w:b/>
                <w:color w:val="000000"/>
                <w:sz w:val="16"/>
              </w:rPr>
              <w:t>Registrant or Filer Name</w:t>
            </w:r>
          </w:p>
        </w:tc>
        <w:tc>
          <w:tcPr>
            <w:tcW w:w="5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159" w:after="283"/>
              <w:ind w:left="0" w:right="0" w:firstLine="3"/>
              <w:jc w:val="center"/>
              <w:rPr>
                <w:rFonts w:ascii="Times New Roman;sans-serif" w:hAnsi="Times New Roman;sans-serif"/>
                <w:b/>
                <w:color w:val="000000"/>
                <w:sz w:val="16"/>
              </w:rPr>
            </w:pPr>
            <w:r>
              <w:rPr>
                <w:rFonts w:ascii="Times New Roman;sans-serif" w:hAnsi="Times New Roman;sans-serif"/>
                <w:b/>
                <w:color w:val="000000"/>
                <w:sz w:val="16"/>
              </w:rPr>
              <w:t>Form or Filing Type</w:t>
            </w:r>
          </w:p>
        </w:tc>
        <w:tc>
          <w:tcPr>
            <w:tcW w:w="8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40" w:before="136" w:after="283"/>
              <w:ind w:left="0" w:right="0" w:firstLine="155"/>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6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before="8" w:after="283"/>
              <w:jc w:val="center"/>
              <w:rPr/>
            </w:pPr>
            <w:r>
              <w:rPr/>
            </w:r>
          </w:p>
          <w:p>
            <w:pPr>
              <w:pStyle w:val="TableContents"/>
              <w:bidi w:val="0"/>
              <w:spacing w:lineRule="auto" w:line="240" w:before="0" w:after="0"/>
              <w:ind w:left="0" w:right="0" w:hanging="10"/>
              <w:jc w:val="center"/>
              <w:rPr>
                <w:rFonts w:ascii="Times New Roman;sans-serif" w:hAnsi="Times New Roman;sans-serif"/>
                <w:b/>
                <w:color w:val="000000"/>
                <w:sz w:val="16"/>
              </w:rPr>
            </w:pPr>
            <w:r>
              <w:rPr>
                <w:rFonts w:ascii="Times New Roman;sans-serif" w:hAnsi="Times New Roman;sans-serif"/>
                <w:b/>
                <w:color w:val="000000"/>
                <w:sz w:val="16"/>
              </w:rPr>
              <w:t>Initial Filing Date</w:t>
            </w:r>
          </w:p>
        </w:tc>
        <w:tc>
          <w:tcPr>
            <w:tcW w:w="6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40" w:before="136" w:after="283"/>
              <w:ind w:left="0" w:right="0" w:hanging="41"/>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0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40" w:before="136" w:after="283"/>
              <w:ind w:left="0" w:right="0" w:hanging="60"/>
              <w:jc w:val="center"/>
              <w:rPr>
                <w:rFonts w:ascii="Times New Roman;sans-serif" w:hAnsi="Times New Roman;sans-serif"/>
                <w:b/>
                <w:color w:val="000000"/>
                <w:sz w:val="16"/>
              </w:rPr>
            </w:pPr>
            <w:r>
              <w:rPr>
                <w:rFonts w:ascii="Times New Roman;sans-serif" w:hAnsi="Times New Roman;sans-serif"/>
                <w:b/>
                <w:color w:val="000000"/>
                <w:sz w:val="16"/>
              </w:rPr>
              <w:t>Fee Offset Claimed</w:t>
            </w:r>
          </w:p>
        </w:tc>
        <w:tc>
          <w:tcPr>
            <w:tcW w:w="8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8" w:after="283"/>
              <w:jc w:val="center"/>
              <w:rPr/>
            </w:pPr>
            <w:r>
              <w:rPr/>
            </w:r>
          </w:p>
          <w:p>
            <w:pPr>
              <w:pStyle w:val="TableContents"/>
              <w:bidi w:val="0"/>
              <w:spacing w:lineRule="auto" w:line="240" w:before="0" w:after="0"/>
              <w:ind w:left="0" w:right="0" w:hanging="5"/>
              <w:jc w:val="center"/>
              <w:rPr>
                <w:rFonts w:ascii="Times New Roman;sans-serif" w:hAnsi="Times New Roman;sans-serif"/>
                <w:b/>
                <w:color w:val="000000"/>
                <w:sz w:val="16"/>
              </w:rPr>
            </w:pPr>
            <w:r>
              <w:rPr>
                <w:rFonts w:ascii="Times New Roman;sans-serif" w:hAnsi="Times New Roman;sans-serif"/>
                <w:b/>
                <w:color w:val="000000"/>
                <w:sz w:val="16"/>
              </w:rPr>
              <w:t>Security Type Associated with Fee Offset Claimed</w:t>
            </w:r>
          </w:p>
        </w:tc>
        <w:tc>
          <w:tcPr>
            <w:tcW w:w="8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8" w:after="283"/>
              <w:jc w:val="center"/>
              <w:rPr/>
            </w:pPr>
            <w:r>
              <w:rPr/>
            </w:r>
          </w:p>
          <w:p>
            <w:pPr>
              <w:pStyle w:val="TableContents"/>
              <w:bidi w:val="0"/>
              <w:spacing w:lineRule="auto" w:line="240" w:before="0" w:after="0"/>
              <w:ind w:left="0" w:right="0" w:hanging="5"/>
              <w:jc w:val="center"/>
              <w:rPr>
                <w:rFonts w:ascii="Times New Roman;sans-serif" w:hAnsi="Times New Roman;sans-serif"/>
                <w:b/>
                <w:color w:val="000000"/>
                <w:sz w:val="16"/>
              </w:rPr>
            </w:pPr>
            <w:r>
              <w:rPr>
                <w:rFonts w:ascii="Times New Roman;sans-serif" w:hAnsi="Times New Roman;sans-serif"/>
                <w:b/>
                <w:color w:val="000000"/>
                <w:sz w:val="16"/>
              </w:rPr>
              <w:t>Security Title Associated with Fee Offset Claimed</w:t>
            </w:r>
          </w:p>
        </w:tc>
        <w:tc>
          <w:tcPr>
            <w:tcW w:w="9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8" w:after="283"/>
              <w:jc w:val="center"/>
              <w:rPr/>
            </w:pPr>
            <w:r>
              <w:rPr/>
            </w:r>
          </w:p>
          <w:p>
            <w:pPr>
              <w:pStyle w:val="TableContents"/>
              <w:bidi w:val="0"/>
              <w:spacing w:lineRule="auto" w:line="240" w:before="0" w:after="0"/>
              <w:ind w:left="0" w:right="0" w:hanging="5"/>
              <w:jc w:val="center"/>
              <w:rPr>
                <w:rFonts w:ascii="Times New Roman;sans-serif" w:hAnsi="Times New Roman;sans-serif"/>
                <w:b/>
                <w:color w:val="000000"/>
                <w:sz w:val="16"/>
              </w:rPr>
            </w:pPr>
            <w:r>
              <w:rPr>
                <w:rFonts w:ascii="Times New Roman;sans-serif" w:hAnsi="Times New Roman;sans-serif"/>
                <w:b/>
                <w:color w:val="000000"/>
                <w:sz w:val="16"/>
              </w:rPr>
              <w:t>Unsold Securities Associated with Fee Offset Claimed</w:t>
            </w:r>
          </w:p>
        </w:tc>
        <w:tc>
          <w:tcPr>
            <w:tcW w:w="15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ind w:left="0" w:right="0" w:firstLine="43"/>
              <w:jc w:val="center"/>
              <w:rPr>
                <w:rFonts w:ascii="Times New Roman;sans-serif" w:hAnsi="Times New Roman;sans-serif"/>
                <w:b/>
                <w:color w:val="000000"/>
                <w:sz w:val="16"/>
              </w:rPr>
            </w:pPr>
            <w:r>
              <w:rPr>
                <w:rFonts w:ascii="Times New Roman;sans-serif" w:hAnsi="Times New Roman;sans-serif"/>
                <w:b/>
                <w:color w:val="000000"/>
                <w:sz w:val="16"/>
              </w:rPr>
              <w:t>Unsold Aggregate Offering Amount Associated with Fee Offset</w:t>
            </w:r>
          </w:p>
          <w:p>
            <w:pPr>
              <w:pStyle w:val="TableContents"/>
              <w:bidi w:val="0"/>
              <w:spacing w:lineRule="auto" w:line="244" w:before="0" w:after="0"/>
              <w:jc w:val="center"/>
              <w:rPr>
                <w:rFonts w:ascii="Times New Roman;sans-serif" w:hAnsi="Times New Roman;sans-serif"/>
                <w:b/>
                <w:color w:val="000000"/>
                <w:sz w:val="16"/>
              </w:rPr>
            </w:pPr>
            <w:r>
              <w:rPr>
                <w:rFonts w:ascii="Times New Roman;sans-serif" w:hAnsi="Times New Roman;sans-serif"/>
                <w:b/>
                <w:color w:val="000000"/>
                <w:sz w:val="16"/>
              </w:rPr>
              <w:t>Claimed</w:t>
            </w:r>
          </w:p>
        </w:tc>
        <w:tc>
          <w:tcPr>
            <w:tcW w:w="108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before="0" w:after="0"/>
              <w:jc w:val="center"/>
              <w:rPr/>
            </w:pPr>
            <w:r>
              <w:rPr/>
            </w:r>
          </w:p>
          <w:p>
            <w:pPr>
              <w:pStyle w:val="TableContents"/>
              <w:bidi w:val="0"/>
              <w:spacing w:lineRule="auto" w:line="240" w:before="159" w:after="283"/>
              <w:jc w:val="center"/>
              <w:rPr>
                <w:rFonts w:ascii="Times New Roman;sans-serif" w:hAnsi="Times New Roman;sans-serif"/>
                <w:b/>
                <w:color w:val="000000"/>
                <w:sz w:val="16"/>
              </w:rPr>
            </w:pPr>
            <w:r>
              <w:rPr>
                <w:rFonts w:ascii="Times New Roman;sans-serif" w:hAnsi="Times New Roman;sans-serif"/>
                <w:b/>
                <w:color w:val="000000"/>
                <w:sz w:val="16"/>
              </w:rPr>
              <w:t>Fee Paid with Fee Offset Source</w:t>
            </w:r>
          </w:p>
        </w:tc>
      </w:tr>
      <w:tr>
        <w:trPr/>
        <w:tc>
          <w:tcPr>
            <w:tcW w:w="10900" w:type="dxa"/>
            <w:gridSpan w:val="3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74" w:after="283"/>
              <w:jc w:val="left"/>
              <w:rPr>
                <w:rFonts w:ascii="Times New Roman;sans-serif" w:hAnsi="Times New Roman;sans-serif"/>
                <w:b/>
                <w:color w:val="000000"/>
                <w:sz w:val="16"/>
              </w:rPr>
            </w:pPr>
            <w:r>
              <w:rPr>
                <w:rFonts w:ascii="Times New Roman;sans-serif" w:hAnsi="Times New Roman;sans-serif"/>
                <w:b/>
                <w:color w:val="000000"/>
                <w:sz w:val="16"/>
              </w:rPr>
              <w:t>Rules 457(b) and 0-11(a)(2)</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Fee Offset</w:t>
            </w:r>
          </w:p>
          <w:p>
            <w:pPr>
              <w:pStyle w:val="TableContents"/>
              <w:bidi w:val="0"/>
              <w:spacing w:lineRule="auto" w:line="249" w:before="1"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Claims</w:t>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0"/>
              <w:ind w:left="0" w:right="0" w:hanging="82"/>
              <w:jc w:val="center"/>
              <w:rPr>
                <w:rFonts w:ascii="Times New Roman;sans-serif" w:hAnsi="Times New Roman;sans-serif"/>
                <w:b w:val="false"/>
                <w:color w:val="000000"/>
                <w:sz w:val="16"/>
              </w:rPr>
            </w:pPr>
            <w:r>
              <w:rPr>
                <w:rFonts w:ascii="Times New Roman;sans-serif" w:hAnsi="Times New Roman;sans-serif"/>
                <w:b w:val="false"/>
                <w:color w:val="000000"/>
                <w:sz w:val="16"/>
              </w:rPr>
              <w:t>Fee Offset Sources</w:t>
            </w:r>
          </w:p>
        </w:tc>
        <w:tc>
          <w:tcPr>
            <w:tcW w:w="13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00" w:type="dxa"/>
            <w:gridSpan w:val="3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74" w:after="283"/>
              <w:jc w:val="center"/>
              <w:rPr>
                <w:rFonts w:ascii="Times New Roman;sans-serif" w:hAnsi="Times New Roman;sans-serif"/>
                <w:b/>
                <w:color w:val="000000"/>
                <w:sz w:val="16"/>
              </w:rPr>
            </w:pPr>
            <w:r>
              <w:rPr>
                <w:rFonts w:ascii="Times New Roman;sans-serif" w:hAnsi="Times New Roman;sans-serif"/>
                <w:b/>
                <w:color w:val="000000"/>
                <w:sz w:val="16"/>
              </w:rPr>
              <w:t>Rule 457(p)</w:t>
            </w:r>
          </w:p>
        </w:tc>
      </w:tr>
      <w:tr>
        <w:trPr/>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Fee Offset</w:t>
            </w:r>
          </w:p>
          <w:p>
            <w:pPr>
              <w:pStyle w:val="TableContents"/>
              <w:bidi w:val="0"/>
              <w:spacing w:lineRule="auto" w:line="271" w:before="0" w:after="0"/>
              <w:jc w:val="center"/>
              <w:rPr/>
            </w:pPr>
            <w:r>
              <w:rPr>
                <w:rFonts w:ascii="Times New Roman;sans-serif" w:hAnsi="Times New Roman;sans-serif"/>
                <w:b w:val="false"/>
                <w:color w:val="000000"/>
                <w:sz w:val="16"/>
              </w:rPr>
              <w:t>Claims</w:t>
            </w:r>
            <w:r>
              <w:rPr>
                <w:rFonts w:ascii="Times New Roman;sans-serif" w:hAnsi="Times New Roman;sans-serif"/>
                <w:b w:val="false"/>
                <w:color w:val="000000"/>
                <w:sz w:val="10"/>
              </w:rPr>
              <w:t>(1)</w:t>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Zoom Video Communications, Inc.</w:t>
            </w:r>
          </w:p>
        </w:tc>
        <w:tc>
          <w:tcPr>
            <w:tcW w:w="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S-4</w:t>
            </w:r>
          </w:p>
        </w:tc>
        <w:tc>
          <w:tcPr>
            <w:tcW w:w="8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333-258815</w:t>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13, 2021</w:t>
            </w:r>
          </w:p>
        </w:tc>
        <w:tc>
          <w:tcPr>
            <w:tcW w:w="6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$201,872.85</w:t>
            </w:r>
            <w:r>
              <w:rPr>
                <w:rFonts w:ascii="Times New Roman;sans-serif" w:hAnsi="Times New Roman;sans-serif"/>
                <w:b w:val="false"/>
                <w:color w:val="000000"/>
                <w:sz w:val="10"/>
              </w:rPr>
              <w:t>(1)</w:t>
            </w:r>
          </w:p>
        </w:tc>
        <w:tc>
          <w:tcPr>
            <w:tcW w:w="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8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43,673,988 shares</w:t>
            </w:r>
          </w:p>
        </w:tc>
        <w:tc>
          <w:tcPr>
            <w:tcW w:w="15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$15,057,382,692.48</w:t>
            </w:r>
          </w:p>
        </w:tc>
        <w:tc>
          <w:tcPr>
            <w:tcW w:w="108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1" w:before="0" w:after="0"/>
              <w:jc w:val="center"/>
              <w:rPr/>
            </w:pPr>
            <w:r>
              <w:rPr>
                <w:rFonts w:ascii="Times New Roman;sans-serif" w:hAnsi="Times New Roman;sans-serif"/>
                <w:b w:val="false"/>
                <w:color w:val="000000"/>
                <w:sz w:val="16"/>
              </w:rPr>
              <w:t>Fee Offset Sources</w:t>
            </w:r>
            <w:r>
              <w:rPr>
                <w:rFonts w:ascii="Times New Roman;sans-serif" w:hAnsi="Times New Roman;sans-serif"/>
                <w:b w:val="false"/>
                <w:color w:val="000000"/>
                <w:sz w:val="10"/>
              </w:rPr>
              <w:t>(1)</w:t>
            </w:r>
          </w:p>
        </w:tc>
        <w:tc>
          <w:tcPr>
            <w:tcW w:w="13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Zoom Video Communications, Inc.</w:t>
            </w:r>
          </w:p>
        </w:tc>
        <w:tc>
          <w:tcPr>
            <w:tcW w:w="5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S-4</w:t>
            </w:r>
          </w:p>
        </w:tc>
        <w:tc>
          <w:tcPr>
            <w:tcW w:w="8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333-258815</w:t>
            </w:r>
          </w:p>
        </w:tc>
        <w:tc>
          <w:tcPr>
            <w:tcW w:w="60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6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1"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August 13, 2021</w:t>
            </w:r>
          </w:p>
        </w:tc>
        <w:tc>
          <w:tcPr>
            <w:tcW w:w="103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86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86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91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154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108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1" w:before="0" w:after="0"/>
              <w:jc w:val="center"/>
              <w:rPr/>
            </w:pPr>
            <w:r>
              <w:rPr>
                <w:rFonts w:ascii="Times New Roman;sans-serif" w:hAnsi="Times New Roman;sans-serif"/>
                <w:b w:val="false"/>
                <w:color w:val="000000"/>
                <w:sz w:val="16"/>
              </w:rPr>
              <w:t>$201,872.85</w:t>
            </w:r>
            <w:r>
              <w:rPr>
                <w:rFonts w:ascii="Times New Roman;sans-serif" w:hAnsi="Times New Roman;sans-serif"/>
                <w:b w:val="false"/>
                <w:color w:val="000000"/>
                <w:sz w:val="10"/>
              </w:rPr>
              <w:t>(1)(2)</w:t>
            </w:r>
          </w:p>
        </w:tc>
      </w:tr>
    </w:tbl>
    <w:p>
      <w:pPr>
        <w:pStyle w:val="TextBody"/>
        <w:bidi w:val="0"/>
        <w:spacing w:before="0" w:after="0"/>
        <w:jc w:val="center"/>
        <w:rPr/>
      </w:pPr>
      <w:r>
        <w:rPr/>
      </w:r>
    </w:p>
    <w:p>
      <w:pPr>
        <w:pStyle w:val="TextBody"/>
        <w:bidi w:val="0"/>
        <w:spacing w:lineRule="auto" w:line="240" w:before="0" w:after="0"/>
        <w:ind w:left="0" w:right="0" w:hanging="360"/>
        <w:jc w:val="both"/>
        <w:rPr>
          <w:rFonts w:ascii="Times New Roman;sans-serif" w:hAnsi="Times New Roman;sans-serif"/>
          <w:b w:val="false"/>
          <w:color w:val="000000"/>
          <w:sz w:val="19"/>
        </w:rPr>
      </w:pPr>
      <w:r>
        <w:rPr>
          <w:rFonts w:ascii="Times New Roman;sans-serif" w:hAnsi="Times New Roman;sans-serif"/>
          <w:b w:val="false"/>
          <w:color w:val="000000"/>
          <w:sz w:val="19"/>
        </w:rPr>
        <w:t>(1)    The Registrant previously registered $15,057,382,692.48 in aggregate offering amount of Class A common stock pursuant to the Registration Statement on Form S-4 (File Number 333-258815) filed on August 13, 2021, as amended by Pre-Effective Amendment No. 1 filed on August 26, 2021 (the “Prior Registration Statement”). The Registrant has withdrawn the Prior Registration Statement and no securities were sold thereunder.</w:t>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(2)    The Registrant expects to offset the registration fee due hereunder by an amount of fees that was previously paid with respect to the Prior Registration Statement pursuant to Rule 457(p) under the Securities Act. The fee previously paid for the Prior Registration Statement was $1,642,760.45. Pursuant to Rule 457(p) under the Securities Act, the Registrant previously offset $192,507.12 of the total registration fees due under its Registration Statement on Form S-8 (File Number 333-263354), filed on March 8, 2022, $132,800.37 of the total registration fees due under its Registration Statement on Form S-8 (File Number 333-270264), filed on March 3, 2023 and $168,978.58 of the total registration fees due under its Registration Statement on Form S-8 (File Number 333-277614), filed on March 4, 2024, against the fees previously paid in connection with the Prior Registration Statement, leaving a remaining balance of $1,148,474.38 available for future fee offsets by the Registrant. Pursuant to Rule 457(p) under the Securities Act, the Registrant hereby offsets the total registration fee due under this Registration Statement of $201,872.85 from the fees previously paid in connection with the Prior Registration Statement, with $946,601.53 remaining to be applied to future filings. Accordingly, no additional registration fee is being paid in connection with the filing of this Registration Statement.</w: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both"/>
        <w:rPr/>
      </w:pPr>
      <w:r>
        <w:rPr/>
        <w:drawing>
          <wp:inline distT="0" distB="0" distL="0" distR="0">
            <wp:extent cx="1085850" cy="3524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0"/>
                    <a:stretch>
                      <a:fillRect/>
                    </a:stretch>
                  </pic:blipFill>
                  <pic:spPr bwMode="auto">
                    <a:xfrm>
                      <a:off x="0" y="0"/>
                      <a:ext cx="1085850" cy="352425"/>
                    </a:xfrm>
                    <a:prstGeom prst="rect">
                      <a:avLst/>
                    </a:prstGeom>
                  </pic:spPr>
                </pic:pic>
              </a:graphicData>
            </a:graphic>
          </wp:inline>
        </w:drawing>
      </w:r>
      <w:r>
        <w:rPr>
          <w:color w:val="000000"/>
        </w:rPr>
        <w:t xml:space="preserve"> </w:t>
      </w:r>
      <w:r>
        <w:rPr>
          <w:rFonts w:ascii="Arial;sans-serif" w:hAnsi="Arial;sans-serif"/>
          <w:b w:val="false"/>
          <w:color w:val="000000"/>
          <w:sz w:val="28"/>
        </w:rPr>
        <w:t>Exhibit 5.1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Jon Avina</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+1 650 843 5307</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javina@cooley.com</w:t>
      </w:r>
    </w:p>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February 28, 2025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Zoom Communications, Inc. </w:t>
      </w:r>
    </w:p>
    <w:p>
      <w:pPr>
        <w:pStyle w:val="TextBody"/>
        <w:bidi w:val="0"/>
        <w:spacing w:lineRule="auto" w:line="268" w:before="0" w:after="0"/>
        <w:jc w:val="left"/>
        <w:rPr/>
      </w:pPr>
      <w:r>
        <w:rPr>
          <w:rFonts w:ascii="Arial;sans-serif" w:hAnsi="Arial;sans-serif"/>
          <w:b w:val="false"/>
          <w:color w:val="000000"/>
          <w:sz w:val="24"/>
        </w:rPr>
        <w:t>55 Almaden Boulevard, 6</w:t>
      </w:r>
      <w:r>
        <w:rPr>
          <w:rFonts w:ascii="Arial;sans-serif" w:hAnsi="Arial;sans-serif"/>
          <w:b w:val="false"/>
          <w:color w:val="000000"/>
          <w:sz w:val="13"/>
        </w:rPr>
        <w:t>th</w:t>
      </w:r>
      <w:r>
        <w:rPr>
          <w:color w:val="000000"/>
        </w:rPr>
        <w:t xml:space="preserve"> </w:t>
      </w:r>
      <w:r>
        <w:rPr>
          <w:rFonts w:ascii="Arial;sans-serif" w:hAnsi="Arial;sans-serif"/>
          <w:b w:val="false"/>
          <w:color w:val="000000"/>
          <w:sz w:val="24"/>
        </w:rPr>
        <w:t>Floor</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San Jose, CA 95113</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Re: Registration on Form S-8</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Ladies and Gentlemen:</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4"/>
        </w:rPr>
        <w:t>We have acted as counsel to Zoom Communications, Inc., a Delaware corporation (the “</w:t>
      </w:r>
      <w:r>
        <w:rPr>
          <w:rFonts w:ascii="Arial;sans-serif" w:hAnsi="Arial;sans-serif"/>
          <w:b/>
          <w:i/>
          <w:color w:val="000000"/>
          <w:sz w:val="24"/>
        </w:rPr>
        <w:t>Company</w:t>
      </w:r>
      <w:r>
        <w:rPr>
          <w:color w:val="000000"/>
        </w:rPr>
        <w:t>”</w:t>
      </w:r>
      <w:r>
        <w:rPr>
          <w:rFonts w:ascii="Arial;sans-serif" w:hAnsi="Arial;sans-serif"/>
          <w:b w:val="false"/>
          <w:color w:val="000000"/>
          <w:sz w:val="24"/>
        </w:rPr>
        <w:t>), in connection with the filing by the Company of a registration statement on Form S-8 (the “</w:t>
      </w:r>
      <w:r>
        <w:rPr>
          <w:rFonts w:ascii="Arial;sans-serif" w:hAnsi="Arial;sans-serif"/>
          <w:b/>
          <w:i/>
          <w:color w:val="000000"/>
          <w:sz w:val="24"/>
        </w:rPr>
        <w:t>Registration Statement</w:t>
      </w:r>
      <w:r>
        <w:rPr>
          <w:color w:val="000000"/>
        </w:rPr>
        <w:t>”</w:t>
      </w:r>
      <w:r>
        <w:rPr>
          <w:rFonts w:ascii="Arial;sans-serif" w:hAnsi="Arial;sans-serif"/>
          <w:b w:val="false"/>
          <w:color w:val="000000"/>
          <w:sz w:val="24"/>
        </w:rPr>
        <w:t>) with the Securities and Exchange Commission (the “</w:t>
      </w:r>
      <w:r>
        <w:rPr>
          <w:rFonts w:ascii="Arial;sans-serif" w:hAnsi="Arial;sans-serif"/>
          <w:b/>
          <w:i/>
          <w:color w:val="000000"/>
          <w:sz w:val="24"/>
        </w:rPr>
        <w:t>Commission</w:t>
      </w:r>
      <w:r>
        <w:rPr>
          <w:color w:val="000000"/>
        </w:rPr>
        <w:t>”</w:t>
      </w:r>
      <w:r>
        <w:rPr>
          <w:rFonts w:ascii="Arial;sans-serif" w:hAnsi="Arial;sans-serif"/>
          <w:b w:val="false"/>
          <w:color w:val="000000"/>
          <w:sz w:val="24"/>
        </w:rPr>
        <w:t>) covering the offering of up to 18,344,451 shares (the “</w:t>
      </w:r>
      <w:r>
        <w:rPr>
          <w:rFonts w:ascii="Arial;sans-serif" w:hAnsi="Arial;sans-serif"/>
          <w:b/>
          <w:i/>
          <w:color w:val="000000"/>
          <w:sz w:val="24"/>
        </w:rPr>
        <w:t>Shares</w:t>
      </w:r>
      <w:r>
        <w:rPr>
          <w:color w:val="000000"/>
        </w:rPr>
        <w:t>”</w:t>
      </w:r>
      <w:r>
        <w:rPr>
          <w:rFonts w:ascii="Arial;sans-serif" w:hAnsi="Arial;sans-serif"/>
          <w:b w:val="false"/>
          <w:color w:val="000000"/>
          <w:sz w:val="24"/>
        </w:rPr>
        <w:t>) of the Company’s Class A common stock, par value $0.001 per share (”</w:t>
      </w:r>
      <w:r>
        <w:rPr>
          <w:rFonts w:ascii="Arial;sans-serif" w:hAnsi="Arial;sans-serif"/>
          <w:b/>
          <w:i/>
          <w:color w:val="000000"/>
          <w:sz w:val="24"/>
        </w:rPr>
        <w:t>Common Stock</w:t>
      </w:r>
      <w:r>
        <w:rPr>
          <w:color w:val="000000"/>
        </w:rPr>
        <w:t>”</w:t>
      </w:r>
      <w:r>
        <w:rPr>
          <w:rFonts w:ascii="Arial;sans-serif" w:hAnsi="Arial;sans-serif"/>
          <w:b w:val="false"/>
          <w:color w:val="000000"/>
          <w:sz w:val="24"/>
        </w:rPr>
        <w:t>), consisting of (a) 15,287,043 shares of Common Stock issuable pursuant to the Company’s 2019 Equity Incentive Plan (the “</w:t>
      </w:r>
      <w:r>
        <w:rPr>
          <w:rFonts w:ascii="Arial;sans-serif" w:hAnsi="Arial;sans-serif"/>
          <w:b/>
          <w:i/>
          <w:color w:val="000000"/>
          <w:sz w:val="24"/>
        </w:rPr>
        <w:t>2019</w:t>
      </w:r>
      <w:r>
        <w:rPr>
          <w:color w:val="000000"/>
        </w:rPr>
        <w:t xml:space="preserve"> </w:t>
      </w:r>
      <w:r>
        <w:rPr>
          <w:rFonts w:ascii="Arial;sans-serif" w:hAnsi="Arial;sans-serif"/>
          <w:b/>
          <w:i/>
          <w:color w:val="000000"/>
          <w:sz w:val="24"/>
        </w:rPr>
        <w:t>EIP</w:t>
      </w:r>
      <w:r>
        <w:rPr>
          <w:color w:val="000000"/>
        </w:rPr>
        <w:t>”</w:t>
      </w:r>
      <w:r>
        <w:rPr>
          <w:rFonts w:ascii="Arial;sans-serif" w:hAnsi="Arial;sans-serif"/>
          <w:b w:val="false"/>
          <w:color w:val="000000"/>
          <w:sz w:val="24"/>
        </w:rPr>
        <w:t>) and (b) 3,057,408 shares of Common Stock issuable pursuant to the Company’s 2019 Employee Stock Purchase Plan (together with the 2019 EIP, the “</w:t>
      </w:r>
      <w:r>
        <w:rPr>
          <w:rFonts w:ascii="Arial;sans-serif" w:hAnsi="Arial;sans-serif"/>
          <w:b/>
          <w:i/>
          <w:color w:val="000000"/>
          <w:sz w:val="24"/>
        </w:rPr>
        <w:t>Plans</w:t>
      </w:r>
      <w:r>
        <w:rPr>
          <w:color w:val="000000"/>
        </w:rPr>
        <w:t>”</w:t>
      </w:r>
      <w:r>
        <w:rPr>
          <w:rFonts w:ascii="Arial;sans-serif" w:hAnsi="Arial;sans-serif"/>
          <w:b w:val="false"/>
          <w:color w:val="000000"/>
          <w:sz w:val="24"/>
        </w:rPr>
        <w: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In connection with this opinion, we have examined and relied upon (a) the Registration Statement and the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jc w:val="both"/>
        <w:rPr/>
      </w:pPr>
      <w:r>
        <w:rPr/>
      </w:r>
    </w:p>
    <w:p>
      <w:pPr>
        <w:pStyle w:val="TextBody"/>
        <w:bidi w:val="0"/>
        <w:spacing w:lineRule="auto" w:line="268"/>
        <w:jc w:val="both"/>
        <w:rPr>
          <w:rFonts w:ascii="Arial;sans-serif" w:hAnsi="Arial;sans-serif"/>
          <w:b w:val="false"/>
          <w:color w:val="000000"/>
          <w:sz w:val="24"/>
        </w:rPr>
      </w:pPr>
      <w:r>
        <w:rPr>
          <w:rFonts w:ascii="Arial;sans-serif" w:hAnsi="Arial;sans-serif"/>
          <w:b w:val="false"/>
          <w:color w:val="000000"/>
          <w:sz w:val="24"/>
        </w:rPr>
        <w:t xml:space="preserve">On the basis of the foregoing, and in reliance thereon, we are of the opinion that the Shares, when sold and issued in accordance with the Plans, the Registration Statement and the related prospectuses, will be validly issued, fully paid, and nonassessable </w:t>
      </w:r>
    </w:p>
    <w:p>
      <w:pPr>
        <w:pStyle w:val="TextBody"/>
        <w:bidi w:val="0"/>
        <w:spacing w:lineRule="auto" w:line="268" w:before="0" w:after="0"/>
        <w:jc w:val="both"/>
        <w:rPr/>
      </w:pPr>
      <w:r>
        <w:rPr/>
        <w:drawing>
          <wp:inline distT="0" distB="0" distL="0" distR="0">
            <wp:extent cx="1085850" cy="3524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21"/>
                    <a:stretch>
                      <a:fillRect/>
                    </a:stretch>
                  </pic:blipFill>
                  <pic:spPr bwMode="auto">
                    <a:xfrm>
                      <a:off x="0" y="0"/>
                      <a:ext cx="1085850" cy="352425"/>
                    </a:xfrm>
                    <a:prstGeom prst="rect">
                      <a:avLst/>
                    </a:prstGeom>
                  </pic:spPr>
                </pic:pic>
              </a:graphicData>
            </a:graphic>
          </wp:inline>
        </w:drawing>
      </w:r>
      <w:r>
        <w:rPr>
          <w:color w:val="000000"/>
        </w:rPr>
        <w:t xml:space="preserve"> </w:t>
      </w:r>
      <w:r>
        <w:rPr>
          <w:rFonts w:ascii="Arial;sans-serif" w:hAnsi="Arial;sans-serif"/>
          <w:b w:val="false"/>
          <w:color w:val="000000"/>
          <w:sz w:val="28"/>
        </w:rPr>
        <w:t>Exhibit 5.1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98170"/>
                <wp:effectExtent l="0" t="0" r="0" b="0"/>
                <wp:wrapNone/>
                <wp:docPr id="10" name="Frame8"/>
                <a:graphic xmlns:a="http://schemas.openxmlformats.org/drawingml/2006/main">
                  <a:graphicData uri="http://schemas.microsoft.com/office/word/2010/wordprocessingShape">
                    <wps:wsp>
                      <wps:cNvSpPr txBox="1"/>
                      <wps:spPr>
                        <a:xfrm>
                          <a:off x="0" y="0"/>
                          <a:ext cx="6480175" cy="59817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Cooley LLP 3175 Hanover Street Palo Alto, CA 94304-1130</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t: (650) 843-5000 f: (650) 849-7400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Cooley LLP 3175 Hanover Street Palo Alto, CA 94304-1130</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t: (650) 843-5000 f: (650) 849-7400 cooley.com</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(except as to shares issued pursuant to deferred payment arrangements, which will be fully paid and nonassessable when such deferred payments are made in full).</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Sincerely,</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4"/>
        </w:rPr>
      </w:pPr>
      <w:r>
        <w:rPr>
          <w:rFonts w:ascii="Arial;sans-serif" w:hAnsi="Arial;sans-serif"/>
          <w:b/>
          <w:color w:val="000000"/>
          <w:sz w:val="24"/>
        </w:rPr>
        <w:t>Cooley LLP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 xml:space="preserve">By: </w:t>
      </w:r>
      <w:r>
        <w:rPr>
          <w:rFonts w:ascii="Arial;sans-serif" w:hAnsi="Arial;sans-serif"/>
          <w:b w:val="false"/>
          <w:color w:val="000000"/>
          <w:sz w:val="24"/>
          <w:u w:val="single"/>
        </w:rPr>
        <w:t xml:space="preserve">/s/ Jon Avina </w:t>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Jon Avina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98170"/>
                <wp:effectExtent l="0" t="0" r="0" b="0"/>
                <wp:wrapNone/>
                <wp:docPr id="11" name="Frame9"/>
                <a:graphic xmlns:a="http://schemas.openxmlformats.org/drawingml/2006/main">
                  <a:graphicData uri="http://schemas.microsoft.com/office/word/2010/wordprocessingShape">
                    <wps:wsp>
                      <wps:cNvSpPr txBox="1"/>
                      <wps:spPr>
                        <a:xfrm>
                          <a:off x="0" y="0"/>
                          <a:ext cx="6480175" cy="59817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Cooley LLP 3175 Hanover Street Palo Alto, CA 94304-1130</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t: (650) 843-5000 f: (650) 849-7400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Cooley LLP 3175 Hanover Street Palo Alto, CA 94304-1130</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t: (650) 843-5000 f: (650) 849-7400 cooley.com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23.2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pPr>
      <w:r>
        <w:rPr>
          <w:rFonts w:ascii="Arial;sans-serif" w:hAnsi="Arial;sans-serif"/>
          <w:b/>
          <w:color w:val="000000"/>
          <w:sz w:val="20"/>
        </w:rPr>
        <w:t>Consent</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Independent</w:t>
      </w:r>
      <w:r>
        <w:rPr>
          <w:color w:val="000000"/>
        </w:rPr>
        <w:t xml:space="preserve"> </w:t>
      </w:r>
      <w:r>
        <w:rPr>
          <w:rFonts w:ascii="Arial;sans-serif" w:hAnsi="Arial;sans-serif"/>
          <w:b/>
          <w:color w:val="000000"/>
          <w:sz w:val="20"/>
        </w:rPr>
        <w:t>Registered</w:t>
      </w:r>
      <w:r>
        <w:rPr>
          <w:color w:val="000000"/>
        </w:rPr>
        <w:t xml:space="preserve"> </w:t>
      </w:r>
      <w:r>
        <w:rPr>
          <w:rFonts w:ascii="Arial;sans-serif" w:hAnsi="Arial;sans-serif"/>
          <w:b/>
          <w:color w:val="000000"/>
          <w:sz w:val="20"/>
        </w:rPr>
        <w:t>Public</w:t>
      </w:r>
      <w:r>
        <w:rPr>
          <w:color w:val="000000"/>
        </w:rPr>
        <w:t xml:space="preserve"> </w:t>
      </w:r>
      <w:r>
        <w:rPr>
          <w:rFonts w:ascii="Arial;sans-serif" w:hAnsi="Arial;sans-serif"/>
          <w:b/>
          <w:color w:val="000000"/>
          <w:sz w:val="20"/>
        </w:rPr>
        <w:t>Accounting</w:t>
      </w:r>
      <w:r>
        <w:rPr>
          <w:color w:val="000000"/>
        </w:rPr>
        <w:t xml:space="preserve"> </w:t>
      </w:r>
      <w:r>
        <w:rPr>
          <w:rFonts w:ascii="Arial;sans-serif" w:hAnsi="Arial;sans-serif"/>
          <w:b/>
          <w:color w:val="000000"/>
          <w:sz w:val="20"/>
        </w:rPr>
        <w:t>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consent to the use of our report dated February 28, 2025, with respect to the consolidated financial statements of Zoom Communications, Inc., and the effectiveness of internal control over financial reporting, incorporated herein by reference.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San Francisco, California </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February 28, 2025</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5521/000119312519115105/d724945ds8.htm" TargetMode="External"/><Relationship Id="rId3" Type="http://schemas.openxmlformats.org/officeDocument/2006/relationships/hyperlink" Target="https://www.sec.gov/Archives/edgar/data/1585521/000158552120000096/zm-sx8_2020.htm" TargetMode="External"/><Relationship Id="rId4" Type="http://schemas.openxmlformats.org/officeDocument/2006/relationships/hyperlink" Target="https://www.sec.gov/Archives/edgar/data/1585521/000158552121000050/zm-sx8_2021.htm" TargetMode="External"/><Relationship Id="rId5" Type="http://schemas.openxmlformats.org/officeDocument/2006/relationships/hyperlink" Target="https://www.sec.gov/Archives/edgar/data/1585521/000158552122000040/zm-sx8_2022.htm" TargetMode="External"/><Relationship Id="rId6" Type="http://schemas.openxmlformats.org/officeDocument/2006/relationships/hyperlink" Target="https://www.sec.gov/Archives/edgar/data/1585521/000158552123000037/zm-sx8_2023.htm" TargetMode="External"/><Relationship Id="rId7" Type="http://schemas.openxmlformats.org/officeDocument/2006/relationships/hyperlink" Target="https://www.sec.gov/Archives/edgar/data/1585521/000158552124000032/zm-sx8_2024.htm" TargetMode="External"/><Relationship Id="rId8" Type="http://schemas.openxmlformats.org/officeDocument/2006/relationships/hyperlink" Target="https://www.sec.gov/Archives/edgar/data/1585521/000158552124000032/zm-sx8_2024.htm" TargetMode="External"/><Relationship Id="rId9" Type="http://schemas.openxmlformats.org/officeDocument/2006/relationships/hyperlink" Target="https://www.sec.gov/ix?doc=/Archives/edgar/data/0001585521/000158552125000042/zm-20250131.htm" TargetMode="External"/><Relationship Id="rId10" Type="http://schemas.openxmlformats.org/officeDocument/2006/relationships/hyperlink" Target="https://www.sec.gov/Archives/edgar/data/1585521/000119312519099830/d730043d8a12b.htm" TargetMode="External"/><Relationship Id="rId11" Type="http://schemas.openxmlformats.org/officeDocument/2006/relationships/hyperlink" Target="https://www.sec.gov/Archives/edgar/data/1585521/000158552125000042/ex43_securitiesfrompy2.htm" TargetMode="External"/><Relationship Id="rId12" Type="http://schemas.openxmlformats.org/officeDocument/2006/relationships/hyperlink" Target="https://www.sec.gov/Archives/edgar/data/1585521/000119312519115111/d736915dex31.htm" TargetMode="External"/><Relationship Id="rId13" Type="http://schemas.openxmlformats.org/officeDocument/2006/relationships/hyperlink" Target="https://www.sec.gov/Archives/edgar/data/1585521/000158552124000257/certificateofamendmenttoce.htm" TargetMode="External"/><Relationship Id="rId14" Type="http://schemas.openxmlformats.org/officeDocument/2006/relationships/hyperlink" Target="https://www.sec.gov/Archives/edgar/data/1585521/000158552124000257/amendedandrestatedbylaws.htm" TargetMode="External"/><Relationship Id="rId15" Type="http://schemas.openxmlformats.org/officeDocument/2006/relationships/hyperlink" Target="https://www.sec.gov/Archives/edgar/data/1585521/000119312519099813/d642624dex41.htm" TargetMode="External"/><Relationship Id="rId16" Type="http://schemas.openxmlformats.org/officeDocument/2006/relationships/hyperlink" Target="https://www.sec.gov/Archives/edgar/data/1585521/000158552125000042/eip.htm" TargetMode="External"/><Relationship Id="rId17" Type="http://schemas.openxmlformats.org/officeDocument/2006/relationships/hyperlink" Target="https://www.sec.gov/Archives/edgar/data/1585521/000158552125000042/eip.htm" TargetMode="External"/><Relationship Id="rId18" Type="http://schemas.openxmlformats.org/officeDocument/2006/relationships/hyperlink" Target="https://www.sec.gov/Archives/edgar/data/1585521/000158552125000042/espp.htm" TargetMode="External"/><Relationship Id="rId19" Type="http://schemas.openxmlformats.org/officeDocument/2006/relationships/hyperlink" Target="https://www.sec.gov/Archives/edgar/data/1585521/000158552125000042/espp.htm" TargetMode="External"/><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2891</Words>
  <Characters>15687</Characters>
  <CharactersWithSpaces>18359</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