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20, 2024</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ind w:right="60" w:firstLine="620"/>
        <w:spacing w:after="0" w:line="288" w:lineRule="auto"/>
        <w:rPr>
          <w:sz w:val="20"/>
          <w:szCs w:val="20"/>
          <w:color w:val="auto"/>
        </w:rPr>
      </w:pPr>
      <w:r>
        <w:rPr>
          <w:rFonts w:ascii="Times New Roman" w:cs="Times New Roman" w:eastAsia="Times New Roman" w:hAnsi="Times New Roman"/>
          <w:sz w:val="17"/>
          <w:szCs w:val="17"/>
          <w:color w:val="auto"/>
        </w:rPr>
        <w:t>On May 20, 2024, Zoom Video Communications, Inc. (the “Company”) issued a press release announcing its financial results for the three months ended April 30, 2024. A copy of the press release is furnished as Exhibit 99.1 to this report and is incorporated by reference.</w:t>
      </w:r>
    </w:p>
    <w:p>
      <w:pPr>
        <w:spacing w:after="0" w:line="151"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960" w:type="dxa"/>
            <w:vAlign w:val="bottom"/>
            <w:tcBorders>
              <w:top w:val="single" w:sz="8" w:color="auto"/>
              <w:bottom w:val="single" w:sz="8" w:color="0000FF"/>
            </w:tcBorders>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May 20, 2024 of Zoom Video Communications, Inc.</w:t>
            </w:r>
          </w:p>
        </w:tc>
        <w:tc>
          <w:tcPr>
            <w:tcW w:w="4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7340" w:type="dxa"/>
            <w:vAlign w:val="bottom"/>
            <w:gridSpan w:val="2"/>
          </w:tcPr>
          <w:p>
            <w:pPr>
              <w:ind w:left="188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Dated: May 20, 2024</w:t>
            </w:r>
          </w:p>
        </w:tc>
        <w:tc>
          <w:tcPr>
            <w:tcW w:w="258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05"/>
        </w:trPr>
        <w:tc>
          <w:tcPr>
            <w:tcW w:w="33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r>
        <w:trPr>
          <w:trHeight w:val="227"/>
        </w:trPr>
        <w:tc>
          <w:tcPr>
            <w:tcW w:w="3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Zoom Video Communications Reports Financial Results for the First Quarter of Fiscal Year 2025</w:t>
      </w:r>
    </w:p>
    <w:p>
      <w:pPr>
        <w:spacing w:after="0" w:line="113" w:lineRule="exact"/>
        <w:rPr>
          <w:sz w:val="20"/>
          <w:szCs w:val="20"/>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total revenue of $1,141.2 million, up 3.2% year over year as reported and 3.5% in constant currency</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Enterprise revenue of $665.7 million, up 5.3%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GAAP operating margin of 17.8% and non-GAAP operating margin of 40.0%</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First quarter operating cash flow of $588.2 million, up 40.6%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Repurchased approximately 2.4 million shares of common stock</w:t>
      </w:r>
    </w:p>
    <w:p>
      <w:pPr>
        <w:spacing w:after="0" w:line="220"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May 20, 2024 – Zoom Video Communications, Inc. (NASDAQ: ZM), today announced financial results for the first fiscal quarter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April 30, 2024.</w:t>
      </w:r>
    </w:p>
    <w:p>
      <w:pPr>
        <w:spacing w:after="0" w:line="4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 Q1, we continued to integrate AI across our platform including Zoom Contact Center and Zoom Workplace, our AI-powered collaboration platform that provides customers the ability to reimagine teamwork by streamlining communications, increasing employee engagement, and improving productivity within their organizations,” said Eric S. Yuan, Zoom founder, and CEO. “These innovations combined with our execution and focused investment enabled us to outperform our guidance and drive operating cash flow growth of 40.6% and free cash flow growth of 43.6% year over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Fiscal Year 2025 Financial Highlights:</w:t>
      </w:r>
    </w:p>
    <w:p>
      <w:pPr>
        <w:spacing w:after="0" w:line="205" w:lineRule="exact"/>
        <w:rPr>
          <w:sz w:val="20"/>
          <w:szCs w:val="20"/>
          <w:color w:val="auto"/>
        </w:rPr>
      </w:pPr>
    </w:p>
    <w:p>
      <w:pPr>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first quarter was $1,141.2 million, up 3.2% year over year.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$1,143.6 million, up 3.5% year over year. Enterprise revenue was $665.7 million, up 5.3% year over year, and Online revenue was $475.5 million, flat year over year.</w:t>
      </w:r>
    </w:p>
    <w:p>
      <w:pPr>
        <w:spacing w:after="0" w:line="56" w:lineRule="exact"/>
        <w:rPr>
          <w:rFonts w:ascii="Times New Roman" w:cs="Times New Roman" w:eastAsia="Times New Roman" w:hAnsi="Times New Roman"/>
          <w:sz w:val="17"/>
          <w:szCs w:val="17"/>
          <w:color w:val="auto"/>
        </w:rPr>
      </w:pPr>
    </w:p>
    <w:p>
      <w:pPr>
        <w:ind w:left="940" w:right="24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first quarter was $203.0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$9.7 million in the first quarter of fiscal year 2024. After adjusting for stock-based compensation expense and related payroll taxes, acquisition-related expenses, restructuring expenses, and litigation settlements, net, non-GAAP income from operations for the first quarter was $456.6 million, compared to non-GAAP income from operations of $422.3 million in the first quarter of fiscal year 2024. For the first quarter, GAAP operating margin was 17.8% and non-GAAP operating margin was 40.0%.</w:t>
      </w:r>
    </w:p>
    <w:p>
      <w:pPr>
        <w:spacing w:after="0" w:line="169" w:lineRule="exact"/>
        <w:rPr>
          <w:rFonts w:ascii="Times New Roman" w:cs="Times New Roman" w:eastAsia="Times New Roman" w:hAnsi="Times New Roman"/>
          <w:sz w:val="17"/>
          <w:szCs w:val="17"/>
          <w:b w:val="1"/>
          <w:bCs w:val="1"/>
          <w:color w:val="auto"/>
        </w:rPr>
      </w:pPr>
    </w:p>
    <w:p>
      <w:pPr>
        <w:ind w:left="940" w:right="2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first quarter was $216.3 million, or $0.69 per share,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income of $15.4 million, or $0.05 per share, in the first quarter of fiscal year 2024.</w:t>
      </w:r>
    </w:p>
    <w:p>
      <w:pPr>
        <w:spacing w:after="0" w:line="43" w:lineRule="exact"/>
        <w:rPr>
          <w:rFonts w:ascii="Times New Roman" w:cs="Times New Roman" w:eastAsia="Times New Roman" w:hAnsi="Times New Roman"/>
          <w:sz w:val="17"/>
          <w:szCs w:val="17"/>
          <w:b w:val="1"/>
          <w:bCs w:val="1"/>
          <w:color w:val="auto"/>
        </w:rPr>
      </w:pPr>
    </w:p>
    <w:p>
      <w:pPr>
        <w:ind w:left="94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first quarter was $426.3 million, after adjusting for stock-based compensation expense and related payroll taxes, gains on strategic investments, net, acquisition-related expenses, restructuring expenses, litigation settlements, net, and the tax effects on non-GAAP adjustments. Non-GAAP net income per share was $1.35. In the first quarter of fiscal year 2024, non-GAAP net income was $353.3 million, or $1.16 per share.</w:t>
      </w:r>
    </w:p>
    <w:p>
      <w:pPr>
        <w:spacing w:after="0" w:line="166" w:lineRule="exact"/>
        <w:rPr>
          <w:rFonts w:ascii="Times New Roman" w:cs="Times New Roman" w:eastAsia="Times New Roman" w:hAnsi="Times New Roman"/>
          <w:sz w:val="17"/>
          <w:szCs w:val="17"/>
          <w:b w:val="1"/>
          <w:bCs w:val="1"/>
          <w:color w:val="auto"/>
        </w:rPr>
      </w:pPr>
    </w:p>
    <w:p>
      <w:pPr>
        <w:ind w:left="940" w:right="18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April 30, 2024 was $7.4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pacing w:after="0" w:line="39" w:lineRule="exact"/>
        <w:rPr>
          <w:rFonts w:ascii="Times New Roman" w:cs="Times New Roman" w:eastAsia="Times New Roman" w:hAnsi="Times New Roman"/>
          <w:sz w:val="17"/>
          <w:szCs w:val="17"/>
          <w:b w:val="1"/>
          <w:bCs w:val="1"/>
          <w:color w:val="auto"/>
        </w:rPr>
      </w:pPr>
    </w:p>
    <w:p>
      <w:pPr>
        <w:jc w:val="both"/>
        <w:ind w:left="940" w:right="2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$588.2 million for the first quarter, compared to $418.5 million in the first quarter of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2024, up 40.6% year over year. Free cash flow, which is net cash provided by operating activities less purchases of property and equipment, was $569.7 million, compared to $396.7 million in the first quarter of fiscal year 2024, up 43.6% year over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At the end of the first quarter of fiscal year 2025, Zoom had:</w:t>
      </w:r>
    </w:p>
    <w:p>
      <w:pPr>
        <w:spacing w:after="0" w:line="132" w:lineRule="exact"/>
        <w:rPr>
          <w:sz w:val="20"/>
          <w:szCs w:val="20"/>
          <w:color w:val="auto"/>
        </w:rPr>
      </w:pPr>
    </w:p>
    <w:p>
      <w:pPr>
        <w:ind w:left="920" w:hanging="296"/>
        <w:spacing w:after="0"/>
        <w:tabs>
          <w:tab w:leader="none" w:pos="92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3,883 customers contributing more than $100,000 in trailing 12 months revenue, up approximately 8.5% from the same quarter last fiscal year.</w:t>
      </w:r>
    </w:p>
    <w:p>
      <w:pPr>
        <w:spacing w:after="0" w:line="104" w:lineRule="exact"/>
        <w:rPr>
          <w:rFonts w:ascii="Times New Roman" w:cs="Times New Roman" w:eastAsia="Times New Roman" w:hAnsi="Times New Roman"/>
          <w:sz w:val="19"/>
          <w:szCs w:val="19"/>
          <w:b w:val="1"/>
          <w:bCs w:val="1"/>
          <w:color w:val="auto"/>
        </w:rPr>
      </w:pPr>
    </w:p>
    <w:p>
      <w:pPr>
        <w:ind w:left="940" w:right="380" w:hanging="316"/>
        <w:spacing w:after="0" w:line="288"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191,000 Enterprise customers. During the first quarter of fiscal year 2025, in order to enhance customer experience and improve efficiency, we transitioned approximately 26,800 Enterprise customers with</w:t>
      </w:r>
    </w:p>
    <w:p>
      <w:pPr>
        <w:sectPr>
          <w:pgSz w:w="11900" w:h="16838" w:orient="portrait"/>
          <w:cols w:equalWidth="0" w:num="1">
            <w:col w:w="11240"/>
          </w:cols>
          <w:pgMar w:left="320" w:top="1092" w:right="339" w:bottom="1440" w:gutter="0" w:footer="0" w:header="0"/>
        </w:sectPr>
      </w:pPr>
    </w:p>
    <w:bookmarkStart w:id="4" w:name="page5"/>
    <w:bookmarkEnd w:id="4"/>
    <w:p>
      <w:pPr>
        <w:ind w:left="940" w:right="200"/>
        <w:spacing w:after="0" w:line="270" w:lineRule="auto"/>
        <w:rPr>
          <w:sz w:val="20"/>
          <w:szCs w:val="20"/>
          <w:color w:val="auto"/>
        </w:rPr>
      </w:pPr>
      <w:r>
        <w:rPr>
          <w:rFonts w:ascii="Times New Roman" w:cs="Times New Roman" w:eastAsia="Times New Roman" w:hAnsi="Times New Roman"/>
          <w:sz w:val="17"/>
          <w:szCs w:val="17"/>
          <w:color w:val="auto"/>
        </w:rPr>
        <w:t>lower MRR away from working with direct sales teams, resellers, or strategic partners. These customers are now considered Online customers and are no longer included in our Enterprise customer total as of April 30, 2024. The impact of this transition did not have a material impact on the percent of revenue from Enterprise and Online customers, net dollar expansion rate, or Online average monthly churn.</w:t>
      </w:r>
    </w:p>
    <w:p>
      <w:pPr>
        <w:spacing w:after="0" w:line="64" w:lineRule="exact"/>
        <w:rPr>
          <w:sz w:val="20"/>
          <w:szCs w:val="20"/>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99%.</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3.2% for the first quarter, up 10 bps from the same quarter last fiscal year.</w:t>
      </w:r>
    </w:p>
    <w:p>
      <w:pPr>
        <w:spacing w:after="0" w:line="114" w:lineRule="exact"/>
        <w:rPr>
          <w:rFonts w:ascii="Times New Roman" w:cs="Times New Roman" w:eastAsia="Times New Roman" w:hAnsi="Times New Roman"/>
          <w:sz w:val="17"/>
          <w:szCs w:val="17"/>
          <w:color w:val="auto"/>
        </w:rPr>
      </w:pPr>
    </w:p>
    <w:p>
      <w:pPr>
        <w:ind w:left="940" w:right="120" w:hanging="316"/>
        <w:spacing w:after="0" w:line="288"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total Online MRR from Online customers with a continual term of service of at least 16 months was 73.8%, up 180 bps year over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second quarter of fiscal year 2025 and its full fiscal year 2025.</w:t>
      </w:r>
    </w:p>
    <w:p>
      <w:pPr>
        <w:spacing w:after="0" w:line="119" w:lineRule="exact"/>
        <w:rPr>
          <w:sz w:val="20"/>
          <w:szCs w:val="20"/>
          <w:color w:val="auto"/>
        </w:rPr>
      </w:pPr>
    </w:p>
    <w:p>
      <w:pPr>
        <w:ind w:left="940" w:right="100" w:hanging="316"/>
        <w:spacing w:after="0" w:line="270"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Second Quarter Fiscal Year 2025: Total revenue is expected to be between $1.145 billion and $1.150 billion and revenue in constant currency is expected to be between $1.147 billion and $1.152 billion. Non-GAAP income from operations is expected to be between $415.0 million and $420.0 million. Non-GAAP diluted EPS is expected to be between $1.20 and $1.21 with approximately 316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jc w:val="both"/>
        <w:ind w:left="940" w:right="120" w:hanging="316"/>
        <w:spacing w:after="0" w:line="265"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2025: Total revenue is expected to be between $4.610 billion and $4.620 billion and revenue in constant currency is expected to be between $4.616 billion and $4.626 billion. Full fiscal year non-GAAP income from operations is expected to be between $1.740 billion and $1.750 billion. Full fiscal year non-GAAP diluted EPS is expected to be between $4.99 and $5.02 with approximately 319 million weighted average shares outstanding.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the impact from $1.350 billion of authorized share repurchase remaining as of April 30, 2024.</w:t>
      </w:r>
    </w:p>
    <w:p>
      <w:pPr>
        <w:spacing w:after="0" w:line="21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06"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May 20, 2024 at 2:00 p.m. Pacific Time / 5:00 p.m. Eastern Time to discuss the company’s financial results, business highlights and financial outlook. Investors are invited to join the Zoom Video Webinar by visiting: https://investors.zoom.us/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Zoom’s mission is to provide one platform that delivers limitless human connection. Zoom Workplace — our AI-powered, open collaboration platform built for modern work — streamlines communications, improves productivity, increases employee engagement, optimizes in-person time, and offers customer choice with third-party apps and integrations. Zoom Workplace, powered by Zoom AI Companion, includes collaboration solutions like meetings, team chat, phone, scheduler, whiteboard, spaces, Workvivo, and more. Together with Zoom Workplace, Zoom’s Business Services for sales, marketing, and customer care teams, including Zoom Contact Center, strengthen customer relationships throughout the customer lifecycle. Founded in 2011, Zoom is publicly traded (NASDAQ:ZM) and headquartered in San Jose, California. Get more info at zoom.com.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second quarter of fiscal year 2025 and full fiscal year 2025, Zoom’s market position, opportunities, and growth strategy, product initiatives, including the continued incorporation of AI across Zoom’s collaboration platform, including Zoom Contact Center and Zoom Workplace,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w:t>
      </w:r>
    </w:p>
    <w:p>
      <w:pPr>
        <w:sectPr>
          <w:pgSz w:w="11900" w:h="16838" w:orient="portrait"/>
          <w:cols w:equalWidth="0" w:num="1">
            <w:col w:w="11240"/>
          </w:cols>
          <w:pgMar w:left="320" w:top="963" w:right="3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7"/>
          <w:szCs w:val="17"/>
          <w:color w:val="auto"/>
        </w:rPr>
        <w:t>“explore,”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inflation and market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annual report on Form 10-K for the fiscal year ended January 31, 2024.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w:t>
      </w:r>
    </w:p>
    <w:p>
      <w:pPr>
        <w:spacing w:after="0" w:line="78"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and non-GAAP net income per share, basic and diluted, as GAAP net income and GAAP net income per share, basic and diluted, respectively, adjusted to exclude stock-based compensation expense and related payroll taxes, acquisition-related expenses, restructuring expenses, gains/losses on strategic investments, net, litigation settlements, net, and the tax effects of all non-GAAP adjustments. Zoom excludes these items because they are considered by management to be outside of Zoom’s core operating results.</w:t>
      </w:r>
    </w:p>
    <w:p>
      <w:pPr>
        <w:spacing w:after="0" w:line="3"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7"/>
          <w:szCs w:val="17"/>
          <w:color w:val="auto"/>
        </w:rPr>
        <w:t>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w:t>
      </w:r>
    </w:p>
    <w:p>
      <w:pPr>
        <w:spacing w:after="0" w:line="65"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w:t>
      </w:r>
    </w:p>
    <w:p>
      <w:pPr>
        <w:sectPr>
          <w:pgSz w:w="11900" w:h="16838" w:orient="portrait"/>
          <w:cols w:equalWidth="0" w:num="1">
            <w:col w:w="11240"/>
          </w:cols>
          <w:pgMar w:left="320" w:top="963" w:right="339" w:bottom="1440" w:gutter="0" w:footer="0" w:header="0"/>
        </w:sectPr>
      </w:pPr>
    </w:p>
    <w:bookmarkStart w:id="6" w:name="page7"/>
    <w:bookmarkEnd w:id="6"/>
    <w:p>
      <w:pPr>
        <w:ind w:right="60"/>
        <w:spacing w:after="0" w:line="288" w:lineRule="auto"/>
        <w:rPr>
          <w:sz w:val="20"/>
          <w:szCs w:val="20"/>
          <w:color w:val="auto"/>
        </w:rPr>
      </w:pPr>
      <w:r>
        <w:rPr>
          <w:rFonts w:ascii="Times New Roman" w:cs="Times New Roman" w:eastAsia="Times New Roman" w:hAnsi="Times New Roman"/>
          <w:sz w:val="17"/>
          <w:szCs w:val="17"/>
          <w:color w:val="auto"/>
        </w:rPr>
        <w:t>information to management and investors regarding net cash provided by operating activities and cash used for investments in property and equipment required to maintain and grow the business.</w:t>
      </w:r>
    </w:p>
    <w:p>
      <w:pPr>
        <w:spacing w:after="0" w:line="4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Eveslage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1,558,252</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5,488,737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5,404,233</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527,515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536,078</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208,474</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219,182</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8,282,045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7,926,219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138,724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293,704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424,923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409,222</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673,808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662,177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133,477</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10,296,630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9,929,793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501,799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500,164</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1,335,787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1,251,848</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1,762,187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48,308</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81,378</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1,997,806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1,910,387</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5,310,417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5,228,756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r>
      <w:tr>
        <w:trPr>
          <w:trHeight w:val="220"/>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3,005,588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2,789,280</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8,298,824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8,019,406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10,296,630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9,929,793</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$137.7 million and $124.8 million as of April 30, 2024 and January 31, 2024, respectively.</w:t>
      </w:r>
    </w:p>
    <w:p>
      <w:pPr>
        <w:sectPr>
          <w:pgSz w:w="11900" w:h="16838" w:orient="portrait"/>
          <w:cols w:equalWidth="0" w:num="1">
            <w:col w:w="11240"/>
          </w:cols>
          <w:pgMar w:left="320" w:top="856"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1,105,364</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263,947</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867,932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841,417</w:t>
            </w:r>
          </w:p>
        </w:tc>
      </w:tr>
      <w:tr>
        <w:trPr>
          <w:trHeight w:val="20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209,271</w:t>
            </w:r>
          </w:p>
        </w:tc>
      </w:tr>
      <w:tr>
        <w:trPr>
          <w:trHeight w:val="220"/>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422,504</w:t>
            </w:r>
          </w:p>
        </w:tc>
      </w:tr>
      <w:tr>
        <w:trPr>
          <w:trHeight w:val="220"/>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199,900</w:t>
            </w:r>
          </w:p>
        </w:tc>
      </w:tr>
      <w:tr>
        <w:trPr>
          <w:trHeight w:val="21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664,910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831,675</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9,742</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31,213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43,230</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27,786</w:t>
            </w:r>
          </w:p>
        </w:tc>
      </w:tr>
      <w:tr>
        <w:trPr>
          <w:trHeight w:val="187"/>
        </w:trPr>
        <w:tc>
          <w:tcPr>
            <w:tcW w:w="824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216,308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15,444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8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2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0.69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0.05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5"/>
        </w:trPr>
        <w:tc>
          <w:tcPr>
            <w:tcW w:w="82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308,700,582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295,409,207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315,360,678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304,115,913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856"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8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216,308</w:t>
            </w:r>
          </w:p>
        </w:tc>
        <w:tc>
          <w:tcPr>
            <w:tcW w:w="1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15,444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282,345</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73,230</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24,076</w:t>
            </w:r>
          </w:p>
        </w:tc>
      </w:tr>
      <w:tr>
        <w:trPr>
          <w:trHeight w:val="21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21,511</w:t>
            </w: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on strategic investments, net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15,433</w:t>
            </w: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losses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3,316</w:t>
            </w:r>
          </w:p>
        </w:tc>
      </w:tr>
      <w:tr>
        <w:trPr>
          <w:trHeight w:val="21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5,381</w:t>
            </w:r>
          </w:p>
        </w:tc>
      </w:tr>
      <w:tr>
        <w:trPr>
          <w:trHeight w:val="20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(29,101)</w:t>
            </w:r>
          </w:p>
        </w:tc>
      </w:tr>
      <w:tr>
        <w:trPr>
          <w:trHeight w:val="204"/>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(6,659)</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(46,338)</w:t>
            </w:r>
          </w:p>
        </w:tc>
      </w:tr>
      <w:tr>
        <w:trPr>
          <w:trHeight w:val="204"/>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1,881</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24,640</w:t>
            </w:r>
          </w:p>
        </w:tc>
      </w:tr>
      <w:tr>
        <w:trPr>
          <w:trHeight w:val="204"/>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53,340</w:t>
            </w:r>
          </w:p>
        </w:tc>
      </w:tr>
      <w:tr>
        <w:trPr>
          <w:trHeight w:val="21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r>
      <w:tr>
        <w:trPr>
          <w:trHeight w:val="197"/>
        </w:trPr>
        <w:tc>
          <w:tcPr>
            <w:tcW w:w="81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418,487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(867,911)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(768,230)</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559,686</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(21,826)</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(51,000)</w:t>
            </w: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strategic investments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for acquisition, net of cash acquired</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(199,416)</w:t>
            </w:r>
          </w:p>
        </w:tc>
      </w:tr>
      <w:tr>
        <w:trPr>
          <w:trHeight w:val="197"/>
        </w:trPr>
        <w:tc>
          <w:tcPr>
            <w:tcW w:w="81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(107,824)</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(480,786)</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4,268</w:t>
            </w:r>
          </w:p>
        </w:tc>
      </w:tr>
      <w:tr>
        <w:trPr>
          <w:trHeight w:val="21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employee equity transactions to be remitted to employees and tax authorities, net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2,751</w:t>
            </w:r>
          </w:p>
        </w:tc>
      </w:tr>
      <w:tr>
        <w:trPr>
          <w:trHeight w:val="204"/>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(150,048)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(142,451)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7,019</w:t>
            </w:r>
          </w:p>
        </w:tc>
      </w:tr>
      <w:tr>
        <w:trPr>
          <w:trHeight w:val="19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w:t>
            </w: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331,064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(57,833)</w:t>
            </w:r>
          </w:p>
        </w:tc>
      </w:tr>
      <w:tr>
        <w:trPr>
          <w:trHeight w:val="20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1,565,380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1,100,243</w:t>
            </w: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1,896,444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1,042,410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61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203,022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9,742</w:t>
            </w:r>
          </w:p>
        </w:tc>
        <w:tc>
          <w:tcPr>
            <w:tcW w:w="0" w:type="dxa"/>
            <w:vAlign w:val="bottom"/>
          </w:tcPr>
          <w:p>
            <w:pPr>
              <w:spacing w:after="0"/>
              <w:rPr>
                <w:sz w:val="1"/>
                <w:szCs w:val="1"/>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242,874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278,048</w:t>
            </w:r>
          </w:p>
        </w:tc>
        <w:tc>
          <w:tcPr>
            <w:tcW w:w="0" w:type="dxa"/>
            <w:vAlign w:val="bottom"/>
          </w:tcPr>
          <w:p>
            <w:pPr>
              <w:spacing w:after="0"/>
              <w:rPr>
                <w:sz w:val="1"/>
                <w:szCs w:val="1"/>
                <w:color w:val="auto"/>
              </w:rPr>
            </w:pPr>
          </w:p>
        </w:tc>
      </w:tr>
      <w:tr>
        <w:trPr>
          <w:trHeight w:val="220"/>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52,500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8,851</w:t>
            </w:r>
          </w:p>
        </w:tc>
        <w:tc>
          <w:tcPr>
            <w:tcW w:w="0" w:type="dxa"/>
            <w:vAlign w:val="bottom"/>
          </w:tcPr>
          <w:p>
            <w:pPr>
              <w:spacing w:after="0"/>
              <w:rPr>
                <w:sz w:val="1"/>
                <w:szCs w:val="1"/>
                <w:color w:val="auto"/>
              </w:rPr>
            </w:pPr>
          </w:p>
        </w:tc>
      </w:tr>
      <w:tr>
        <w:trPr>
          <w:trHeight w:val="220"/>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 expenses</w:t>
            </w:r>
          </w:p>
        </w:tc>
        <w:tc>
          <w:tcPr>
            <w:tcW w:w="2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73,180</w:t>
            </w:r>
          </w:p>
        </w:tc>
        <w:tc>
          <w:tcPr>
            <w:tcW w:w="0" w:type="dxa"/>
            <w:vAlign w:val="bottom"/>
          </w:tcPr>
          <w:p>
            <w:pPr>
              <w:spacing w:after="0"/>
              <w:rPr>
                <w:sz w:val="1"/>
                <w:szCs w:val="1"/>
                <w:color w:val="auto"/>
              </w:rPr>
            </w:pPr>
          </w:p>
        </w:tc>
      </w:tr>
      <w:tr>
        <w:trPr>
          <w:trHeight w:val="23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456,597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422,321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17.8 %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38.2 %</w:t>
            </w:r>
          </w:p>
        </w:tc>
        <w:tc>
          <w:tcPr>
            <w:tcW w:w="0" w:type="dxa"/>
            <w:vAlign w:val="bottom"/>
          </w:tcPr>
          <w:p>
            <w:pPr>
              <w:spacing w:after="0"/>
              <w:rPr>
                <w:sz w:val="1"/>
                <w:szCs w:val="1"/>
                <w:color w:val="auto"/>
              </w:rPr>
            </w:pPr>
          </w:p>
        </w:tc>
      </w:tr>
      <w:tr>
        <w:trPr>
          <w:trHeight w:val="258"/>
        </w:trPr>
        <w:tc>
          <w:tcPr>
            <w:tcW w:w="8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216,308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15,444</w:t>
            </w:r>
          </w:p>
        </w:tc>
        <w:tc>
          <w:tcPr>
            <w:tcW w:w="0" w:type="dxa"/>
            <w:vAlign w:val="bottom"/>
          </w:tcPr>
          <w:p>
            <w:pPr>
              <w:spacing w:after="0"/>
              <w:rPr>
                <w:sz w:val="1"/>
                <w:szCs w:val="1"/>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242,874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278,048</w:t>
            </w:r>
          </w:p>
        </w:tc>
        <w:tc>
          <w:tcPr>
            <w:tcW w:w="0" w:type="dxa"/>
            <w:vAlign w:val="bottom"/>
          </w:tcPr>
          <w:p>
            <w:pPr>
              <w:spacing w:after="0"/>
              <w:rPr>
                <w:sz w:val="1"/>
                <w:szCs w:val="1"/>
                <w:color w:val="auto"/>
              </w:rPr>
            </w:pPr>
          </w:p>
        </w:tc>
      </w:tr>
      <w:tr>
        <w:trPr>
          <w:trHeight w:val="220"/>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52,500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(2,275)</w:t>
            </w:r>
          </w:p>
        </w:tc>
        <w:tc>
          <w:tcPr>
            <w:tcW w:w="0" w:type="dxa"/>
            <w:vAlign w:val="bottom"/>
          </w:tcPr>
          <w:p>
            <w:pPr>
              <w:spacing w:after="0"/>
              <w:rPr>
                <w:sz w:val="1"/>
                <w:szCs w:val="1"/>
                <w:color w:val="auto"/>
              </w:rPr>
            </w:pPr>
          </w:p>
        </w:tc>
      </w:tr>
      <w:tr>
        <w:trPr>
          <w:trHeight w:val="220"/>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8,851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expenses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73,180</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(26,211)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(72,497)</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426,318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353,251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GAAP net income per share - diluted</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rPr>
              <w:t>0.69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and non-GAAP weighted-average shares used to compute net income per share - basic</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308,700,582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295,409,207</w:t>
            </w:r>
          </w:p>
        </w:tc>
        <w:tc>
          <w:tcPr>
            <w:tcW w:w="0" w:type="dxa"/>
            <w:vAlign w:val="bottom"/>
          </w:tcPr>
          <w:p>
            <w:pPr>
              <w:spacing w:after="0"/>
              <w:rPr>
                <w:sz w:val="1"/>
                <w:szCs w:val="1"/>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and non-GAAP weighted-average shares used to compute net income per share - diluted</w:t>
            </w:r>
          </w:p>
        </w:tc>
        <w:tc>
          <w:tcPr>
            <w:tcW w:w="2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315,360,678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304,115,913</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588,191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418,487</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(18,508)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(21,826)</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569,683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396,661</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(107,824)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(480,786)</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(142,451)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7,019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0" w:type="dxa"/>
            <w:vAlign w:val="bottom"/>
          </w:tcPr>
          <w:p>
            <w:pPr>
              <w:spacing w:after="0"/>
              <w:rPr>
                <w:sz w:val="1"/>
                <w:szCs w:val="1"/>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85" w:right="3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29"/>
        </w:trPr>
        <w:tc>
          <w:tcPr>
            <w:tcW w:w="8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YoY Revenue Growth</w:t>
            </w:r>
          </w:p>
        </w:tc>
        <w:tc>
          <w:tcPr>
            <w:tcW w:w="0" w:type="dxa"/>
            <w:vAlign w:val="bottom"/>
          </w:tcPr>
          <w:p>
            <w:pPr>
              <w:spacing w:after="0"/>
              <w:rPr>
                <w:sz w:val="1"/>
                <w:szCs w:val="1"/>
                <w:color w:val="auto"/>
              </w:rPr>
            </w:pPr>
          </w:p>
        </w:tc>
      </w:tr>
      <w:tr>
        <w:trPr>
          <w:trHeight w:val="188"/>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1,141,234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20"/>
        </w:trPr>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238"/>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1,143,580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0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2024-05-20T15:15:01Z</dcterms:created>
  <dcterms:modified xsi:type="dcterms:W3CDTF">2024-05-20T15:15:01Z</dcterms:modified>
</cp:coreProperties>
</file>