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Azus Ryan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40"/>
        <w:spacing w:after="0" w:line="37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8"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214"/>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12/10/2020</w:t>
            </w: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208915</wp:posOffset>
            </wp:positionV>
            <wp:extent cx="6967855" cy="130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303655"/>
                    </a:xfrm>
                    <a:prstGeom prst="rect">
                      <a:avLst/>
                    </a:prstGeom>
                    <a:noFill/>
                  </pic:spPr>
                </pic:pic>
              </a:graphicData>
            </a:graphic>
          </wp:anchor>
        </w:drawing>
      </w:r>
    </w:p>
    <w:p>
      <w:pPr>
        <w:spacing w:after="0" w:line="389"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5"/>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2"/>
          </w:tcPr>
          <w:p>
            <w:pPr>
              <w:ind w:left="820"/>
              <w:spacing w:after="0"/>
              <w:rPr>
                <w:sz w:val="20"/>
                <w:szCs w:val="20"/>
                <w:color w:val="auto"/>
              </w:rPr>
            </w:pPr>
            <w:r>
              <w:rPr>
                <w:rFonts w:ascii="Arial" w:cs="Arial" w:eastAsia="Arial" w:hAnsi="Arial"/>
                <w:sz w:val="17"/>
                <w:szCs w:val="17"/>
                <w:color w:val="0000FF"/>
              </w:rPr>
              <w:t>12/10/2020</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19"/>
              <w:spacing w:after="0"/>
              <w:rPr>
                <w:sz w:val="20"/>
                <w:szCs w:val="20"/>
                <w:color w:val="auto"/>
              </w:rPr>
            </w:pPr>
            <w:r>
              <w:rPr>
                <w:rFonts w:ascii="Arial" w:cs="Arial" w:eastAsia="Arial" w:hAnsi="Arial"/>
                <w:sz w:val="13"/>
                <w:szCs w:val="13"/>
                <w:color w:val="0000FF"/>
                <w:w w:val="91"/>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21,875</w:t>
            </w:r>
          </w:p>
        </w:tc>
        <w:tc>
          <w:tcPr>
            <w:tcW w:w="40" w:type="dxa"/>
            <w:vAlign w:val="bottom"/>
          </w:tcPr>
          <w:p>
            <w:pPr>
              <w:spacing w:after="0"/>
              <w:rPr>
                <w:sz w:val="22"/>
                <w:szCs w:val="22"/>
                <w:color w:val="auto"/>
              </w:rPr>
            </w:pPr>
          </w:p>
        </w:tc>
        <w:tc>
          <w:tcPr>
            <w:tcW w:w="600" w:type="dxa"/>
            <w:vAlign w:val="bottom"/>
          </w:tcPr>
          <w:p>
            <w:pPr>
              <w:jc w:val="right"/>
              <w:ind w:right="111"/>
              <w:spacing w:after="0"/>
              <w:rPr>
                <w:sz w:val="20"/>
                <w:szCs w:val="20"/>
                <w:color w:val="auto"/>
              </w:rPr>
            </w:pPr>
            <w:r>
              <w:rPr>
                <w:rFonts w:ascii="Arial" w:cs="Arial" w:eastAsia="Arial" w:hAnsi="Arial"/>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0000FF"/>
              </w:rPr>
              <w:t>65,974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12/10/2020</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13"/>
                <w:szCs w:val="13"/>
                <w:color w:val="0000FF"/>
                <w:w w:val="74"/>
              </w:rPr>
              <w:t>F</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10,572</w:t>
            </w:r>
            <w:r>
              <w:rPr>
                <w:rFonts w:ascii="Arial" w:cs="Arial" w:eastAsia="Arial" w:hAnsi="Arial"/>
                <w:sz w:val="21"/>
                <w:szCs w:val="21"/>
                <w:color w:val="008000"/>
                <w:vertAlign w:val="superscript"/>
              </w:rPr>
              <w:t>(1)</w:t>
            </w:r>
          </w:p>
        </w:tc>
        <w:tc>
          <w:tcPr>
            <w:tcW w:w="600" w:type="dxa"/>
            <w:vAlign w:val="bottom"/>
            <w:tcBorders>
              <w:bottom w:val="single" w:sz="8" w:color="2C2C2C"/>
            </w:tcBorders>
          </w:tcPr>
          <w:p>
            <w:pPr>
              <w:jc w:val="right"/>
              <w:ind w:right="11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395.35</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55,402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21,875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12/10/2020</w:t>
            </w:r>
          </w:p>
        </w:tc>
        <w:tc>
          <w:tcPr>
            <w:tcW w:w="114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Arial" w:cs="Arial" w:eastAsia="Arial" w:hAnsi="Arial"/>
                <w:sz w:val="13"/>
                <w:szCs w:val="13"/>
                <w:color w:val="0000FF"/>
              </w:rPr>
              <w:t>21,875</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ind w:left="200"/>
              <w:spacing w:after="0" w:line="142" w:lineRule="exact"/>
              <w:rPr>
                <w:sz w:val="20"/>
                <w:szCs w:val="20"/>
                <w:color w:val="auto"/>
              </w:rPr>
            </w:pPr>
            <w:r>
              <w:rPr>
                <w:rFonts w:ascii="Arial" w:cs="Arial" w:eastAsia="Arial" w:hAnsi="Arial"/>
                <w:sz w:val="13"/>
                <w:szCs w:val="13"/>
                <w:color w:val="0000FF"/>
              </w:rPr>
              <w:t>240,625</w:t>
            </w: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right"/>
              <w:ind w:right="151"/>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-1966595</wp:posOffset>
            </wp:positionV>
            <wp:extent cx="7033895" cy="2008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0850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ind w:left="40" w:right="72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September 10, 2020 and the remaining units will vest in equal quarterly installments thereafter, subject to theReporting Person's Continuous Service (as defined in the Issuer's 2019 Equity Incentive Plan) on each such vesting date. The restricted stock units are subject to accelerated vesting in the event of a termination ofemployment of the Reporting Person under certain circumstances in connection with a change in control of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12/14/2020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87064"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2020-12-14T17:46:25Z</dcterms:created>
  <dcterms:modified xsi:type="dcterms:W3CDTF">2020-12-14T17:46:25Z</dcterms:modified>
</cp:coreProperties>
</file>