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Bawa Aparna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Chief Legal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01/16/2020</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vMerge w:val="restart"/>
          </w:tcPr>
          <w:p>
            <w:pPr>
              <w:ind w:left="780"/>
              <w:spacing w:after="0"/>
              <w:rPr>
                <w:sz w:val="20"/>
                <w:szCs w:val="20"/>
                <w:color w:val="auto"/>
              </w:rPr>
            </w:pPr>
            <w:r>
              <w:rPr>
                <w:rFonts w:ascii="Arial" w:cs="Arial" w:eastAsia="Arial" w:hAnsi="Arial"/>
                <w:sz w:val="18"/>
                <w:szCs w:val="18"/>
                <w:color w:val="0000FF"/>
              </w:rPr>
              <w:t>01/16/2020</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ind w:left="280"/>
              <w:spacing w:after="0"/>
              <w:rPr>
                <w:sz w:val="20"/>
                <w:szCs w:val="20"/>
                <w:color w:val="auto"/>
              </w:rPr>
            </w:pPr>
            <w:r>
              <w:rPr>
                <w:rFonts w:ascii="Arial" w:cs="Arial" w:eastAsia="Arial" w:hAnsi="Arial"/>
                <w:sz w:val="18"/>
                <w:szCs w:val="18"/>
                <w:color w:val="0000FF"/>
                <w:w w:val="93"/>
              </w:rPr>
              <w:t>7,500</w:t>
            </w:r>
          </w:p>
        </w:tc>
        <w:tc>
          <w:tcPr>
            <w:tcW w:w="500" w:type="dxa"/>
            <w:vAlign w:val="bottom"/>
            <w:vMerge w:val="restart"/>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2"/>
                <w:szCs w:val="2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78</w:t>
            </w:r>
          </w:p>
        </w:tc>
        <w:tc>
          <w:tcPr>
            <w:tcW w:w="1420" w:type="dxa"/>
            <w:vAlign w:val="bottom"/>
            <w:gridSpan w:val="3"/>
            <w:vMerge w:val="restart"/>
          </w:tcPr>
          <w:p>
            <w:pPr>
              <w:ind w:left="360"/>
              <w:spacing w:after="0"/>
              <w:rPr>
                <w:sz w:val="20"/>
                <w:szCs w:val="20"/>
                <w:color w:val="auto"/>
              </w:rPr>
            </w:pPr>
            <w:r>
              <w:rPr>
                <w:rFonts w:ascii="Arial" w:cs="Arial" w:eastAsia="Arial" w:hAnsi="Arial"/>
                <w:sz w:val="18"/>
                <w:szCs w:val="18"/>
                <w:color w:val="0000FF"/>
              </w:rPr>
              <w:t>293,194</w:t>
            </w:r>
            <w:r>
              <w:rPr>
                <w:rFonts w:ascii="Arial" w:cs="Arial" w:eastAsia="Arial" w:hAnsi="Arial"/>
                <w:sz w:val="22"/>
                <w:szCs w:val="22"/>
                <w:color w:val="008000"/>
                <w:vertAlign w:val="superscript"/>
              </w:rPr>
              <w:t>(2)(3)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an option that was early exercised by the Reporting Person, and 240,000 shares are subject to the Issuer's right to repurchase as of the date hereof.</w:t>
      </w:r>
    </w:p>
    <w:p>
      <w:pPr>
        <w:spacing w:after="0" w:line="64" w:lineRule="exact"/>
        <w:rPr>
          <w:rFonts w:ascii="Arial" w:cs="Arial" w:eastAsia="Arial" w:hAnsi="Arial"/>
          <w:sz w:val="12"/>
          <w:szCs w:val="12"/>
          <w:color w:val="008000"/>
        </w:rPr>
      </w:pPr>
    </w:p>
    <w:p>
      <w:pPr>
        <w:ind w:left="40" w:right="3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694 shares of Class A Common Stock purchased pursuant to the Zoom Video Communications, Inc. 2019 Employee Stock Purchase Plan ("ESPP"), for the purchase period of April 17, 2019 to December 12, 2019. In accordance with the ESPP, these shares were purchased at a price equal to 85% of the closing price of Issuer's Class A Common Stock on December 12, 2019.</w:t>
      </w: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7"/>
              </w:rPr>
              <w:t>/s/ Aparna Bawa</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01/21/2020</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2020-01-21T17:46:14Z</dcterms:created>
  <dcterms:modified xsi:type="dcterms:W3CDTF">2020-01-21T17:46:14Z</dcterms:modified>
</cp:coreProperties>
</file>