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-238125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-596265</wp:posOffset>
            </wp:positionV>
            <wp:extent cx="8255" cy="596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-604520</wp:posOffset>
            </wp:positionV>
            <wp:extent cx="825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1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-580390</wp:posOffset>
            </wp:positionV>
            <wp:extent cx="1266825" cy="55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5568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70395" cy="1718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8310"/>
                    </a:xfrm>
                    <a:prstGeom prst="rect">
                      <a:avLst/>
                    </a:prstGeom>
                    <a:noFill/>
                  </pic:spPr>
                </pic:pic>
              </a:graphicData>
            </a:graphic>
          </wp:anchor>
        </w:drawing>
      </w:r>
    </w:p>
    <w:p>
      <w:pPr>
        <w:spacing w:after="0" w:line="95" w:lineRule="exact"/>
        <w:rPr>
          <w:sz w:val="24"/>
          <w:szCs w:val="24"/>
          <w:color w:val="auto"/>
        </w:rPr>
      </w:pPr>
    </w:p>
    <w:p>
      <w:pPr>
        <w:sectPr>
          <w:pgSz w:w="11900" w:h="16841" w:orient="portrait"/>
          <w:cols w:equalWidth="0" w:num="2">
            <w:col w:w="2220" w:space="380"/>
            <w:col w:w="848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Chadwick Jonathan</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300"/>
        <w:spacing w:after="0" w:line="412" w:lineRule="auto"/>
        <w:rPr>
          <w:sz w:val="20"/>
          <w:szCs w:val="20"/>
          <w:color w:val="auto"/>
        </w:rPr>
      </w:pPr>
      <w:r>
        <w:rPr>
          <w:rFonts w:ascii="Times New Roman" w:cs="Times New Roman" w:eastAsia="Times New Roman" w:hAnsi="Times New Roman"/>
          <w:sz w:val="15"/>
          <w:szCs w:val="15"/>
          <w:color w:val="0000FF"/>
        </w:rPr>
        <w:t>C/O ZOOM VIDEO COMMUNICATIONS, INC. 55 ALMADEN BOULEVARD, 6TH FLOOR</w:t>
      </w:r>
    </w:p>
    <w:p>
      <w:pPr>
        <w:spacing w:after="0" w:line="128"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03/16/2020</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252095</wp:posOffset>
            </wp:positionV>
            <wp:extent cx="6970395" cy="379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3799840"/>
                    </a:xfrm>
                    <a:prstGeom prst="rect">
                      <a:avLst/>
                    </a:prstGeom>
                    <a:noFill/>
                  </pic:spPr>
                </pic:pic>
              </a:graphicData>
            </a:graphic>
          </wp:anchor>
        </w:drawing>
      </w:r>
    </w:p>
    <w:p>
      <w:pPr>
        <w:spacing w:after="0" w:line="454" w:lineRule="exact"/>
        <w:rPr>
          <w:sz w:val="24"/>
          <w:szCs w:val="24"/>
          <w:color w:val="auto"/>
        </w:rPr>
      </w:pPr>
    </w:p>
    <w:p>
      <w:pPr>
        <w:sectPr>
          <w:pgSz w:w="11900" w:h="16841"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1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2"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0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Of (D) (Instr. 3, 4 and 5)</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5"/>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or</w:t>
            </w: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vMerge w:val="continue"/>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10,000</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Pr>
          <w:p>
            <w:pPr>
              <w:jc w:val="center"/>
              <w:ind w:left="23"/>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103.76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9,800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ind w:left="2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105.02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9,700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107.1625</w:t>
            </w:r>
            <w:r>
              <w:rPr>
                <w:rFonts w:ascii="Times New Roman" w:cs="Times New Roman" w:eastAsia="Times New Roman" w:hAnsi="Times New Roman"/>
                <w:sz w:val="21"/>
                <w:szCs w:val="21"/>
                <w:color w:val="008000"/>
                <w:w w:val="93"/>
                <w:vertAlign w:val="superscript"/>
              </w:rPr>
              <w:t>(2)</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8,900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1,179</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108.3745</w:t>
            </w:r>
            <w:r>
              <w:rPr>
                <w:rFonts w:ascii="Times New Roman" w:cs="Times New Roman" w:eastAsia="Times New Roman" w:hAnsi="Times New Roman"/>
                <w:sz w:val="21"/>
                <w:szCs w:val="21"/>
                <w:color w:val="008000"/>
                <w:w w:val="93"/>
                <w:vertAlign w:val="superscript"/>
              </w:rPr>
              <w:t>(3)</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7,721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983</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109.7855</w:t>
            </w:r>
            <w:r>
              <w:rPr>
                <w:rFonts w:ascii="Times New Roman" w:cs="Times New Roman" w:eastAsia="Times New Roman" w:hAnsi="Times New Roman"/>
                <w:sz w:val="21"/>
                <w:szCs w:val="21"/>
                <w:color w:val="008000"/>
                <w:w w:val="93"/>
                <w:vertAlign w:val="superscript"/>
              </w:rPr>
              <w:t>(4)</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6,738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111.0421</w:t>
            </w:r>
            <w:r>
              <w:rPr>
                <w:rFonts w:ascii="Times New Roman" w:cs="Times New Roman" w:eastAsia="Times New Roman" w:hAnsi="Times New Roman"/>
                <w:sz w:val="21"/>
                <w:szCs w:val="21"/>
                <w:color w:val="008000"/>
                <w:w w:val="91"/>
                <w:vertAlign w:val="superscript"/>
              </w:rPr>
              <w:t>(5)</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5,338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112.0186</w:t>
            </w:r>
            <w:r>
              <w:rPr>
                <w:rFonts w:ascii="Times New Roman" w:cs="Times New Roman" w:eastAsia="Times New Roman" w:hAnsi="Times New Roman"/>
                <w:sz w:val="21"/>
                <w:szCs w:val="21"/>
                <w:color w:val="008000"/>
                <w:w w:val="93"/>
                <w:vertAlign w:val="superscript"/>
              </w:rPr>
              <w:t>(6)</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3,138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112.8</w:t>
            </w:r>
            <w:r>
              <w:rPr>
                <w:rFonts w:ascii="Times New Roman" w:cs="Times New Roman" w:eastAsia="Times New Roman" w:hAnsi="Times New Roman"/>
                <w:sz w:val="21"/>
                <w:szCs w:val="21"/>
                <w:color w:val="008000"/>
                <w:w w:val="90"/>
                <w:vertAlign w:val="superscript"/>
              </w:rPr>
              <w:t>(7)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2,638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114.35</w:t>
            </w:r>
            <w:r>
              <w:rPr>
                <w:rFonts w:ascii="Times New Roman" w:cs="Times New Roman" w:eastAsia="Times New Roman" w:hAnsi="Times New Roman"/>
                <w:sz w:val="21"/>
                <w:szCs w:val="21"/>
                <w:color w:val="008000"/>
                <w:w w:val="90"/>
                <w:vertAlign w:val="superscript"/>
              </w:rPr>
              <w:t>(8)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2,338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115.183</w:t>
            </w:r>
            <w:r>
              <w:rPr>
                <w:rFonts w:ascii="Times New Roman" w:cs="Times New Roman" w:eastAsia="Times New Roman" w:hAnsi="Times New Roman"/>
                <w:sz w:val="21"/>
                <w:szCs w:val="21"/>
                <w:color w:val="008000"/>
                <w:w w:val="93"/>
                <w:vertAlign w:val="superscript"/>
              </w:rPr>
              <w:t>(9)</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1,338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438</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116.0741</w:t>
            </w:r>
            <w:r>
              <w:rPr>
                <w:rFonts w:ascii="Times New Roman" w:cs="Times New Roman" w:eastAsia="Times New Roman" w:hAnsi="Times New Roman"/>
                <w:sz w:val="21"/>
                <w:szCs w:val="21"/>
                <w:color w:val="008000"/>
                <w:w w:val="91"/>
                <w:vertAlign w:val="superscript"/>
              </w:rPr>
              <w:t>(10)</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117.548</w:t>
            </w:r>
            <w:r>
              <w:rPr>
                <w:rFonts w:ascii="Times New Roman" w:cs="Times New Roman" w:eastAsia="Times New Roman" w:hAnsi="Times New Roman"/>
                <w:sz w:val="21"/>
                <w:szCs w:val="21"/>
                <w:color w:val="008000"/>
                <w:w w:val="90"/>
                <w:vertAlign w:val="superscript"/>
              </w:rPr>
              <w:t>(11)</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05"/>
              <w:spacing w:after="0"/>
              <w:rPr>
                <w:sz w:val="20"/>
                <w:szCs w:val="20"/>
                <w:color w:val="auto"/>
              </w:rPr>
            </w:pPr>
            <w:r>
              <w:rPr>
                <w:rFonts w:ascii="Times New Roman" w:cs="Times New Roman" w:eastAsia="Times New Roman" w:hAnsi="Times New Roman"/>
                <w:sz w:val="17"/>
                <w:szCs w:val="17"/>
                <w:color w:val="0000FF"/>
                <w:w w:val="98"/>
              </w:rPr>
              <w:t>03/16/2020</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118.5475</w:t>
            </w:r>
            <w:r>
              <w:rPr>
                <w:rFonts w:ascii="Times New Roman" w:cs="Times New Roman" w:eastAsia="Times New Roman" w:hAnsi="Times New Roman"/>
                <w:sz w:val="21"/>
                <w:szCs w:val="21"/>
                <w:color w:val="008000"/>
                <w:w w:val="91"/>
                <w:vertAlign w:val="superscript"/>
              </w:rPr>
              <w:t>(12)</w:t>
            </w: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80"/>
              <w:spacing w:after="0"/>
              <w:rPr>
                <w:sz w:val="20"/>
                <w:szCs w:val="20"/>
                <w:color w:val="auto"/>
              </w:rPr>
            </w:pP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1"/>
          </w:tcPr>
          <w:p>
            <w:pPr>
              <w:jc w:val="center"/>
              <w:ind w:right="2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60" w:type="dxa"/>
            <w:vAlign w:val="bottom"/>
            <w:gridSpan w:val="9"/>
          </w:tcPr>
          <w:p>
            <w:pPr>
              <w:jc w:val="center"/>
              <w:ind w:left="40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vMerge w:val="restart"/>
          </w:tcPr>
          <w:p>
            <w:pPr>
              <w:jc w:val="center"/>
              <w:ind w:left="45"/>
              <w:spacing w:after="0"/>
              <w:rPr>
                <w:sz w:val="20"/>
                <w:szCs w:val="20"/>
                <w:color w:val="auto"/>
              </w:rPr>
            </w:pPr>
            <w:r>
              <w:rPr>
                <w:rFonts w:ascii="Times New Roman" w:cs="Times New Roman" w:eastAsia="Times New Roman" w:hAnsi="Times New Roman"/>
                <w:sz w:val="11"/>
                <w:szCs w:val="11"/>
                <w:color w:val="008000"/>
                <w:w w:val="87"/>
              </w:rPr>
              <w:t>(13)</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(13)</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6"/>
              </w:rPr>
              <w:t>10,000</w:t>
            </w:r>
            <w:r>
              <w:rPr>
                <w:rFonts w:ascii="Times New Roman" w:cs="Times New Roman" w:eastAsia="Times New Roman" w:hAnsi="Times New Roman"/>
                <w:sz w:val="21"/>
                <w:szCs w:val="21"/>
                <w:color w:val="008000"/>
                <w:w w:val="96"/>
                <w:vertAlign w:val="superscript"/>
              </w:rPr>
              <w:t>(14)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03/16/2020</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12"/>
                <w:szCs w:val="12"/>
                <w:color w:val="auto"/>
              </w:rPr>
            </w:pPr>
          </w:p>
        </w:tc>
        <w:tc>
          <w:tcPr>
            <w:tcW w:w="68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w w:val="94"/>
              </w:rPr>
              <w:t>10,000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8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60" w:type="dxa"/>
            <w:vAlign w:val="bottom"/>
            <w:gridSpan w:val="2"/>
          </w:tcPr>
          <w:p>
            <w:pPr>
              <w:ind w:left="300"/>
              <w:spacing w:after="0" w:line="140" w:lineRule="exact"/>
              <w:rPr>
                <w:sz w:val="20"/>
                <w:szCs w:val="20"/>
                <w:color w:val="auto"/>
              </w:rPr>
            </w:pPr>
            <w:r>
              <w:rPr>
                <w:rFonts w:ascii="Times New Roman" w:cs="Times New Roman" w:eastAsia="Times New Roman" w:hAnsi="Times New Roman"/>
                <w:sz w:val="13"/>
                <w:szCs w:val="13"/>
                <w:color w:val="0000FF"/>
              </w:rPr>
              <w:t>290,000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-1774190</wp:posOffset>
            </wp:positionV>
            <wp:extent cx="7034530" cy="1815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15465"/>
                    </a:xfrm>
                    <a:prstGeom prst="rect">
                      <a:avLst/>
                    </a:prstGeom>
                    <a:noFill/>
                  </pic:spPr>
                </pic:pic>
              </a:graphicData>
            </a:graphic>
          </wp:anchor>
        </w:drawing>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$106.65 to $107.49.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$107.79 to $108.76.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2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$109.47 to $110.36.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2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$110.58 to $111.52.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2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$111.63 to $112.49.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2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$112.63 to $113.13.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2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$113.83 to $114.77.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2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$114.85 to $115.78.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40" w:hanging="200"/>
        <w:spacing w:after="0"/>
        <w:tabs>
          <w:tab w:leader="none" w:pos="2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$115.90 to $116.17. The Reporting Person undertakes to provide the Issuer, any</w:t>
      </w:r>
    </w:p>
    <w:p>
      <w:pPr>
        <w:sectPr>
          <w:pgSz w:w="11900" w:h="16841"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color w:val="008000"/>
        </w:rPr>
        <w:t>security holder of the Issuer, or the staff at the Securities and Exchange Commission, upon request, the full information regarding the number of shares sold at each separate price within the ranges set forth above.</w:t>
      </w:r>
    </w:p>
    <w:p>
      <w:pPr>
        <w:spacing w:after="0" w:line="53" w:lineRule="exact"/>
        <w:rPr>
          <w:sz w:val="20"/>
          <w:szCs w:val="20"/>
          <w:color w:val="auto"/>
        </w:rPr>
      </w:pPr>
    </w:p>
    <w:p>
      <w:pPr>
        <w:spacing w:after="0" w:line="287" w:lineRule="auto"/>
        <w:tabs>
          <w:tab w:leader="none" w:pos="18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$117.07 to $117.92.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87" w:lineRule="auto"/>
        <w:tabs>
          <w:tab w:leader="none" w:pos="19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$118.10 to $119.07.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20"/>
        <w:spacing w:after="0" w:line="232"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150,000 shares are subject to the Issuer's right to repurchase as of the date hereof.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03/18/2020</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2020-03-19T15:49:19Z</dcterms:created>
  <dcterms:modified xsi:type="dcterms:W3CDTF">2020-03-19T15:49:19Z</dcterms:modified>
</cp:coreProperties>
</file>