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Chief Legal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02/04/2020</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02/04/2020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7,500</w:t>
            </w:r>
          </w:p>
        </w:tc>
        <w:tc>
          <w:tcPr>
            <w:tcW w:w="5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620" w:type="dxa"/>
            <w:vAlign w:val="bottom"/>
            <w:gridSpan w:val="3"/>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91.04</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285,694</w:t>
            </w:r>
            <w:r>
              <w:rPr>
                <w:rFonts w:ascii="Arial" w:cs="Arial" w:eastAsia="Arial" w:hAnsi="Arial"/>
                <w:sz w:val="22"/>
                <w:szCs w:val="22"/>
                <w:color w:val="008000"/>
                <w:vertAlign w:val="superscript"/>
              </w:rPr>
              <w:t>(2)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an option that was early exercised by the Reporting Person, and 232,500 shares are subject to the Issuer's right to repurchase as of the date hereof.</w:t>
      </w:r>
    </w:p>
    <w:p>
      <w:pPr>
        <w:spacing w:after="0" w:line="64"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7"/>
              </w:rPr>
              <w:t>/s/ Aparna Bawa</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02/06/2020</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2020-02-06T17:29:18Z</dcterms:created>
  <dcterms:modified xsi:type="dcterms:W3CDTF">2020-02-06T17:29:18Z</dcterms:modified>
</cp:coreProperties>
</file>