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15, 2019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VIA EDGAR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Division of Corporation Finance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100 F Street, N.E.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Washington, DC 20549</w:t>
      </w:r>
    </w:p>
    <w:p>
      <w:pPr>
        <w:sectPr>
          <w:pgSz w:w="12240" w:h="15840" w:orient="portrait"/>
          <w:cols w:equalWidth="0" w:num="1">
            <w:col w:w="11560"/>
          </w:cols>
          <w:pgMar w:left="300" w:top="99" w:right="38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Zoom Video Communications,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Registration Statement on Form S-1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File No. 333-230444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80" w:space="340"/>
            <w:col w:w="10940"/>
          </w:cols>
          <w:pgMar w:left="300" w:top="99" w:right="380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20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April 17, 2019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4:00 p.m., Eastern Standard Time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360" w:space="680"/>
            <w:col w:w="8520"/>
          </w:cols>
          <w:pgMar w:left="300" w:top="99" w:right="38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Ladies and Gentlemen: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460 under the Securities Act of 1933, as amended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Securities Act</w:t>
      </w:r>
      <w:r>
        <w:rPr>
          <w:rFonts w:ascii="Arial" w:cs="Arial" w:eastAsia="Arial" w:hAnsi="Arial"/>
          <w:sz w:val="18"/>
          <w:szCs w:val="18"/>
          <w:color w:val="auto"/>
        </w:rPr>
        <w:t>”), we, the representatives of the underwriters (the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both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Representatives</w:t>
      </w:r>
      <w:r>
        <w:rPr>
          <w:rFonts w:ascii="Arial" w:cs="Arial" w:eastAsia="Arial" w:hAnsi="Arial"/>
          <w:sz w:val="18"/>
          <w:szCs w:val="18"/>
          <w:color w:val="auto"/>
        </w:rPr>
        <w:t>”), wish to advise you that between April 8, 2019 and April 14, 2019 at 5:00 p.m., Eastern Standard Time, approximately 4,180 copies of the Preliminary Prospectus of Zoom Video Communications, Inc., a Delaware corporation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”), dated April 8, 2019 were distributed as follows by the underwriters to underwriters, dealers, institutional investors and others.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right="80"/>
        <w:spacing w:after="0" w:line="3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We, the undersigned Representatives, have and will, and we have been informed by the participating underwriters that they have and will, comply with the requirements of Rule 15c2-8 under the Securities Exchange Act of 1934, as amended, in connection with the proposed offering.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1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of the Securities Act, we hereby join in the request of the Registrant that the effectiveness of the above-captioned Registration Statement, as amended, be accelerated to 4:00 p.m. Eastern Standard Time on April 17, 2019, or as soon thereafter as practicable. We, the undersigned Representatives, confirm that the underwriters are aware of their obligations under the Securities Act.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[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9"/>
          <w:szCs w:val="19"/>
          <w:color w:val="auto"/>
        </w:rPr>
        <w:t>]</w:t>
      </w:r>
    </w:p>
    <w:p>
      <w:pPr>
        <w:sectPr>
          <w:pgSz w:w="12240" w:h="15840" w:orient="portrait"/>
          <w:cols w:equalWidth="0" w:num="1">
            <w:col w:w="11560"/>
          </w:cols>
          <w:pgMar w:left="300" w:top="99" w:right="380" w:bottom="1440" w:gutter="0" w:footer="0" w:header="0"/>
          <w:type w:val="continuous"/>
        </w:sectPr>
      </w:pPr>
    </w:p>
    <w:bookmarkStart w:id="1" w:name="page2"/>
    <w:bookmarkEnd w:id="1"/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M</w:t>
      </w:r>
      <w:r>
        <w:rPr>
          <w:rFonts w:ascii="Arial" w:cs="Arial" w:eastAsia="Arial" w:hAnsi="Arial"/>
          <w:sz w:val="15"/>
          <w:szCs w:val="15"/>
          <w:color w:val="auto"/>
        </w:rPr>
        <w:t>ORGAN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TANLEY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&amp; C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  <w:r>
        <w:rPr>
          <w:rFonts w:ascii="Arial" w:cs="Arial" w:eastAsia="Arial" w:hAnsi="Arial"/>
          <w:sz w:val="19"/>
          <w:szCs w:val="19"/>
          <w:color w:val="auto"/>
        </w:rPr>
        <w:t>. LLC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J.P. M</w:t>
      </w:r>
      <w:r>
        <w:rPr>
          <w:rFonts w:ascii="Arial" w:cs="Arial" w:eastAsia="Arial" w:hAnsi="Arial"/>
          <w:sz w:val="15"/>
          <w:szCs w:val="15"/>
          <w:color w:val="auto"/>
        </w:rPr>
        <w:t>ORGAN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ECURITIES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LLC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G</w:t>
      </w:r>
      <w:r>
        <w:rPr>
          <w:rFonts w:ascii="Arial" w:cs="Arial" w:eastAsia="Arial" w:hAnsi="Arial"/>
          <w:sz w:val="15"/>
          <w:szCs w:val="15"/>
          <w:color w:val="auto"/>
        </w:rPr>
        <w:t>OLDMAN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ACHS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&amp; C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  <w:r>
        <w:rPr>
          <w:rFonts w:ascii="Arial" w:cs="Arial" w:eastAsia="Arial" w:hAnsi="Arial"/>
          <w:sz w:val="19"/>
          <w:szCs w:val="19"/>
          <w:color w:val="auto"/>
        </w:rPr>
        <w:t>.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As representatives of the several underwriters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listed in Schedule II to the Underwriting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Agreement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M</w:t>
      </w:r>
      <w:r>
        <w:rPr>
          <w:rFonts w:ascii="Arial" w:cs="Arial" w:eastAsia="Arial" w:hAnsi="Arial"/>
          <w:sz w:val="15"/>
          <w:szCs w:val="15"/>
          <w:color w:val="auto"/>
        </w:rPr>
        <w:t>ORGAN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TANLEY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&amp; C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  <w:r>
        <w:rPr>
          <w:rFonts w:ascii="Arial" w:cs="Arial" w:eastAsia="Arial" w:hAnsi="Arial"/>
          <w:sz w:val="19"/>
          <w:szCs w:val="19"/>
          <w:color w:val="auto"/>
        </w:rPr>
        <w:t>. LLC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/s/ Rizvan Dhalla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5061585</wp:posOffset>
            </wp:positionH>
            <wp:positionV relativeFrom="paragraph">
              <wp:posOffset>15240</wp:posOffset>
            </wp:positionV>
            <wp:extent cx="23272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 Rizvan Dhalla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980"/>
        <w:spacing w:after="0"/>
        <w:tabs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Managing Director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J.P. M</w:t>
      </w:r>
      <w:r>
        <w:rPr>
          <w:rFonts w:ascii="Arial" w:cs="Arial" w:eastAsia="Arial" w:hAnsi="Arial"/>
          <w:sz w:val="15"/>
          <w:szCs w:val="15"/>
          <w:color w:val="auto"/>
        </w:rPr>
        <w:t>ORGAN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ECURITIES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LLC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/s/ Greg Chamberlain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5061585</wp:posOffset>
            </wp:positionH>
            <wp:positionV relativeFrom="paragraph">
              <wp:posOffset>15240</wp:posOffset>
            </wp:positionV>
            <wp:extent cx="23272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 Greg Chamberlain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980"/>
        <w:spacing w:after="0"/>
        <w:tabs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Head of TMT Equity Capital Markets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G</w:t>
      </w:r>
      <w:r>
        <w:rPr>
          <w:rFonts w:ascii="Arial" w:cs="Arial" w:eastAsia="Arial" w:hAnsi="Arial"/>
          <w:sz w:val="15"/>
          <w:szCs w:val="15"/>
          <w:color w:val="auto"/>
        </w:rPr>
        <w:t>OLDMAN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S</w:t>
      </w:r>
      <w:r>
        <w:rPr>
          <w:rFonts w:ascii="Arial" w:cs="Arial" w:eastAsia="Arial" w:hAnsi="Arial"/>
          <w:sz w:val="15"/>
          <w:szCs w:val="15"/>
          <w:color w:val="auto"/>
        </w:rPr>
        <w:t>ACHS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&amp; C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  <w:r>
        <w:rPr>
          <w:rFonts w:ascii="Arial" w:cs="Arial" w:eastAsia="Arial" w:hAnsi="Arial"/>
          <w:sz w:val="19"/>
          <w:szCs w:val="19"/>
          <w:color w:val="auto"/>
        </w:rPr>
        <w:t>. LLC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/s/ Matthew Lytle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5061585</wp:posOffset>
            </wp:positionH>
            <wp:positionV relativeFrom="paragraph">
              <wp:posOffset>15240</wp:posOffset>
            </wp:positionV>
            <wp:extent cx="23272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 Matthew Lytle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980"/>
        <w:spacing w:after="0"/>
        <w:tabs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Managing Director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cc: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Eric S. Yuan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Aparna Bawa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Zoom Video Communications,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Jon C. Avina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Calise Y. Cheng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Cooley LLP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Allison B. Spinner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Shannon R. Delahaye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Catherine D. Doxsee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Wilson Sonsini Goodrich &amp; Rosati, P.C.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[</w:t>
      </w: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Signature Page to Underwriter Acceleration Request</w:t>
      </w:r>
      <w:r>
        <w:rPr>
          <w:rFonts w:ascii="Arial" w:cs="Arial" w:eastAsia="Arial" w:hAnsi="Arial"/>
          <w:sz w:val="19"/>
          <w:szCs w:val="19"/>
          <w:color w:val="auto"/>
        </w:rPr>
        <w:t>]</w:t>
      </w:r>
    </w:p>
    <w:sectPr>
      <w:pgSz w:w="12240" w:h="15840" w:orient="portrait"/>
      <w:cols w:equalWidth="0" w:num="1">
        <w:col w:w="11400"/>
      </w:cols>
      <w:pgMar w:left="300" w:top="142" w:right="5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2019-12-15T17:55:24Z</dcterms:created>
  <dcterms:modified xsi:type="dcterms:W3CDTF">2019-12-15T17:55:24Z</dcterms:modified>
</cp:coreProperties>
</file>