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5630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63054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90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Sankarlingam Velchamy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Pres. of Engineering &amp; Product</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90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SAN JOSE</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tcPr>
          <w:p>
            <w:pPr>
              <w:spacing w:after="0"/>
              <w:rPr>
                <w:sz w:val="9"/>
                <w:szCs w:val="9"/>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95113</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46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6"/>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9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5"/>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2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4,845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vMerge w:val="restart"/>
          </w:tcPr>
          <w:p>
            <w:pPr>
              <w:ind w:left="220"/>
              <w:spacing w:after="0" w:line="140" w:lineRule="exact"/>
              <w:rPr>
                <w:sz w:val="20"/>
                <w:szCs w:val="20"/>
                <w:color w:val="auto"/>
              </w:rPr>
            </w:pPr>
            <w:r>
              <w:rPr>
                <w:rFonts w:ascii="Times New Roman" w:cs="Times New Roman" w:eastAsia="Times New Roman" w:hAnsi="Times New Roman"/>
                <w:sz w:val="13"/>
                <w:szCs w:val="13"/>
                <w:color w:val="0000FF"/>
              </w:rPr>
              <w:t>02/27/2026</w:t>
            </w: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5"/>
                <w:szCs w:val="5"/>
                <w:color w:val="auto"/>
              </w:rPr>
            </w:pPr>
          </w:p>
        </w:tc>
        <w:tc>
          <w:tcPr>
            <w:tcW w:w="46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4,845</w:t>
            </w: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201"/>
              <w:spacing w:after="0" w:line="140" w:lineRule="exact"/>
              <w:rPr>
                <w:sz w:val="20"/>
                <w:szCs w:val="20"/>
                <w:color w:val="auto"/>
              </w:rPr>
            </w:pPr>
            <w:r>
              <w:rPr>
                <w:rFonts w:ascii="Times New Roman" w:cs="Times New Roman" w:eastAsia="Times New Roman" w:hAnsi="Times New Roman"/>
                <w:sz w:val="13"/>
                <w:szCs w:val="13"/>
                <w:color w:val="0000FF"/>
                <w:w w:val="95"/>
              </w:rPr>
              <w:t>4,845</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vesting RSU</w:t>
            </w: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19,649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restart"/>
          </w:tcPr>
          <w:p>
            <w:pPr>
              <w:jc w:val="center"/>
              <w:ind w:left="201"/>
              <w:spacing w:after="0" w:line="140" w:lineRule="exact"/>
              <w:rPr>
                <w:sz w:val="20"/>
                <w:szCs w:val="20"/>
                <w:color w:val="auto"/>
              </w:rPr>
            </w:pPr>
            <w:r>
              <w:rPr>
                <w:rFonts w:ascii="Times New Roman" w:cs="Times New Roman" w:eastAsia="Times New Roman" w:hAnsi="Times New Roman"/>
                <w:sz w:val="13"/>
                <w:szCs w:val="13"/>
                <w:color w:val="0000FF"/>
                <w:w w:val="95"/>
              </w:rPr>
              <w:t>8,421</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29,565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12,671</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7"/>
              </w:rPr>
              <w:t>269,772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186,765</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-3024505</wp:posOffset>
            </wp:positionV>
            <wp:extent cx="28575" cy="3029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0295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performance-vesting restricted stock unit (the performance-vesting RSU)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27, 2026. The performance-vesting RSU is also subject to a service-based vesting requirement and will vest on April 9, 2026, subject to the Reporting Persons Continuous Service (as defined in the Issuers 2019 Equity Incentive Plan) on the vesting date.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July 9, 2024.</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03/03/2026</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4012"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2026-03-03T19:01:20Z</dcterms:created>
  <dcterms:modified xsi:type="dcterms:W3CDTF">2026-03-03T19:01:20Z</dcterms:modified>
</cp:coreProperties>
</file>