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As filed with the U.S. Securities and Exchange Commission on March 3, 2023</w:t>
      </w:r>
    </w:p>
    <w:p>
      <w:pPr>
        <w:spacing w:after="0" w:line="152" w:lineRule="exact"/>
        <w:rPr>
          <w:sz w:val="24"/>
          <w:szCs w:val="24"/>
          <w:color w:val="auto"/>
        </w:rPr>
      </w:pPr>
    </w:p>
    <w:p>
      <w:pPr>
        <w:ind w:left="8720"/>
        <w:spacing w:after="0"/>
        <w:rPr>
          <w:sz w:val="20"/>
          <w:szCs w:val="20"/>
          <w:color w:val="auto"/>
        </w:rPr>
      </w:pPr>
      <w:r>
        <w:rPr>
          <w:rFonts w:ascii="Arial" w:cs="Arial" w:eastAsia="Arial" w:hAnsi="Arial"/>
          <w:sz w:val="13"/>
          <w:szCs w:val="13"/>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590550</wp:posOffset>
            </wp:positionH>
            <wp:positionV relativeFrom="paragraph">
              <wp:posOffset>92710</wp:posOffset>
            </wp:positionV>
            <wp:extent cx="5969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635" cy="8255"/>
                    </a:xfrm>
                    <a:prstGeom prst="rect">
                      <a:avLst/>
                    </a:prstGeom>
                    <a:noFill/>
                  </pic:spPr>
                </pic:pic>
              </a:graphicData>
            </a:graphic>
          </wp:anchor>
        </w:drawing>
        <w:drawing>
          <wp:anchor simplePos="0" relativeHeight="251657728" behindDoc="1" locked="0" layoutInCell="0" allowOverlap="1">
            <wp:simplePos x="0" y="0"/>
            <wp:positionH relativeFrom="column">
              <wp:posOffset>590550</wp:posOffset>
            </wp:positionH>
            <wp:positionV relativeFrom="paragraph">
              <wp:posOffset>117475</wp:posOffset>
            </wp:positionV>
            <wp:extent cx="5969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6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59"/>
        <w:spacing w:after="0"/>
        <w:rPr>
          <w:sz w:val="20"/>
          <w:szCs w:val="20"/>
          <w:color w:val="auto"/>
        </w:rPr>
      </w:pPr>
      <w:r>
        <w:rPr>
          <w:rFonts w:ascii="Arial" w:cs="Arial" w:eastAsia="Arial" w:hAnsi="Arial"/>
          <w:sz w:val="26"/>
          <w:szCs w:val="26"/>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6"/>
          <w:szCs w:val="26"/>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1"/>
          <w:szCs w:val="21"/>
          <w:color w:val="auto"/>
        </w:rPr>
        <w:t>Washington, D.C. 20549</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6"/>
          <w:szCs w:val="26"/>
          <w:b w:val="1"/>
          <w:bCs w:val="1"/>
          <w:color w:val="auto"/>
        </w:rPr>
        <w:t>FORM S-8</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REGISTRATION STATEMENT</w:t>
      </w:r>
    </w:p>
    <w:p>
      <w:pPr>
        <w:jc w:val="center"/>
        <w:ind w:right="-59"/>
        <w:spacing w:after="0"/>
        <w:rPr>
          <w:sz w:val="20"/>
          <w:szCs w:val="20"/>
          <w:color w:val="auto"/>
        </w:rPr>
      </w:pPr>
      <w:r>
        <w:rPr>
          <w:rFonts w:ascii="Arial" w:cs="Arial" w:eastAsia="Arial" w:hAnsi="Arial"/>
          <w:sz w:val="17"/>
          <w:szCs w:val="17"/>
          <w:i w:val="1"/>
          <w:iCs w:val="1"/>
          <w:color w:val="auto"/>
        </w:rPr>
        <w:t>UNDER</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7"/>
          <w:szCs w:val="17"/>
          <w:i w:val="1"/>
          <w:iCs w:val="1"/>
          <w:color w:val="auto"/>
        </w:rPr>
        <w:t>THE SECURITIES ACT OF 1933</w:t>
      </w:r>
    </w:p>
    <w:p>
      <w:pPr>
        <w:spacing w:after="0" w:line="89" w:lineRule="exact"/>
        <w:rPr>
          <w:sz w:val="24"/>
          <w:szCs w:val="24"/>
          <w:color w:val="auto"/>
        </w:rPr>
      </w:pPr>
    </w:p>
    <w:p>
      <w:pPr>
        <w:jc w:val="center"/>
        <w:ind w:right="-59"/>
        <w:spacing w:after="0"/>
        <w:rPr>
          <w:sz w:val="20"/>
          <w:szCs w:val="20"/>
          <w:color w:val="auto"/>
        </w:rPr>
      </w:pPr>
      <w:r>
        <w:rPr>
          <w:rFonts w:ascii="Arial" w:cs="Arial" w:eastAsia="Arial" w:hAnsi="Arial"/>
          <w:sz w:val="37"/>
          <w:szCs w:val="37"/>
          <w:b w:val="1"/>
          <w:bCs w:val="1"/>
          <w:color w:val="auto"/>
        </w:rPr>
        <w:t>Zoom Video Communications, Inc.</w:t>
      </w:r>
    </w:p>
    <w:p>
      <w:pPr>
        <w:spacing w:after="0" w:line="105"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80"/>
          </w:cols>
          <w:pgMar w:left="320" w:top="1440" w:right="399" w:bottom="1440" w:gutter="0" w:footer="0" w:header="0"/>
        </w:sectPr>
      </w:pPr>
    </w:p>
    <w:p>
      <w:pPr>
        <w:spacing w:after="0" w:line="40" w:lineRule="exact"/>
        <w:rPr>
          <w:sz w:val="24"/>
          <w:szCs w:val="24"/>
          <w:color w:val="auto"/>
        </w:rPr>
      </w:pPr>
    </w:p>
    <w:p>
      <w:pPr>
        <w:ind w:left="25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61-1648780</w:t>
      </w:r>
    </w:p>
    <w:p>
      <w:pPr>
        <w:spacing w:after="0" w:line="89" w:lineRule="exact"/>
        <w:rPr>
          <w:sz w:val="24"/>
          <w:szCs w:val="24"/>
          <w:color w:val="auto"/>
        </w:rPr>
      </w:pPr>
    </w:p>
    <w:p>
      <w:pPr>
        <w:sectPr>
          <w:pgSz w:w="11900" w:h="16838" w:orient="portrait"/>
          <w:cols w:equalWidth="0" w:num="2">
            <w:col w:w="8060" w:space="720"/>
            <w:col w:w="2400"/>
          </w:cols>
          <w:pgMar w:left="320" w:top="1440" w:right="399" w:bottom="1440" w:gutter="0" w:footer="0" w:header="0"/>
          <w:type w:val="continuous"/>
        </w:sectPr>
      </w:pPr>
    </w:p>
    <w:p>
      <w:pPr>
        <w:ind w:left="10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7300" w:space="720"/>
            <w:col w:w="3160"/>
          </w:cols>
          <w:pgMar w:left="320" w:top="1440" w:right="399" w:bottom="1440" w:gutter="0" w:footer="0" w:header="0"/>
          <w:type w:val="continuous"/>
        </w:sectPr>
      </w:pPr>
    </w:p>
    <w:p>
      <w:pPr>
        <w:spacing w:after="0" w:line="165" w:lineRule="exact"/>
        <w:rPr>
          <w:sz w:val="24"/>
          <w:szCs w:val="24"/>
          <w:color w:val="auto"/>
        </w:rPr>
      </w:pPr>
    </w:p>
    <w:p>
      <w:pPr>
        <w:ind w:left="4720"/>
        <w:spacing w:after="0"/>
        <w:rPr>
          <w:sz w:val="20"/>
          <w:szCs w:val="20"/>
          <w:color w:val="auto"/>
        </w:rPr>
      </w:pPr>
      <w:r>
        <w:rPr>
          <w:rFonts w:ascii="Arial" w:cs="Arial" w:eastAsia="Arial" w:hAnsi="Arial"/>
          <w:sz w:val="16"/>
          <w:szCs w:val="16"/>
          <w:b w:val="1"/>
          <w:bCs w:val="1"/>
          <w:color w:val="auto"/>
        </w:rPr>
        <w:t>55 Almaden Blvd, 6</w:t>
      </w:r>
      <w:r>
        <w:rPr>
          <w:rFonts w:ascii="Arial" w:cs="Arial" w:eastAsia="Arial" w:hAnsi="Arial"/>
          <w:sz w:val="20"/>
          <w:szCs w:val="20"/>
          <w:b w:val="1"/>
          <w:bCs w:val="1"/>
          <w:color w:val="auto"/>
          <w:vertAlign w:val="superscript"/>
        </w:rPr>
        <w:t>th</w:t>
      </w:r>
      <w:r>
        <w:rPr>
          <w:rFonts w:ascii="Arial" w:cs="Arial" w:eastAsia="Arial" w:hAnsi="Arial"/>
          <w:sz w:val="16"/>
          <w:szCs w:val="16"/>
          <w:b w:val="1"/>
          <w:bCs w:val="1"/>
          <w:color w:val="auto"/>
        </w:rPr>
        <w:t xml:space="preserve"> Floor</w:t>
      </w:r>
    </w:p>
    <w:p>
      <w:pPr>
        <w:ind w:left="4740"/>
        <w:spacing w:after="0" w:line="238" w:lineRule="auto"/>
        <w:rPr>
          <w:sz w:val="20"/>
          <w:szCs w:val="20"/>
          <w:color w:val="auto"/>
        </w:rPr>
      </w:pPr>
      <w:r>
        <w:rPr>
          <w:rFonts w:ascii="Arial" w:cs="Arial" w:eastAsia="Arial" w:hAnsi="Arial"/>
          <w:sz w:val="16"/>
          <w:szCs w:val="16"/>
          <w:b w:val="1"/>
          <w:bCs w:val="1"/>
          <w:color w:val="auto"/>
        </w:rPr>
        <w:t>San Jose, California 95113</w:t>
      </w:r>
    </w:p>
    <w:p>
      <w:pPr>
        <w:jc w:val="center"/>
        <w:ind w:right="-79"/>
        <w:spacing w:after="0" w:line="224" w:lineRule="auto"/>
        <w:rPr>
          <w:sz w:val="20"/>
          <w:szCs w:val="20"/>
          <w:color w:val="auto"/>
        </w:rPr>
      </w:pPr>
      <w:r>
        <w:rPr>
          <w:rFonts w:ascii="Arial" w:cs="Arial" w:eastAsia="Arial" w:hAnsi="Arial"/>
          <w:sz w:val="16"/>
          <w:szCs w:val="16"/>
          <w:b w:val="1"/>
          <w:bCs w:val="1"/>
          <w:color w:val="auto"/>
        </w:rPr>
        <w:t>(888) 799-9666</w:t>
      </w:r>
    </w:p>
    <w:p>
      <w:pPr>
        <w:jc w:val="center"/>
        <w:ind w:right="-79"/>
        <w:spacing w:after="0"/>
        <w:rPr>
          <w:sz w:val="20"/>
          <w:szCs w:val="20"/>
          <w:color w:val="auto"/>
        </w:rPr>
      </w:pPr>
      <w:r>
        <w:rPr>
          <w:rFonts w:ascii="Arial" w:cs="Arial" w:eastAsia="Arial" w:hAnsi="Arial"/>
          <w:sz w:val="14"/>
          <w:szCs w:val="14"/>
          <w:color w:val="auto"/>
        </w:rPr>
        <w:t>(Address of principal executive offices) (Zip code)</w:t>
      </w: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Zoom Video Communications, Inc. 2019 Equity Incentive Plan</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Zoom Video Communications, Inc. 2019 Employee Stock Purchase Plan</w:t>
      </w:r>
    </w:p>
    <w:p>
      <w:pPr>
        <w:jc w:val="center"/>
        <w:ind w:right="-79"/>
        <w:spacing w:after="0"/>
        <w:rPr>
          <w:sz w:val="20"/>
          <w:szCs w:val="20"/>
          <w:color w:val="auto"/>
        </w:rPr>
      </w:pPr>
      <w:r>
        <w:rPr>
          <w:rFonts w:ascii="Arial" w:cs="Arial" w:eastAsia="Arial" w:hAnsi="Arial"/>
          <w:sz w:val="14"/>
          <w:szCs w:val="14"/>
          <w:color w:val="auto"/>
        </w:rPr>
        <w:t>(Full titles of the plans)</w:t>
      </w:r>
    </w:p>
    <w:p>
      <w:pPr>
        <w:spacing w:after="0" w:line="3" w:lineRule="exact"/>
        <w:rPr>
          <w:sz w:val="24"/>
          <w:szCs w:val="24"/>
          <w:color w:val="auto"/>
        </w:rPr>
      </w:pPr>
    </w:p>
    <w:p>
      <w:pPr>
        <w:ind w:left="4020"/>
        <w:spacing w:after="0"/>
        <w:rPr>
          <w:sz w:val="20"/>
          <w:szCs w:val="20"/>
          <w:color w:val="auto"/>
        </w:rPr>
      </w:pPr>
      <w:r>
        <w:rPr>
          <w:rFonts w:ascii="Arial" w:cs="Arial" w:eastAsia="Arial" w:hAnsi="Arial"/>
          <w:sz w:val="17"/>
          <w:szCs w:val="17"/>
          <w:color w:val="auto"/>
        </w:rPr>
        <w:t>_____________________________________</w:t>
      </w:r>
    </w:p>
    <w:p>
      <w:pPr>
        <w:spacing w:after="0" w:line="246"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Eric S. Yuan</w:t>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Zoom Video Communications, Inc.</w:t>
      </w:r>
    </w:p>
    <w:p>
      <w:pPr>
        <w:jc w:val="center"/>
        <w:ind w:right="-79"/>
        <w:spacing w:after="0" w:line="199" w:lineRule="auto"/>
        <w:rPr>
          <w:sz w:val="20"/>
          <w:szCs w:val="20"/>
          <w:color w:val="auto"/>
        </w:rPr>
      </w:pPr>
      <w:r>
        <w:rPr>
          <w:rFonts w:ascii="Arial" w:cs="Arial" w:eastAsia="Arial" w:hAnsi="Arial"/>
          <w:sz w:val="16"/>
          <w:szCs w:val="16"/>
          <w:b w:val="1"/>
          <w:bCs w:val="1"/>
          <w:color w:val="auto"/>
        </w:rPr>
        <w:t>55 Almaden Blvd, 6</w:t>
      </w:r>
      <w:r>
        <w:rPr>
          <w:rFonts w:ascii="Arial" w:cs="Arial" w:eastAsia="Arial" w:hAnsi="Arial"/>
          <w:sz w:val="20"/>
          <w:szCs w:val="20"/>
          <w:b w:val="1"/>
          <w:bCs w:val="1"/>
          <w:color w:val="auto"/>
          <w:vertAlign w:val="superscript"/>
        </w:rPr>
        <w:t>th</w:t>
      </w:r>
      <w:r>
        <w:rPr>
          <w:rFonts w:ascii="Arial" w:cs="Arial" w:eastAsia="Arial" w:hAnsi="Arial"/>
          <w:sz w:val="16"/>
          <w:szCs w:val="16"/>
          <w:b w:val="1"/>
          <w:bCs w:val="1"/>
          <w:color w:val="auto"/>
        </w:rPr>
        <w:t xml:space="preserve"> Floor</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San Jose, California 95113</w:t>
      </w:r>
    </w:p>
    <w:p>
      <w:pPr>
        <w:jc w:val="center"/>
        <w:ind w:right="-79"/>
        <w:spacing w:after="0"/>
        <w:rPr>
          <w:sz w:val="20"/>
          <w:szCs w:val="20"/>
          <w:color w:val="auto"/>
        </w:rPr>
      </w:pPr>
      <w:r>
        <w:rPr>
          <w:rFonts w:ascii="Arial" w:cs="Arial" w:eastAsia="Arial" w:hAnsi="Arial"/>
          <w:sz w:val="16"/>
          <w:szCs w:val="16"/>
          <w:b w:val="1"/>
          <w:bCs w:val="1"/>
          <w:color w:val="auto"/>
        </w:rPr>
        <w:t>(888) 799-9666</w:t>
      </w:r>
    </w:p>
    <w:p>
      <w:pPr>
        <w:jc w:val="center"/>
        <w:ind w:right="-79"/>
        <w:spacing w:after="0"/>
        <w:rPr>
          <w:sz w:val="20"/>
          <w:szCs w:val="20"/>
          <w:color w:val="auto"/>
        </w:rPr>
      </w:pPr>
      <w:r>
        <w:rPr>
          <w:rFonts w:ascii="Arial" w:cs="Arial" w:eastAsia="Arial" w:hAnsi="Arial"/>
          <w:sz w:val="14"/>
          <w:szCs w:val="14"/>
          <w:color w:val="auto"/>
        </w:rPr>
        <w:t>(Name and address of agent for service) (Telephone number, including area code, of agent for service)</w:t>
      </w:r>
    </w:p>
    <w:p>
      <w:pPr>
        <w:spacing w:after="0" w:line="240" w:lineRule="exact"/>
        <w:rPr>
          <w:sz w:val="24"/>
          <w:szCs w:val="24"/>
          <w:color w:val="auto"/>
        </w:rPr>
      </w:pPr>
    </w:p>
    <w:tbl>
      <w:tblPr>
        <w:tblLayout w:type="fixed"/>
        <w:tblInd w:w="1600" w:type="dxa"/>
        <w:tblCellMar>
          <w:top w:w="0" w:type="dxa"/>
          <w:left w:w="0" w:type="dxa"/>
          <w:bottom w:w="0" w:type="dxa"/>
          <w:right w:w="0" w:type="dxa"/>
        </w:tblCellMar>
      </w:tblPr>
      <w:tr>
        <w:trPr>
          <w:trHeight w:val="199"/>
        </w:trPr>
        <w:tc>
          <w:tcPr>
            <w:tcW w:w="2760" w:type="dxa"/>
            <w:vAlign w:val="bottom"/>
          </w:tcPr>
          <w:p>
            <w:pPr>
              <w:spacing w:after="0"/>
              <w:rPr>
                <w:sz w:val="17"/>
                <w:szCs w:val="17"/>
                <w:color w:val="auto"/>
              </w:rPr>
            </w:pPr>
          </w:p>
        </w:tc>
        <w:tc>
          <w:tcPr>
            <w:tcW w:w="5080" w:type="dxa"/>
            <w:vAlign w:val="bottom"/>
          </w:tcPr>
          <w:p>
            <w:pPr>
              <w:ind w:left="940"/>
              <w:spacing w:after="0"/>
              <w:rPr>
                <w:sz w:val="20"/>
                <w:szCs w:val="20"/>
                <w:color w:val="auto"/>
              </w:rPr>
            </w:pPr>
            <w:r>
              <w:rPr>
                <w:rFonts w:ascii="Arial" w:cs="Arial" w:eastAsia="Arial" w:hAnsi="Arial"/>
                <w:sz w:val="16"/>
                <w:szCs w:val="16"/>
                <w:b w:val="1"/>
                <w:bCs w:val="1"/>
                <w:i w:val="1"/>
                <w:iCs w:val="1"/>
                <w:color w:val="auto"/>
              </w:rPr>
              <w:t>Copies to:</w:t>
            </w:r>
          </w:p>
        </w:tc>
      </w:tr>
      <w:tr>
        <w:trPr>
          <w:trHeight w:val="227"/>
        </w:trPr>
        <w:tc>
          <w:tcPr>
            <w:tcW w:w="2760" w:type="dxa"/>
            <w:vAlign w:val="bottom"/>
          </w:tcPr>
          <w:p>
            <w:pPr>
              <w:jc w:val="center"/>
              <w:ind w:right="862"/>
              <w:spacing w:after="0"/>
              <w:rPr>
                <w:sz w:val="20"/>
                <w:szCs w:val="20"/>
                <w:color w:val="auto"/>
              </w:rPr>
            </w:pPr>
            <w:r>
              <w:rPr>
                <w:rFonts w:ascii="Arial" w:cs="Arial" w:eastAsia="Arial" w:hAnsi="Arial"/>
                <w:sz w:val="16"/>
                <w:szCs w:val="16"/>
                <w:b w:val="1"/>
                <w:bCs w:val="1"/>
                <w:color w:val="auto"/>
                <w:w w:val="88"/>
              </w:rPr>
              <w:t>Jon C. Avina</w:t>
            </w:r>
          </w:p>
        </w:tc>
        <w:tc>
          <w:tcPr>
            <w:tcW w:w="5080" w:type="dxa"/>
            <w:vAlign w:val="bottom"/>
          </w:tcPr>
          <w:p>
            <w:pPr>
              <w:jc w:val="center"/>
              <w:ind w:left="3222"/>
              <w:spacing w:after="0"/>
              <w:rPr>
                <w:sz w:val="20"/>
                <w:szCs w:val="20"/>
                <w:color w:val="auto"/>
              </w:rPr>
            </w:pPr>
            <w:r>
              <w:rPr>
                <w:rFonts w:ascii="Arial" w:cs="Arial" w:eastAsia="Arial" w:hAnsi="Arial"/>
                <w:sz w:val="16"/>
                <w:szCs w:val="16"/>
                <w:b w:val="1"/>
                <w:bCs w:val="1"/>
                <w:color w:val="auto"/>
                <w:w w:val="91"/>
              </w:rPr>
              <w:t>Jeffrey C. True</w:t>
            </w:r>
          </w:p>
        </w:tc>
      </w:tr>
      <w:tr>
        <w:trPr>
          <w:trHeight w:val="183"/>
        </w:trPr>
        <w:tc>
          <w:tcPr>
            <w:tcW w:w="2760" w:type="dxa"/>
            <w:vAlign w:val="bottom"/>
          </w:tcPr>
          <w:p>
            <w:pPr>
              <w:jc w:val="center"/>
              <w:ind w:right="862"/>
              <w:spacing w:after="0" w:line="183" w:lineRule="exact"/>
              <w:rPr>
                <w:sz w:val="20"/>
                <w:szCs w:val="20"/>
                <w:color w:val="auto"/>
              </w:rPr>
            </w:pPr>
            <w:r>
              <w:rPr>
                <w:rFonts w:ascii="Arial" w:cs="Arial" w:eastAsia="Arial" w:hAnsi="Arial"/>
                <w:sz w:val="16"/>
                <w:szCs w:val="16"/>
                <w:b w:val="1"/>
                <w:bCs w:val="1"/>
                <w:color w:val="auto"/>
                <w:w w:val="87"/>
              </w:rPr>
              <w:t>Calise Y. Cheng</w:t>
            </w:r>
          </w:p>
        </w:tc>
        <w:tc>
          <w:tcPr>
            <w:tcW w:w="5080" w:type="dxa"/>
            <w:vAlign w:val="bottom"/>
          </w:tcPr>
          <w:p>
            <w:pPr>
              <w:jc w:val="center"/>
              <w:ind w:left="3202"/>
              <w:spacing w:after="0" w:line="183" w:lineRule="exact"/>
              <w:rPr>
                <w:sz w:val="20"/>
                <w:szCs w:val="20"/>
                <w:color w:val="auto"/>
              </w:rPr>
            </w:pPr>
            <w:r>
              <w:rPr>
                <w:rFonts w:ascii="Arial" w:cs="Arial" w:eastAsia="Arial" w:hAnsi="Arial"/>
                <w:sz w:val="16"/>
                <w:szCs w:val="16"/>
                <w:b w:val="1"/>
                <w:bCs w:val="1"/>
                <w:color w:val="auto"/>
                <w:w w:val="88"/>
              </w:rPr>
              <w:t>General Counsel</w:t>
            </w:r>
          </w:p>
        </w:tc>
      </w:tr>
      <w:tr>
        <w:trPr>
          <w:trHeight w:val="183"/>
        </w:trPr>
        <w:tc>
          <w:tcPr>
            <w:tcW w:w="2760" w:type="dxa"/>
            <w:vAlign w:val="bottom"/>
          </w:tcPr>
          <w:p>
            <w:pPr>
              <w:jc w:val="center"/>
              <w:ind w:right="862"/>
              <w:spacing w:after="0" w:line="183" w:lineRule="exact"/>
              <w:rPr>
                <w:sz w:val="20"/>
                <w:szCs w:val="20"/>
                <w:color w:val="auto"/>
              </w:rPr>
            </w:pPr>
            <w:r>
              <w:rPr>
                <w:rFonts w:ascii="Arial" w:cs="Arial" w:eastAsia="Arial" w:hAnsi="Arial"/>
                <w:sz w:val="16"/>
                <w:szCs w:val="16"/>
                <w:b w:val="1"/>
                <w:bCs w:val="1"/>
                <w:color w:val="auto"/>
                <w:w w:val="88"/>
              </w:rPr>
              <w:t>Alex K. Kassai</w:t>
            </w:r>
          </w:p>
        </w:tc>
        <w:tc>
          <w:tcPr>
            <w:tcW w:w="5080" w:type="dxa"/>
            <w:vAlign w:val="bottom"/>
          </w:tcPr>
          <w:p>
            <w:pPr>
              <w:jc w:val="center"/>
              <w:ind w:left="3202"/>
              <w:spacing w:after="0" w:line="183" w:lineRule="exact"/>
              <w:rPr>
                <w:sz w:val="20"/>
                <w:szCs w:val="20"/>
                <w:color w:val="auto"/>
              </w:rPr>
            </w:pPr>
            <w:r>
              <w:rPr>
                <w:rFonts w:ascii="Arial" w:cs="Arial" w:eastAsia="Arial" w:hAnsi="Arial"/>
                <w:sz w:val="16"/>
                <w:szCs w:val="16"/>
                <w:b w:val="1"/>
                <w:bCs w:val="1"/>
                <w:color w:val="auto"/>
                <w:w w:val="88"/>
              </w:rPr>
              <w:t>55 Almaden Blvd, 6</w:t>
            </w:r>
            <w:r>
              <w:rPr>
                <w:rFonts w:ascii="Arial" w:cs="Arial" w:eastAsia="Arial" w:hAnsi="Arial"/>
                <w:sz w:val="20"/>
                <w:szCs w:val="20"/>
                <w:b w:val="1"/>
                <w:bCs w:val="1"/>
                <w:color w:val="auto"/>
                <w:w w:val="88"/>
                <w:vertAlign w:val="superscript"/>
              </w:rPr>
              <w:t>th</w:t>
            </w:r>
            <w:r>
              <w:rPr>
                <w:rFonts w:ascii="Arial" w:cs="Arial" w:eastAsia="Arial" w:hAnsi="Arial"/>
                <w:sz w:val="16"/>
                <w:szCs w:val="16"/>
                <w:b w:val="1"/>
                <w:bCs w:val="1"/>
                <w:color w:val="auto"/>
                <w:w w:val="88"/>
              </w:rPr>
              <w:t xml:space="preserve"> Floor</w:t>
            </w:r>
          </w:p>
        </w:tc>
      </w:tr>
      <w:tr>
        <w:trPr>
          <w:trHeight w:val="196"/>
        </w:trPr>
        <w:tc>
          <w:tcPr>
            <w:tcW w:w="2760" w:type="dxa"/>
            <w:vAlign w:val="bottom"/>
          </w:tcPr>
          <w:p>
            <w:pPr>
              <w:jc w:val="center"/>
              <w:ind w:right="882"/>
              <w:spacing w:after="0"/>
              <w:rPr>
                <w:sz w:val="20"/>
                <w:szCs w:val="20"/>
                <w:color w:val="auto"/>
              </w:rPr>
            </w:pPr>
            <w:r>
              <w:rPr>
                <w:rFonts w:ascii="Arial" w:cs="Arial" w:eastAsia="Arial" w:hAnsi="Arial"/>
                <w:sz w:val="16"/>
                <w:szCs w:val="16"/>
                <w:b w:val="1"/>
                <w:bCs w:val="1"/>
                <w:color w:val="auto"/>
                <w:w w:val="90"/>
              </w:rPr>
              <w:t>Cooley LLP</w:t>
            </w:r>
          </w:p>
        </w:tc>
        <w:tc>
          <w:tcPr>
            <w:tcW w:w="5080" w:type="dxa"/>
            <w:vAlign w:val="bottom"/>
          </w:tcPr>
          <w:p>
            <w:pPr>
              <w:jc w:val="center"/>
              <w:ind w:left="3222"/>
              <w:spacing w:after="0"/>
              <w:rPr>
                <w:sz w:val="20"/>
                <w:szCs w:val="20"/>
                <w:color w:val="auto"/>
              </w:rPr>
            </w:pPr>
            <w:r>
              <w:rPr>
                <w:rFonts w:ascii="Arial" w:cs="Arial" w:eastAsia="Arial" w:hAnsi="Arial"/>
                <w:sz w:val="16"/>
                <w:szCs w:val="16"/>
                <w:b w:val="1"/>
                <w:bCs w:val="1"/>
                <w:color w:val="auto"/>
                <w:w w:val="85"/>
              </w:rPr>
              <w:t>San Jose, CA 95113</w:t>
            </w:r>
          </w:p>
        </w:tc>
      </w:tr>
      <w:tr>
        <w:trPr>
          <w:trHeight w:val="183"/>
        </w:trPr>
        <w:tc>
          <w:tcPr>
            <w:tcW w:w="2760" w:type="dxa"/>
            <w:vAlign w:val="bottom"/>
          </w:tcPr>
          <w:p>
            <w:pPr>
              <w:jc w:val="center"/>
              <w:ind w:right="862"/>
              <w:spacing w:after="0" w:line="183" w:lineRule="exact"/>
              <w:rPr>
                <w:sz w:val="20"/>
                <w:szCs w:val="20"/>
                <w:color w:val="auto"/>
              </w:rPr>
            </w:pPr>
            <w:r>
              <w:rPr>
                <w:rFonts w:ascii="Arial" w:cs="Arial" w:eastAsia="Arial" w:hAnsi="Arial"/>
                <w:sz w:val="16"/>
                <w:szCs w:val="16"/>
                <w:b w:val="1"/>
                <w:bCs w:val="1"/>
                <w:color w:val="auto"/>
                <w:w w:val="89"/>
              </w:rPr>
              <w:t>3175 Hanover Street</w:t>
            </w:r>
          </w:p>
        </w:tc>
        <w:tc>
          <w:tcPr>
            <w:tcW w:w="5080" w:type="dxa"/>
            <w:vAlign w:val="bottom"/>
          </w:tcPr>
          <w:p>
            <w:pPr>
              <w:jc w:val="center"/>
              <w:ind w:left="3222"/>
              <w:spacing w:after="0" w:line="183" w:lineRule="exact"/>
              <w:rPr>
                <w:sz w:val="20"/>
                <w:szCs w:val="20"/>
                <w:color w:val="auto"/>
              </w:rPr>
            </w:pPr>
            <w:r>
              <w:rPr>
                <w:rFonts w:ascii="Arial" w:cs="Arial" w:eastAsia="Arial" w:hAnsi="Arial"/>
                <w:sz w:val="16"/>
                <w:szCs w:val="16"/>
                <w:b w:val="1"/>
                <w:bCs w:val="1"/>
                <w:color w:val="auto"/>
                <w:w w:val="89"/>
              </w:rPr>
              <w:t>(888) 799-9666</w:t>
            </w:r>
          </w:p>
        </w:tc>
      </w:tr>
      <w:tr>
        <w:trPr>
          <w:trHeight w:val="196"/>
        </w:trPr>
        <w:tc>
          <w:tcPr>
            <w:tcW w:w="2760" w:type="dxa"/>
            <w:vAlign w:val="bottom"/>
          </w:tcPr>
          <w:p>
            <w:pPr>
              <w:jc w:val="center"/>
              <w:ind w:right="862"/>
              <w:spacing w:after="0"/>
              <w:rPr>
                <w:sz w:val="20"/>
                <w:szCs w:val="20"/>
                <w:color w:val="auto"/>
              </w:rPr>
            </w:pPr>
            <w:r>
              <w:rPr>
                <w:rFonts w:ascii="Arial" w:cs="Arial" w:eastAsia="Arial" w:hAnsi="Arial"/>
                <w:sz w:val="16"/>
                <w:szCs w:val="16"/>
                <w:b w:val="1"/>
                <w:bCs w:val="1"/>
                <w:color w:val="auto"/>
                <w:w w:val="90"/>
              </w:rPr>
              <w:t>Palo Alto, California 94304</w:t>
            </w:r>
          </w:p>
        </w:tc>
        <w:tc>
          <w:tcPr>
            <w:tcW w:w="5080" w:type="dxa"/>
            <w:vAlign w:val="bottom"/>
          </w:tcPr>
          <w:p>
            <w:pPr>
              <w:spacing w:after="0"/>
              <w:rPr>
                <w:sz w:val="17"/>
                <w:szCs w:val="17"/>
                <w:color w:val="auto"/>
              </w:rPr>
            </w:pPr>
          </w:p>
        </w:tc>
      </w:tr>
      <w:tr>
        <w:trPr>
          <w:trHeight w:val="203"/>
        </w:trPr>
        <w:tc>
          <w:tcPr>
            <w:tcW w:w="2760" w:type="dxa"/>
            <w:vAlign w:val="bottom"/>
          </w:tcPr>
          <w:p>
            <w:pPr>
              <w:jc w:val="center"/>
              <w:ind w:right="862"/>
              <w:spacing w:after="0"/>
              <w:rPr>
                <w:sz w:val="20"/>
                <w:szCs w:val="20"/>
                <w:color w:val="auto"/>
              </w:rPr>
            </w:pPr>
            <w:r>
              <w:rPr>
                <w:rFonts w:ascii="Arial" w:cs="Arial" w:eastAsia="Arial" w:hAnsi="Arial"/>
                <w:sz w:val="16"/>
                <w:szCs w:val="16"/>
                <w:b w:val="1"/>
                <w:bCs w:val="1"/>
                <w:color w:val="auto"/>
                <w:w w:val="89"/>
              </w:rPr>
              <w:t>(650) 843-5000</w:t>
            </w:r>
          </w:p>
        </w:tc>
        <w:tc>
          <w:tcPr>
            <w:tcW w:w="5080" w:type="dxa"/>
            <w:vAlign w:val="bottom"/>
          </w:tcPr>
          <w:p>
            <w:pPr>
              <w:spacing w:after="0"/>
              <w:rPr>
                <w:sz w:val="17"/>
                <w:szCs w:val="17"/>
                <w:color w:val="auto"/>
              </w:rPr>
            </w:pPr>
          </w:p>
        </w:tc>
      </w:tr>
    </w:tbl>
    <w:p>
      <w:pPr>
        <w:spacing w:after="0" w:line="100" w:lineRule="exact"/>
        <w:rPr>
          <w:sz w:val="24"/>
          <w:szCs w:val="24"/>
          <w:color w:val="auto"/>
        </w:rPr>
      </w:pPr>
    </w:p>
    <w:p>
      <w:pPr>
        <w:jc w:val="center"/>
        <w:ind w:left="80"/>
        <w:spacing w:after="0" w:line="29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440" w:right="399" w:bottom="1440" w:gutter="0" w:footer="0" w:header="0"/>
          <w:type w:val="continuous"/>
        </w:sectPr>
      </w:pPr>
    </w:p>
    <w:p>
      <w:pPr>
        <w:spacing w:after="0" w:line="12" w:lineRule="exact"/>
        <w:rPr>
          <w:sz w:val="24"/>
          <w:szCs w:val="24"/>
          <w:color w:val="auto"/>
        </w:rPr>
      </w:pPr>
    </w:p>
    <w:p>
      <w:pPr>
        <w:ind w:left="18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Accelerated filer</w:t>
      </w:r>
    </w:p>
    <w:p>
      <w:pPr>
        <w:spacing w:after="0" w:line="85" w:lineRule="exact"/>
        <w:rPr>
          <w:sz w:val="24"/>
          <w:szCs w:val="24"/>
          <w:color w:val="auto"/>
        </w:rPr>
      </w:pPr>
    </w:p>
    <w:p>
      <w:pPr>
        <w:sectPr>
          <w:pgSz w:w="11900" w:h="16838" w:orient="portrait"/>
          <w:cols w:equalWidth="0" w:num="2">
            <w:col w:w="7080" w:space="720"/>
            <w:col w:w="3380"/>
          </w:cols>
          <w:pgMar w:left="320" w:top="1440" w:right="399" w:bottom="1440" w:gutter="0" w:footer="0" w:header="0"/>
          <w:type w:val="continuous"/>
        </w:sectPr>
      </w:pPr>
    </w:p>
    <w:p>
      <w:pPr>
        <w:ind w:left="18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85" w:lineRule="exact"/>
        <w:rPr>
          <w:sz w:val="24"/>
          <w:szCs w:val="24"/>
          <w:color w:val="auto"/>
        </w:rPr>
      </w:pPr>
    </w:p>
    <w:p>
      <w:pPr>
        <w:sectPr>
          <w:pgSz w:w="11900" w:h="16838" w:orient="portrait"/>
          <w:cols w:equalWidth="0" w:num="2">
            <w:col w:w="7080" w:space="720"/>
            <w:col w:w="3380"/>
          </w:cols>
          <w:pgMar w:left="320" w:top="1440" w:right="399" w:bottom="1440" w:gutter="0" w:footer="0" w:header="0"/>
          <w:type w:val="continuous"/>
        </w:sectPr>
      </w:pPr>
    </w:p>
    <w:p>
      <w:pPr>
        <w:ind w:left="7800"/>
        <w:spacing w:after="0"/>
        <w:rPr>
          <w:sz w:val="20"/>
          <w:szCs w:val="20"/>
          <w:color w:val="auto"/>
        </w:rPr>
      </w:pPr>
      <w:r>
        <w:rPr>
          <w:rFonts w:ascii="Arial" w:cs="Arial" w:eastAsia="Arial" w:hAnsi="Arial"/>
          <w:sz w:val="13"/>
          <w:szCs w:val="13"/>
          <w:color w:val="auto"/>
        </w:rPr>
        <w:t>Emerging growth company</w:t>
      </w:r>
    </w:p>
    <w:p>
      <w:pPr>
        <w:sectPr>
          <w:pgSz w:w="11900" w:h="16838" w:orient="portrait"/>
          <w:cols w:equalWidth="0" w:num="1">
            <w:col w:w="11180"/>
          </w:cols>
          <w:pgMar w:left="320" w:top="1440" w:right="399" w:bottom="1440" w:gutter="0" w:footer="0" w:header="0"/>
          <w:type w:val="continuous"/>
        </w:sectPr>
      </w:pPr>
    </w:p>
    <w:p>
      <w:pPr>
        <w:spacing w:after="0" w:line="137"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200" w:lineRule="exact"/>
        <w:rPr>
          <w:sz w:val="20"/>
          <w:szCs w:val="20"/>
          <w:color w:val="auto"/>
        </w:rPr>
      </w:pPr>
    </w:p>
    <w:p>
      <w:pPr>
        <w:spacing w:after="0" w:line="236"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Zoom Video Communications,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is filing this Registration Statement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to register (i) 14,691,142 additional shares of its Class A common stock under its 2019 Equity Incentive Plan (the "</w:t>
      </w:r>
      <w:r>
        <w:rPr>
          <w:rFonts w:ascii="Arial" w:cs="Arial" w:eastAsia="Arial" w:hAnsi="Arial"/>
          <w:sz w:val="16"/>
          <w:szCs w:val="16"/>
          <w:b w:val="1"/>
          <w:bCs w:val="1"/>
          <w:i w:val="1"/>
          <w:iCs w:val="1"/>
          <w:color w:val="auto"/>
        </w:rPr>
        <w:t>2019 Plan</w:t>
      </w:r>
      <w:r>
        <w:rPr>
          <w:rFonts w:ascii="Arial" w:cs="Arial" w:eastAsia="Arial" w:hAnsi="Arial"/>
          <w:sz w:val="16"/>
          <w:szCs w:val="16"/>
          <w:color w:val="auto"/>
        </w:rPr>
        <w:t>"), pursuant to the provisions of the 2019 Plan providing for an automatic increase in the number of shares Class A common stock reserved and available for issuance under the 2019 Plan on February 1, 2023 and (ii) 2,938,228 additional shares of its Class A common stock under its 2019 Employee Stock Purchase Plan (the "</w:t>
      </w:r>
      <w:r>
        <w:rPr>
          <w:rFonts w:ascii="Arial" w:cs="Arial" w:eastAsia="Arial" w:hAnsi="Arial"/>
          <w:sz w:val="16"/>
          <w:szCs w:val="16"/>
          <w:b w:val="1"/>
          <w:bCs w:val="1"/>
          <w:i w:val="1"/>
          <w:iCs w:val="1"/>
          <w:color w:val="auto"/>
        </w:rPr>
        <w:t>2019</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ESPP</w:t>
      </w:r>
      <w:r>
        <w:rPr>
          <w:rFonts w:ascii="Arial" w:cs="Arial" w:eastAsia="Arial" w:hAnsi="Arial"/>
          <w:sz w:val="16"/>
          <w:szCs w:val="16"/>
          <w:color w:val="auto"/>
        </w:rPr>
        <w:t>"), pursuant to the provisions of 2019 ESPP providing for an automatic increase in the number of shares of Class A common stock reserved and available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issuance under the 2019 ESPP on February 1, 2023. In accordance with the instructional note to Part I of Form S-8 as promulgated by the Commission, the information specified by Part I of the Form S-8 has been omitted from this Registration Statement.</w:t>
      </w:r>
    </w:p>
    <w:p>
      <w:pPr>
        <w:spacing w:after="0" w:line="166" w:lineRule="exact"/>
        <w:rPr>
          <w:sz w:val="20"/>
          <w:szCs w:val="20"/>
          <w:color w:val="auto"/>
        </w:rPr>
      </w:pPr>
    </w:p>
    <w:p>
      <w:pPr>
        <w:jc w:val="both"/>
        <w:ind w:firstLine="626"/>
        <w:spacing w:after="0" w:line="271" w:lineRule="auto"/>
        <w:rPr>
          <w:rFonts w:ascii="Arial" w:cs="Arial" w:eastAsia="Arial" w:hAnsi="Arial"/>
          <w:sz w:val="17"/>
          <w:szCs w:val="17"/>
          <w:color w:val="auto"/>
        </w:rPr>
      </w:pPr>
      <w:r>
        <w:rPr>
          <w:rFonts w:ascii="Arial" w:cs="Arial" w:eastAsia="Arial" w:hAnsi="Arial"/>
          <w:sz w:val="17"/>
          <w:szCs w:val="17"/>
          <w:color w:val="auto"/>
        </w:rPr>
        <w:t>Pursuant to General Instruction E of Form S-8, the contents of the Registration Statements on Form S-8 filed with the Commission on April 23, 2019 (</w:t>
      </w:r>
      <w:hyperlink r:id="rId10">
        <w:r>
          <w:rPr>
            <w:rFonts w:ascii="Arial" w:cs="Arial" w:eastAsia="Arial" w:hAnsi="Arial"/>
            <w:sz w:val="17"/>
            <w:szCs w:val="17"/>
            <w:u w:val="single" w:color="auto"/>
            <w:color w:val="0000FF"/>
          </w:rPr>
          <w:t>File No. 333-230997</w:t>
        </w:r>
      </w:hyperlink>
      <w:r>
        <w:rPr>
          <w:rFonts w:ascii="Arial" w:cs="Arial" w:eastAsia="Arial" w:hAnsi="Arial"/>
          <w:sz w:val="17"/>
          <w:szCs w:val="17"/>
          <w:color w:val="auto"/>
        </w:rPr>
        <w:t>), March 20, 2020 (</w:t>
      </w:r>
      <w:hyperlink r:id="rId11">
        <w:r>
          <w:rPr>
            <w:rFonts w:ascii="Arial" w:cs="Arial" w:eastAsia="Arial" w:hAnsi="Arial"/>
            <w:sz w:val="17"/>
            <w:szCs w:val="17"/>
            <w:u w:val="single" w:color="auto"/>
            <w:color w:val="0000FF"/>
          </w:rPr>
          <w:t>File No. 333-237348</w:t>
        </w:r>
      </w:hyperlink>
      <w:r>
        <w:rPr>
          <w:rFonts w:ascii="Arial" w:cs="Arial" w:eastAsia="Arial" w:hAnsi="Arial"/>
          <w:sz w:val="17"/>
          <w:szCs w:val="17"/>
          <w:color w:val="auto"/>
        </w:rPr>
        <w:t>), March 18, 2021 (</w:t>
      </w:r>
      <w:hyperlink r:id="rId12">
        <w:r>
          <w:rPr>
            <w:rFonts w:ascii="Arial" w:cs="Arial" w:eastAsia="Arial" w:hAnsi="Arial"/>
            <w:sz w:val="17"/>
            <w:szCs w:val="17"/>
            <w:u w:val="single" w:color="auto"/>
            <w:color w:val="0000FF"/>
          </w:rPr>
          <w:t>File No. 333-254444</w:t>
        </w:r>
      </w:hyperlink>
      <w:r>
        <w:rPr>
          <w:rFonts w:ascii="Arial" w:cs="Arial" w:eastAsia="Arial" w:hAnsi="Arial"/>
          <w:sz w:val="17"/>
          <w:szCs w:val="17"/>
          <w:color w:val="auto"/>
        </w:rPr>
        <w:t>) and March 8, 2022 (</w:t>
      </w:r>
      <w:hyperlink r:id="rId13">
        <w:r>
          <w:rPr>
            <w:rFonts w:ascii="Arial" w:cs="Arial" w:eastAsia="Arial" w:hAnsi="Arial"/>
            <w:sz w:val="17"/>
            <w:szCs w:val="17"/>
            <w:u w:val="single" w:color="auto"/>
            <w:color w:val="0000FF"/>
          </w:rPr>
          <w:t>File No. 333-263354</w:t>
        </w:r>
      </w:hyperlink>
      <w:r>
        <w:rPr>
          <w:rFonts w:ascii="Arial" w:cs="Arial" w:eastAsia="Arial" w:hAnsi="Arial"/>
          <w:sz w:val="17"/>
          <w:szCs w:val="17"/>
          <w:color w:val="auto"/>
        </w:rPr>
        <w:t>) are hereby incorporated by reference in this Registration Statement to the extent not replaced hereby.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0" w:lineRule="exact"/>
        <w:rPr>
          <w:rFonts w:ascii="Arial" w:cs="Arial" w:eastAsia="Arial" w:hAnsi="Arial"/>
          <w:sz w:val="17"/>
          <w:szCs w:val="17"/>
          <w:color w:val="auto"/>
        </w:rPr>
      </w:pPr>
    </w:p>
    <w:p>
      <w:pPr>
        <w:ind w:left="5300"/>
        <w:spacing w:after="0"/>
        <w:rPr>
          <w:sz w:val="20"/>
          <w:szCs w:val="20"/>
          <w:color w:val="auto"/>
        </w:rPr>
      </w:pPr>
      <w:r>
        <w:rPr>
          <w:rFonts w:ascii="Arial" w:cs="Arial" w:eastAsia="Arial" w:hAnsi="Arial"/>
          <w:sz w:val="17"/>
          <w:szCs w:val="17"/>
          <w:b w:val="1"/>
          <w:bCs w:val="1"/>
          <w:color w:val="auto"/>
        </w:rPr>
        <w:t>PART II</w:t>
      </w:r>
    </w:p>
    <w:p>
      <w:pPr>
        <w:spacing w:after="0" w:line="183" w:lineRule="exact"/>
        <w:rPr>
          <w:rFonts w:ascii="Arial" w:cs="Arial" w:eastAsia="Arial" w:hAnsi="Arial"/>
          <w:sz w:val="17"/>
          <w:szCs w:val="17"/>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tab/>
        <w:t>INCORPORATION OF CERTAIN DOCUMENTS BY REFERENCE</w:t>
      </w:r>
    </w:p>
    <w:p>
      <w:pPr>
        <w:spacing w:after="0" w:line="189" w:lineRule="exact"/>
        <w:rPr>
          <w:rFonts w:ascii="Arial" w:cs="Arial" w:eastAsia="Arial" w:hAnsi="Arial"/>
          <w:sz w:val="17"/>
          <w:szCs w:val="17"/>
          <w:color w:val="auto"/>
        </w:rPr>
      </w:pPr>
    </w:p>
    <w:p>
      <w:pPr>
        <w:ind w:left="640"/>
        <w:spacing w:after="0"/>
        <w:rPr>
          <w:sz w:val="20"/>
          <w:szCs w:val="20"/>
          <w:color w:val="auto"/>
        </w:rPr>
      </w:pPr>
      <w:r>
        <w:rPr>
          <w:rFonts w:ascii="Arial" w:cs="Arial" w:eastAsia="Arial" w:hAnsi="Arial"/>
          <w:sz w:val="17"/>
          <w:szCs w:val="17"/>
          <w:color w:val="auto"/>
        </w:rPr>
        <w:t>The following documents filed by the Registrant with the Commission are incorporated by reference into this Registration Statement:</w:t>
      </w:r>
    </w:p>
    <w:p>
      <w:pPr>
        <w:spacing w:after="0" w:line="196" w:lineRule="exact"/>
        <w:rPr>
          <w:rFonts w:ascii="Arial" w:cs="Arial" w:eastAsia="Arial" w:hAnsi="Arial"/>
          <w:sz w:val="17"/>
          <w:szCs w:val="17"/>
          <w:color w:val="auto"/>
        </w:rPr>
      </w:pPr>
    </w:p>
    <w:p>
      <w:pPr>
        <w:jc w:val="both"/>
        <w:ind w:firstLine="466"/>
        <w:spacing w:after="0" w:line="271" w:lineRule="auto"/>
        <w:tabs>
          <w:tab w:leader="none" w:pos="693"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Registrant’s Annual Report on </w:t>
      </w:r>
      <w:hyperlink r:id="rId14">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January 31, 2023 filed on March 3, 2023 (the "</w:t>
      </w:r>
      <w:r>
        <w:rPr>
          <w:rFonts w:ascii="Arial" w:cs="Arial" w:eastAsia="Arial" w:hAnsi="Arial"/>
          <w:sz w:val="17"/>
          <w:szCs w:val="17"/>
          <w:b w:val="1"/>
          <w:bCs w:val="1"/>
          <w:i w:val="1"/>
          <w:iCs w:val="1"/>
          <w:color w:val="auto"/>
        </w:rPr>
        <w:t>Annual Report</w:t>
      </w:r>
      <w:r>
        <w:rPr>
          <w:rFonts w:ascii="Arial" w:cs="Arial" w:eastAsia="Arial" w:hAnsi="Arial"/>
          <w:sz w:val="17"/>
          <w:szCs w:val="17"/>
          <w:color w:val="auto"/>
        </w:rPr>
        <w:t>"), which contains audited financial statements for the Registrant’s latest fiscal year, including the information to be incorporated by reference into the Annual Report from the Registrant’s definitive proxy statement on Schedule 14A, to be filed with the Commission.</w:t>
      </w:r>
    </w:p>
    <w:p>
      <w:pPr>
        <w:spacing w:after="0" w:line="133" w:lineRule="exact"/>
        <w:rPr>
          <w:rFonts w:ascii="Arial" w:cs="Arial" w:eastAsia="Arial" w:hAnsi="Arial"/>
          <w:sz w:val="17"/>
          <w:szCs w:val="17"/>
          <w:color w:val="auto"/>
        </w:rPr>
      </w:pPr>
    </w:p>
    <w:p>
      <w:pPr>
        <w:jc w:val="both"/>
        <w:ind w:firstLine="418"/>
        <w:spacing w:after="0" w:line="271" w:lineRule="auto"/>
        <w:tabs>
          <w:tab w:leader="none" w:pos="672"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description of the Registrant’s Class A Common Stock which is contained in a registration statement on </w:t>
      </w:r>
      <w:hyperlink r:id="rId15">
        <w:r>
          <w:rPr>
            <w:rFonts w:ascii="Arial" w:cs="Arial" w:eastAsia="Arial" w:hAnsi="Arial"/>
            <w:sz w:val="17"/>
            <w:szCs w:val="17"/>
            <w:color w:val="0000FF"/>
          </w:rPr>
          <w:t>Form 8-A</w:t>
        </w:r>
        <w:r>
          <w:rPr>
            <w:rFonts w:ascii="Arial" w:cs="Arial" w:eastAsia="Arial" w:hAnsi="Arial"/>
            <w:sz w:val="17"/>
            <w:szCs w:val="17"/>
            <w:color w:val="auto"/>
          </w:rPr>
          <w:t xml:space="preserve"> </w:t>
        </w:r>
      </w:hyperlink>
      <w:r>
        <w:rPr>
          <w:rFonts w:ascii="Arial" w:cs="Arial" w:eastAsia="Arial" w:hAnsi="Arial"/>
          <w:sz w:val="17"/>
          <w:szCs w:val="17"/>
          <w:color w:val="auto"/>
        </w:rPr>
        <w:t>filed on April 8, 2019 (File No. 001-38865) under the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xml:space="preserve">”), including any amendment or report filed for the purpose of updating such description, including </w:t>
      </w:r>
      <w:hyperlink r:id="rId16">
        <w:r>
          <w:rPr>
            <w:rFonts w:ascii="Arial" w:cs="Arial" w:eastAsia="Arial" w:hAnsi="Arial"/>
            <w:sz w:val="17"/>
            <w:szCs w:val="17"/>
            <w:color w:val="0000FF"/>
          </w:rPr>
          <w:t>Exhibit 4.3</w:t>
        </w:r>
        <w:r>
          <w:rPr>
            <w:rFonts w:ascii="Arial" w:cs="Arial" w:eastAsia="Arial" w:hAnsi="Arial"/>
            <w:sz w:val="17"/>
            <w:szCs w:val="17"/>
            <w:color w:val="auto"/>
          </w:rPr>
          <w:t xml:space="preserve"> </w:t>
        </w:r>
      </w:hyperlink>
      <w:r>
        <w:rPr>
          <w:rFonts w:ascii="Arial" w:cs="Arial" w:eastAsia="Arial" w:hAnsi="Arial"/>
          <w:sz w:val="17"/>
          <w:szCs w:val="17"/>
          <w:color w:val="auto"/>
        </w:rPr>
        <w:t>to the Annual Report.</w:t>
      </w:r>
    </w:p>
    <w:p>
      <w:pPr>
        <w:spacing w:after="0" w:line="133" w:lineRule="exact"/>
        <w:rPr>
          <w:rFonts w:ascii="Arial" w:cs="Arial" w:eastAsia="Arial" w:hAnsi="Arial"/>
          <w:sz w:val="17"/>
          <w:szCs w:val="17"/>
          <w:color w:val="auto"/>
        </w:rPr>
      </w:pPr>
    </w:p>
    <w:p>
      <w:pPr>
        <w:jc w:val="both"/>
        <w:ind w:firstLine="370"/>
        <w:spacing w:after="0" w:line="279" w:lineRule="auto"/>
        <w:tabs>
          <w:tab w:leader="none" w:pos="679"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80" w:type="dxa"/>
            <w:vAlign w:val="bottom"/>
            <w:gridSpan w:val="21"/>
          </w:tcPr>
          <w:p>
            <w:pPr>
              <w:spacing w:after="0"/>
              <w:rPr>
                <w:sz w:val="20"/>
                <w:szCs w:val="20"/>
                <w:color w:val="auto"/>
              </w:rPr>
            </w:pPr>
            <w:r>
              <w:rPr>
                <w:rFonts w:ascii="Arial" w:cs="Arial" w:eastAsia="Arial" w:hAnsi="Arial"/>
                <w:sz w:val="17"/>
                <w:szCs w:val="17"/>
                <w:b w:val="1"/>
                <w:bCs w:val="1"/>
                <w:color w:val="auto"/>
              </w:rPr>
              <w:t>ITEM 8.  EXHIBITS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6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Exhibit</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920" w:type="dxa"/>
            <w:vAlign w:val="bottom"/>
            <w:gridSpan w:val="5"/>
          </w:tcPr>
          <w:p>
            <w:pPr>
              <w:ind w:left="40"/>
              <w:spacing w:after="0"/>
              <w:rPr>
                <w:sz w:val="20"/>
                <w:szCs w:val="20"/>
                <w:color w:val="auto"/>
              </w:rPr>
            </w:pPr>
            <w:r>
              <w:rPr>
                <w:rFonts w:ascii="Arial" w:cs="Arial" w:eastAsia="Arial" w:hAnsi="Arial"/>
                <w:sz w:val="17"/>
                <w:szCs w:val="17"/>
                <w:b w:val="1"/>
                <w:bCs w:val="1"/>
                <w:color w:val="auto"/>
              </w:rPr>
              <w:t>Incorporated by Reference</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116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Number</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12"/>
          </w:tcPr>
          <w:p>
            <w:pPr>
              <w:ind w:left="100"/>
              <w:spacing w:after="0"/>
              <w:rPr>
                <w:sz w:val="20"/>
                <w:szCs w:val="20"/>
                <w:color w:val="auto"/>
              </w:rPr>
            </w:pPr>
            <w:r>
              <w:rPr>
                <w:rFonts w:ascii="Arial" w:cs="Arial" w:eastAsia="Arial" w:hAnsi="Arial"/>
                <w:sz w:val="17"/>
                <w:szCs w:val="17"/>
                <w:b w:val="1"/>
                <w:bCs w:val="1"/>
                <w:color w:val="auto"/>
              </w:rPr>
              <w:t>Description</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center"/>
              <w:ind w:left="213"/>
              <w:spacing w:after="0"/>
              <w:rPr>
                <w:sz w:val="20"/>
                <w:szCs w:val="20"/>
                <w:color w:val="auto"/>
              </w:rPr>
            </w:pPr>
            <w:r>
              <w:rPr>
                <w:rFonts w:ascii="Arial" w:cs="Arial" w:eastAsia="Arial" w:hAnsi="Arial"/>
                <w:sz w:val="17"/>
                <w:szCs w:val="17"/>
                <w:b w:val="1"/>
                <w:bCs w:val="1"/>
                <w:color w:val="auto"/>
                <w:w w:val="98"/>
              </w:rPr>
              <w:t>Form</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File Number</w:t>
            </w:r>
          </w:p>
        </w:tc>
        <w:tc>
          <w:tcPr>
            <w:tcW w:w="100" w:type="dxa"/>
            <w:vAlign w:val="bottom"/>
          </w:tcPr>
          <w:p>
            <w:pPr>
              <w:spacing w:after="0"/>
              <w:rPr>
                <w:sz w:val="19"/>
                <w:szCs w:val="19"/>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Exhibit</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Filing Date</w:t>
            </w:r>
          </w:p>
        </w:tc>
        <w:tc>
          <w:tcPr>
            <w:tcW w:w="0" w:type="dxa"/>
            <w:vAlign w:val="bottom"/>
          </w:tcPr>
          <w:p>
            <w:pPr>
              <w:spacing w:after="0"/>
              <w:rPr>
                <w:sz w:val="1"/>
                <w:szCs w:val="1"/>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7"/>
                <w:szCs w:val="17"/>
                <w:color w:val="auto"/>
              </w:rPr>
              <w:t>4.1</w:t>
            </w:r>
          </w:p>
        </w:tc>
        <w:tc>
          <w:tcPr>
            <w:tcW w:w="100" w:type="dxa"/>
            <w:vAlign w:val="bottom"/>
          </w:tcPr>
          <w:p>
            <w:pPr>
              <w:spacing w:after="0"/>
              <w:rPr>
                <w:sz w:val="15"/>
                <w:szCs w:val="15"/>
                <w:color w:val="auto"/>
              </w:rPr>
            </w:pPr>
          </w:p>
        </w:tc>
        <w:tc>
          <w:tcPr>
            <w:tcW w:w="4220" w:type="dxa"/>
            <w:vAlign w:val="bottom"/>
            <w:gridSpan w:val="19"/>
          </w:tcPr>
          <w:p>
            <w:pPr>
              <w:spacing w:after="0" w:line="176" w:lineRule="exact"/>
              <w:rPr>
                <w:rFonts w:ascii="Arial" w:cs="Arial" w:eastAsia="Arial" w:hAnsi="Arial"/>
                <w:sz w:val="17"/>
                <w:szCs w:val="17"/>
                <w:color w:val="0000FF"/>
              </w:rPr>
            </w:pPr>
            <w:hyperlink r:id="rId17">
              <w:r>
                <w:rPr>
                  <w:rFonts w:ascii="Arial" w:cs="Arial" w:eastAsia="Arial" w:hAnsi="Arial"/>
                  <w:sz w:val="17"/>
                  <w:szCs w:val="17"/>
                  <w:color w:val="0000FF"/>
                </w:rPr>
                <w:t>Amended and Restated Certificate of Incorporation of</w:t>
              </w:r>
            </w:hyperlink>
          </w:p>
        </w:tc>
        <w:tc>
          <w:tcPr>
            <w:tcW w:w="760" w:type="dxa"/>
            <w:vAlign w:val="bottom"/>
          </w:tcPr>
          <w:p>
            <w:pPr>
              <w:jc w:val="center"/>
              <w:ind w:left="193"/>
              <w:spacing w:after="0" w:line="176" w:lineRule="exact"/>
              <w:rPr>
                <w:sz w:val="20"/>
                <w:szCs w:val="20"/>
                <w:color w:val="auto"/>
              </w:rPr>
            </w:pPr>
            <w:r>
              <w:rPr>
                <w:rFonts w:ascii="Arial" w:cs="Arial" w:eastAsia="Arial" w:hAnsi="Arial"/>
                <w:sz w:val="17"/>
                <w:szCs w:val="17"/>
                <w:color w:val="auto"/>
              </w:rPr>
              <w:t>8-K</w:t>
            </w:r>
          </w:p>
        </w:tc>
        <w:tc>
          <w:tcPr>
            <w:tcW w:w="1640" w:type="dxa"/>
            <w:vAlign w:val="bottom"/>
            <w:gridSpan w:val="3"/>
          </w:tcPr>
          <w:p>
            <w:pPr>
              <w:ind w:left="380"/>
              <w:spacing w:after="0" w:line="176" w:lineRule="exact"/>
              <w:rPr>
                <w:sz w:val="20"/>
                <w:szCs w:val="20"/>
                <w:color w:val="auto"/>
              </w:rPr>
            </w:pPr>
            <w:r>
              <w:rPr>
                <w:rFonts w:ascii="Arial" w:cs="Arial" w:eastAsia="Arial" w:hAnsi="Arial"/>
                <w:sz w:val="17"/>
                <w:szCs w:val="17"/>
                <w:color w:val="auto"/>
              </w:rPr>
              <w:t>001-38865</w:t>
            </w:r>
          </w:p>
        </w:tc>
        <w:tc>
          <w:tcPr>
            <w:tcW w:w="1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7"/>
                <w:szCs w:val="17"/>
                <w:color w:val="auto"/>
                <w:w w:val="92"/>
              </w:rPr>
              <w:t>3.1</w:t>
            </w:r>
          </w:p>
        </w:tc>
        <w:tc>
          <w:tcPr>
            <w:tcW w:w="2180" w:type="dxa"/>
            <w:vAlign w:val="bottom"/>
            <w:vMerge w:val="restart"/>
          </w:tcPr>
          <w:p>
            <w:pPr>
              <w:jc w:val="center"/>
              <w:spacing w:after="0"/>
              <w:rPr>
                <w:sz w:val="20"/>
                <w:szCs w:val="20"/>
                <w:color w:val="auto"/>
              </w:rPr>
            </w:pPr>
            <w:r>
              <w:rPr>
                <w:rFonts w:ascii="Arial" w:cs="Arial" w:eastAsia="Arial" w:hAnsi="Arial"/>
                <w:sz w:val="17"/>
                <w:szCs w:val="17"/>
                <w:color w:val="auto"/>
                <w:w w:val="97"/>
              </w:rPr>
              <w:t>April 23, 2019</w:t>
            </w: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tcBorders>
              <w:top w:val="single" w:sz="8" w:color="0000FF"/>
            </w:tcBorders>
            <w:gridSpan w:val="12"/>
          </w:tcPr>
          <w:p>
            <w:pPr>
              <w:spacing w:after="0" w:line="163" w:lineRule="exact"/>
              <w:rPr>
                <w:rFonts w:ascii="Arial" w:cs="Arial" w:eastAsia="Arial" w:hAnsi="Arial"/>
                <w:sz w:val="17"/>
                <w:szCs w:val="17"/>
                <w:color w:val="0000FF"/>
              </w:rPr>
            </w:pPr>
            <w:hyperlink r:id="rId17">
              <w:r>
                <w:rPr>
                  <w:rFonts w:ascii="Arial" w:cs="Arial" w:eastAsia="Arial" w:hAnsi="Arial"/>
                  <w:sz w:val="17"/>
                  <w:szCs w:val="17"/>
                  <w:color w:val="0000FF"/>
                </w:rPr>
                <w:t>Zoom Video Communications, Inc</w:t>
              </w:r>
              <w:r>
                <w:rPr>
                  <w:rFonts w:ascii="Arial" w:cs="Arial" w:eastAsia="Arial" w:hAnsi="Arial"/>
                  <w:sz w:val="17"/>
                  <w:szCs w:val="17"/>
                  <w:color w:val="000000"/>
                </w:rPr>
                <w:t>.</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60" w:type="dxa"/>
            <w:vAlign w:val="bottom"/>
          </w:tcPr>
          <w:p>
            <w:pPr>
              <w:ind w:left="2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7"/>
                <w:szCs w:val="17"/>
                <w:color w:val="auto"/>
              </w:rPr>
            </w:pPr>
          </w:p>
        </w:tc>
        <w:tc>
          <w:tcPr>
            <w:tcW w:w="4220" w:type="dxa"/>
            <w:vAlign w:val="bottom"/>
            <w:gridSpan w:val="19"/>
          </w:tcPr>
          <w:p>
            <w:pPr>
              <w:spacing w:after="0"/>
              <w:rPr>
                <w:rFonts w:ascii="Arial" w:cs="Arial" w:eastAsia="Arial" w:hAnsi="Arial"/>
                <w:sz w:val="17"/>
                <w:szCs w:val="17"/>
                <w:color w:val="0000FF"/>
              </w:rPr>
            </w:pPr>
            <w:hyperlink r:id="rId18">
              <w:r>
                <w:rPr>
                  <w:rFonts w:ascii="Arial" w:cs="Arial" w:eastAsia="Arial" w:hAnsi="Arial"/>
                  <w:sz w:val="17"/>
                  <w:szCs w:val="17"/>
                  <w:color w:val="0000FF"/>
                </w:rPr>
                <w:t>Amended and Restated Bylaws of Zoom Video</w:t>
              </w:r>
            </w:hyperlink>
          </w:p>
        </w:tc>
        <w:tc>
          <w:tcPr>
            <w:tcW w:w="760" w:type="dxa"/>
            <w:vAlign w:val="bottom"/>
          </w:tcPr>
          <w:p>
            <w:pPr>
              <w:jc w:val="center"/>
              <w:ind w:left="193"/>
              <w:spacing w:after="0"/>
              <w:rPr>
                <w:sz w:val="20"/>
                <w:szCs w:val="20"/>
                <w:color w:val="auto"/>
              </w:rPr>
            </w:pPr>
            <w:r>
              <w:rPr>
                <w:rFonts w:ascii="Arial" w:cs="Arial" w:eastAsia="Arial" w:hAnsi="Arial"/>
                <w:sz w:val="17"/>
                <w:szCs w:val="17"/>
                <w:color w:val="auto"/>
              </w:rPr>
              <w:t>10-K</w:t>
            </w:r>
          </w:p>
        </w:tc>
        <w:tc>
          <w:tcPr>
            <w:tcW w:w="1640" w:type="dxa"/>
            <w:vAlign w:val="bottom"/>
            <w:gridSpan w:val="3"/>
          </w:tcPr>
          <w:p>
            <w:pPr>
              <w:ind w:left="380"/>
              <w:spacing w:after="0"/>
              <w:rPr>
                <w:sz w:val="20"/>
                <w:szCs w:val="20"/>
                <w:color w:val="auto"/>
              </w:rPr>
            </w:pPr>
            <w:r>
              <w:rPr>
                <w:rFonts w:ascii="Arial" w:cs="Arial" w:eastAsia="Arial" w:hAnsi="Arial"/>
                <w:sz w:val="17"/>
                <w:szCs w:val="17"/>
                <w:color w:val="auto"/>
              </w:rPr>
              <w:t>001-38865</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2180" w:type="dxa"/>
            <w:vAlign w:val="bottom"/>
            <w:vMerge w:val="restart"/>
          </w:tcPr>
          <w:p>
            <w:pPr>
              <w:jc w:val="center"/>
              <w:spacing w:after="0"/>
              <w:rPr>
                <w:sz w:val="20"/>
                <w:szCs w:val="20"/>
                <w:color w:val="auto"/>
              </w:rPr>
            </w:pPr>
            <w:r>
              <w:rPr>
                <w:rFonts w:ascii="Arial" w:cs="Arial" w:eastAsia="Arial" w:hAnsi="Arial"/>
                <w:sz w:val="17"/>
                <w:szCs w:val="17"/>
                <w:color w:val="auto"/>
                <w:w w:val="93"/>
              </w:rPr>
              <w:t>March 3, 2023</w:t>
            </w: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tcBorders>
              <w:top w:val="single" w:sz="8" w:color="0000FF"/>
            </w:tcBorders>
            <w:gridSpan w:val="9"/>
          </w:tcPr>
          <w:p>
            <w:pPr>
              <w:spacing w:after="0" w:line="163" w:lineRule="exact"/>
              <w:rPr>
                <w:rFonts w:ascii="Arial" w:cs="Arial" w:eastAsia="Arial" w:hAnsi="Arial"/>
                <w:sz w:val="17"/>
                <w:szCs w:val="17"/>
                <w:color w:val="0000FF"/>
              </w:rPr>
            </w:pPr>
            <w:hyperlink r:id="rId18">
              <w:r>
                <w:rPr>
                  <w:rFonts w:ascii="Arial" w:cs="Arial" w:eastAsia="Arial" w:hAnsi="Arial"/>
                  <w:sz w:val="17"/>
                  <w:szCs w:val="17"/>
                  <w:color w:val="0000FF"/>
                </w:rPr>
                <w:t>Communications, Inc.</w:t>
              </w:r>
            </w:hyperlink>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60" w:type="dxa"/>
            <w:vAlign w:val="bottom"/>
          </w:tcPr>
          <w:p>
            <w:pPr>
              <w:ind w:left="20"/>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7"/>
                <w:szCs w:val="17"/>
                <w:color w:val="auto"/>
              </w:rPr>
            </w:pPr>
          </w:p>
        </w:tc>
        <w:tc>
          <w:tcPr>
            <w:tcW w:w="4220" w:type="dxa"/>
            <w:vAlign w:val="bottom"/>
            <w:gridSpan w:val="19"/>
          </w:tcPr>
          <w:p>
            <w:pPr>
              <w:spacing w:after="0"/>
              <w:rPr>
                <w:rFonts w:ascii="Arial" w:cs="Arial" w:eastAsia="Arial" w:hAnsi="Arial"/>
                <w:sz w:val="17"/>
                <w:szCs w:val="17"/>
                <w:color w:val="0000FF"/>
              </w:rPr>
            </w:pPr>
            <w:hyperlink r:id="rId19">
              <w:r>
                <w:rPr>
                  <w:rFonts w:ascii="Arial" w:cs="Arial" w:eastAsia="Arial" w:hAnsi="Arial"/>
                  <w:sz w:val="17"/>
                  <w:szCs w:val="17"/>
                  <w:color w:val="0000FF"/>
                </w:rPr>
                <w:t>Form of Class A common stock certificate of the</w:t>
              </w:r>
            </w:hyperlink>
          </w:p>
        </w:tc>
        <w:tc>
          <w:tcPr>
            <w:tcW w:w="760" w:type="dxa"/>
            <w:vAlign w:val="bottom"/>
          </w:tcPr>
          <w:p>
            <w:pPr>
              <w:jc w:val="center"/>
              <w:ind w:left="213"/>
              <w:spacing w:after="0"/>
              <w:rPr>
                <w:sz w:val="20"/>
                <w:szCs w:val="20"/>
                <w:color w:val="auto"/>
              </w:rPr>
            </w:pPr>
            <w:r>
              <w:rPr>
                <w:rFonts w:ascii="Arial" w:cs="Arial" w:eastAsia="Arial" w:hAnsi="Arial"/>
                <w:sz w:val="17"/>
                <w:szCs w:val="17"/>
                <w:color w:val="auto"/>
                <w:w w:val="98"/>
              </w:rPr>
              <w:t>S-1/A</w:t>
            </w:r>
          </w:p>
        </w:tc>
        <w:tc>
          <w:tcPr>
            <w:tcW w:w="1640" w:type="dxa"/>
            <w:vAlign w:val="bottom"/>
            <w:gridSpan w:val="3"/>
          </w:tcPr>
          <w:p>
            <w:pPr>
              <w:ind w:left="380"/>
              <w:spacing w:after="0"/>
              <w:rPr>
                <w:sz w:val="20"/>
                <w:szCs w:val="20"/>
                <w:color w:val="auto"/>
              </w:rPr>
            </w:pPr>
            <w:r>
              <w:rPr>
                <w:rFonts w:ascii="Arial" w:cs="Arial" w:eastAsia="Arial" w:hAnsi="Arial"/>
                <w:sz w:val="17"/>
                <w:szCs w:val="17"/>
                <w:color w:val="auto"/>
              </w:rPr>
              <w:t>333-230444</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2180" w:type="dxa"/>
            <w:vAlign w:val="bottom"/>
            <w:vMerge w:val="restart"/>
          </w:tcPr>
          <w:p>
            <w:pPr>
              <w:jc w:val="center"/>
              <w:spacing w:after="0"/>
              <w:rPr>
                <w:sz w:val="20"/>
                <w:szCs w:val="20"/>
                <w:color w:val="auto"/>
              </w:rPr>
            </w:pPr>
            <w:r>
              <w:rPr>
                <w:rFonts w:ascii="Arial" w:cs="Arial" w:eastAsia="Arial" w:hAnsi="Arial"/>
                <w:sz w:val="17"/>
                <w:szCs w:val="17"/>
                <w:color w:val="auto"/>
                <w:w w:val="98"/>
              </w:rPr>
              <w:t>April 8, 2019</w:t>
            </w: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0" w:type="dxa"/>
            <w:vAlign w:val="bottom"/>
            <w:tcBorders>
              <w:top w:val="single" w:sz="8" w:color="0000FF"/>
            </w:tcBorders>
            <w:gridSpan w:val="10"/>
          </w:tcPr>
          <w:p>
            <w:pPr>
              <w:spacing w:after="0" w:line="163" w:lineRule="exact"/>
              <w:rPr>
                <w:rFonts w:ascii="Arial" w:cs="Arial" w:eastAsia="Arial" w:hAnsi="Arial"/>
                <w:sz w:val="17"/>
                <w:szCs w:val="17"/>
                <w:color w:val="0000FF"/>
              </w:rPr>
            </w:pPr>
            <w:hyperlink r:id="rId19">
              <w:r>
                <w:rPr>
                  <w:rFonts w:ascii="Arial" w:cs="Arial" w:eastAsia="Arial" w:hAnsi="Arial"/>
                  <w:sz w:val="17"/>
                  <w:szCs w:val="17"/>
                  <w:color w:val="0000FF"/>
                </w:rPr>
                <w:t>Registrant.</w:t>
              </w:r>
            </w:hyperlink>
          </w:p>
        </w:tc>
        <w:tc>
          <w:tcPr>
            <w:tcW w:w="6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gridSpan w:val="19"/>
          </w:tcPr>
          <w:p>
            <w:pPr>
              <w:spacing w:after="0"/>
              <w:rPr>
                <w:sz w:val="20"/>
                <w:szCs w:val="20"/>
                <w:color w:val="auto"/>
              </w:rPr>
            </w:pPr>
            <w:r>
              <w:rPr>
                <w:rFonts w:ascii="Arial" w:cs="Arial" w:eastAsia="Arial" w:hAnsi="Arial"/>
                <w:sz w:val="17"/>
                <w:szCs w:val="17"/>
                <w:color w:val="0000FF"/>
              </w:rPr>
              <w:t>Opinion of Cooley LLP.</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60" w:type="dxa"/>
            <w:vAlign w:val="bottom"/>
          </w:tcPr>
          <w:p>
            <w:pPr>
              <w:ind w:left="20"/>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20"/>
                <w:szCs w:val="20"/>
                <w:color w:val="auto"/>
              </w:rPr>
            </w:pPr>
          </w:p>
        </w:tc>
        <w:tc>
          <w:tcPr>
            <w:tcW w:w="4220" w:type="dxa"/>
            <w:vAlign w:val="bottom"/>
            <w:gridSpan w:val="19"/>
          </w:tcPr>
          <w:p>
            <w:pPr>
              <w:spacing w:after="0"/>
              <w:rPr>
                <w:sz w:val="20"/>
                <w:szCs w:val="20"/>
                <w:color w:val="auto"/>
              </w:rPr>
            </w:pPr>
            <w:r>
              <w:rPr>
                <w:rFonts w:ascii="Arial" w:cs="Arial" w:eastAsia="Arial" w:hAnsi="Arial"/>
                <w:sz w:val="17"/>
                <w:szCs w:val="17"/>
                <w:color w:val="0000FF"/>
              </w:rPr>
              <w:t>Consent of Cooley LLP (included in Exhibit 5.1).</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20" w:type="dxa"/>
            <w:vAlign w:val="bottom"/>
            <w:gridSpan w:val="6"/>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60" w:type="dxa"/>
            <w:vAlign w:val="bottom"/>
          </w:tcPr>
          <w:p>
            <w:pPr>
              <w:ind w:left="20"/>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8"/>
                <w:szCs w:val="18"/>
                <w:color w:val="auto"/>
              </w:rPr>
            </w:pPr>
          </w:p>
        </w:tc>
        <w:tc>
          <w:tcPr>
            <w:tcW w:w="4220" w:type="dxa"/>
            <w:vAlign w:val="bottom"/>
            <w:gridSpan w:val="19"/>
          </w:tcPr>
          <w:p>
            <w:pPr>
              <w:spacing w:after="0"/>
              <w:rPr>
                <w:sz w:val="20"/>
                <w:szCs w:val="20"/>
                <w:color w:val="auto"/>
              </w:rPr>
            </w:pPr>
            <w:r>
              <w:rPr>
                <w:rFonts w:ascii="Arial" w:cs="Arial" w:eastAsia="Arial" w:hAnsi="Arial"/>
                <w:sz w:val="17"/>
                <w:szCs w:val="17"/>
                <w:color w:val="0000FF"/>
              </w:rPr>
              <w:t>Consent of KPMG LLP, Independent Registered Public</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80" w:type="dxa"/>
            <w:vAlign w:val="bottom"/>
            <w:tcBorders>
              <w:top w:val="single" w:sz="8" w:color="0000FF"/>
            </w:tcBorders>
            <w:gridSpan w:val="14"/>
          </w:tcPr>
          <w:p>
            <w:pPr>
              <w:spacing w:after="0" w:line="163" w:lineRule="exact"/>
              <w:rPr>
                <w:sz w:val="20"/>
                <w:szCs w:val="20"/>
                <w:color w:val="auto"/>
              </w:rPr>
            </w:pPr>
            <w:r>
              <w:rPr>
                <w:rFonts w:ascii="Arial" w:cs="Arial" w:eastAsia="Arial" w:hAnsi="Arial"/>
                <w:sz w:val="17"/>
                <w:szCs w:val="17"/>
                <w:color w:val="0000FF"/>
              </w:rPr>
              <w:t>Accounting Firm.</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60" w:type="dxa"/>
            <w:vAlign w:val="bottom"/>
          </w:tcPr>
          <w:p>
            <w:pPr>
              <w:ind w:left="20"/>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17"/>
                <w:szCs w:val="17"/>
                <w:color w:val="auto"/>
              </w:rPr>
            </w:pPr>
          </w:p>
        </w:tc>
        <w:tc>
          <w:tcPr>
            <w:tcW w:w="4220" w:type="dxa"/>
            <w:vAlign w:val="bottom"/>
            <w:gridSpan w:val="19"/>
          </w:tcPr>
          <w:p>
            <w:pPr>
              <w:spacing w:after="0"/>
              <w:rPr>
                <w:sz w:val="20"/>
                <w:szCs w:val="20"/>
                <w:color w:val="auto"/>
              </w:rPr>
            </w:pPr>
            <w:r>
              <w:rPr>
                <w:rFonts w:ascii="Arial" w:cs="Arial" w:eastAsia="Arial" w:hAnsi="Arial"/>
                <w:sz w:val="17"/>
                <w:szCs w:val="17"/>
                <w:color w:val="0000FF"/>
                <w:w w:val="98"/>
              </w:rPr>
              <w:t>Power of Attorney (included on the signature page of this</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0000FF"/>
              <w:bottom w:val="single" w:sz="8" w:color="0000FF"/>
            </w:tcBorders>
            <w:gridSpan w:val="2"/>
          </w:tcPr>
          <w:p>
            <w:pPr>
              <w:spacing w:after="0" w:line="163" w:lineRule="exact"/>
              <w:rPr>
                <w:sz w:val="20"/>
                <w:szCs w:val="20"/>
                <w:color w:val="auto"/>
              </w:rPr>
            </w:pPr>
            <w:r>
              <w:rPr>
                <w:rFonts w:ascii="Arial" w:cs="Arial" w:eastAsia="Arial" w:hAnsi="Arial"/>
                <w:sz w:val="17"/>
                <w:szCs w:val="17"/>
                <w:color w:val="0000FF"/>
                <w:w w:val="93"/>
              </w:rPr>
              <w:t>Form S-8).</w:t>
            </w:r>
          </w:p>
        </w:tc>
        <w:tc>
          <w:tcPr>
            <w:tcW w:w="3220" w:type="dxa"/>
            <w:vAlign w:val="bottom"/>
            <w:tcBorders>
              <w:top w:val="single" w:sz="8" w:color="0000FF"/>
            </w:tcBorders>
            <w:gridSpan w:val="1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17"/>
                <w:szCs w:val="17"/>
                <w:color w:val="auto"/>
              </w:rPr>
            </w:pPr>
          </w:p>
        </w:tc>
        <w:tc>
          <w:tcPr>
            <w:tcW w:w="4220" w:type="dxa"/>
            <w:vAlign w:val="bottom"/>
            <w:gridSpan w:val="19"/>
          </w:tcPr>
          <w:p>
            <w:pPr>
              <w:spacing w:after="0"/>
              <w:rPr>
                <w:rFonts w:ascii="Arial" w:cs="Arial" w:eastAsia="Arial" w:hAnsi="Arial"/>
                <w:sz w:val="17"/>
                <w:szCs w:val="17"/>
                <w:color w:val="0000FF"/>
                <w:w w:val="98"/>
              </w:rPr>
            </w:pPr>
            <w:hyperlink r:id="rId20">
              <w:r>
                <w:rPr>
                  <w:rFonts w:ascii="Arial" w:cs="Arial" w:eastAsia="Arial" w:hAnsi="Arial"/>
                  <w:sz w:val="17"/>
                  <w:szCs w:val="17"/>
                  <w:color w:val="0000FF"/>
                  <w:w w:val="98"/>
                </w:rPr>
                <w:t>Zoom Video Communications, Inc. 2019 Equity Incentive</w:t>
              </w:r>
            </w:hyperlink>
          </w:p>
        </w:tc>
        <w:tc>
          <w:tcPr>
            <w:tcW w:w="760" w:type="dxa"/>
            <w:vAlign w:val="bottom"/>
          </w:tcPr>
          <w:p>
            <w:pPr>
              <w:jc w:val="center"/>
              <w:ind w:left="193"/>
              <w:spacing w:after="0"/>
              <w:rPr>
                <w:sz w:val="20"/>
                <w:szCs w:val="20"/>
                <w:color w:val="auto"/>
              </w:rPr>
            </w:pPr>
            <w:r>
              <w:rPr>
                <w:rFonts w:ascii="Arial" w:cs="Arial" w:eastAsia="Arial" w:hAnsi="Arial"/>
                <w:sz w:val="17"/>
                <w:szCs w:val="17"/>
                <w:color w:val="auto"/>
                <w:w w:val="95"/>
              </w:rPr>
              <w:t>10-Q</w:t>
            </w:r>
          </w:p>
        </w:tc>
        <w:tc>
          <w:tcPr>
            <w:tcW w:w="1640" w:type="dxa"/>
            <w:vAlign w:val="bottom"/>
            <w:gridSpan w:val="3"/>
          </w:tcPr>
          <w:p>
            <w:pPr>
              <w:ind w:left="380"/>
              <w:spacing w:after="0"/>
              <w:rPr>
                <w:sz w:val="20"/>
                <w:szCs w:val="20"/>
                <w:color w:val="auto"/>
              </w:rPr>
            </w:pPr>
            <w:r>
              <w:rPr>
                <w:rFonts w:ascii="Arial" w:cs="Arial" w:eastAsia="Arial" w:hAnsi="Arial"/>
                <w:sz w:val="17"/>
                <w:szCs w:val="17"/>
                <w:color w:val="auto"/>
              </w:rPr>
              <w:t>001-38865</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2180" w:type="dxa"/>
            <w:vAlign w:val="bottom"/>
            <w:vMerge w:val="restart"/>
          </w:tcPr>
          <w:p>
            <w:pPr>
              <w:jc w:val="center"/>
              <w:spacing w:after="0"/>
              <w:rPr>
                <w:sz w:val="20"/>
                <w:szCs w:val="20"/>
                <w:color w:val="auto"/>
              </w:rPr>
            </w:pPr>
            <w:r>
              <w:rPr>
                <w:rFonts w:ascii="Arial" w:cs="Arial" w:eastAsia="Arial" w:hAnsi="Arial"/>
                <w:sz w:val="17"/>
                <w:szCs w:val="17"/>
                <w:color w:val="auto"/>
                <w:w w:val="92"/>
              </w:rPr>
              <w:t>November 23, 2022</w:t>
            </w: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60" w:type="dxa"/>
            <w:vAlign w:val="bottom"/>
            <w:tcBorders>
              <w:top w:val="single" w:sz="8" w:color="0000FF"/>
              <w:bottom w:val="single" w:sz="8" w:color="0000FF"/>
            </w:tcBorders>
            <w:gridSpan w:val="13"/>
          </w:tcPr>
          <w:p>
            <w:pPr>
              <w:spacing w:after="0" w:line="163" w:lineRule="exact"/>
              <w:rPr>
                <w:rFonts w:ascii="Arial" w:cs="Arial" w:eastAsia="Arial" w:hAnsi="Arial"/>
                <w:sz w:val="17"/>
                <w:szCs w:val="17"/>
                <w:color w:val="0000FF"/>
                <w:w w:val="89"/>
              </w:rPr>
            </w:pPr>
            <w:hyperlink r:id="rId20">
              <w:r>
                <w:rPr>
                  <w:rFonts w:ascii="Arial" w:cs="Arial" w:eastAsia="Arial" w:hAnsi="Arial"/>
                  <w:sz w:val="17"/>
                  <w:szCs w:val="17"/>
                  <w:color w:val="0000FF"/>
                  <w:w w:val="89"/>
                </w:rPr>
                <w:t>Plan, as amended, and forms of agreements thereunder.</w:t>
              </w:r>
            </w:hyperlink>
          </w:p>
        </w:tc>
        <w:tc>
          <w:tcPr>
            <w:tcW w:w="200" w:type="dxa"/>
            <w:vAlign w:val="bottom"/>
            <w:tcBorders>
              <w:top w:val="single" w:sz="8" w:color="0000FF"/>
            </w:tcBorders>
            <w:gridSpan w:val="4"/>
          </w:tcPr>
          <w:p>
            <w:pPr>
              <w:spacing w:after="0"/>
              <w:rPr>
                <w:sz w:val="14"/>
                <w:szCs w:val="14"/>
                <w:color w:val="auto"/>
              </w:rPr>
            </w:pPr>
          </w:p>
        </w:tc>
        <w:tc>
          <w:tcPr>
            <w:tcW w:w="1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rPr>
                <w:sz w:val="20"/>
                <w:szCs w:val="20"/>
                <w:color w:val="auto"/>
              </w:rPr>
            </w:pPr>
            <w:r>
              <w:rPr>
                <w:rFonts w:ascii="Arial" w:cs="Arial" w:eastAsia="Arial" w:hAnsi="Arial"/>
                <w:sz w:val="17"/>
                <w:szCs w:val="17"/>
                <w:color w:val="auto"/>
              </w:rPr>
              <w:t>99.2</w:t>
            </w:r>
          </w:p>
        </w:tc>
        <w:tc>
          <w:tcPr>
            <w:tcW w:w="100" w:type="dxa"/>
            <w:vAlign w:val="bottom"/>
          </w:tcPr>
          <w:p>
            <w:pPr>
              <w:spacing w:after="0"/>
              <w:rPr>
                <w:sz w:val="17"/>
                <w:szCs w:val="17"/>
                <w:color w:val="auto"/>
              </w:rPr>
            </w:pPr>
          </w:p>
        </w:tc>
        <w:tc>
          <w:tcPr>
            <w:tcW w:w="4220" w:type="dxa"/>
            <w:vAlign w:val="bottom"/>
            <w:gridSpan w:val="19"/>
          </w:tcPr>
          <w:p>
            <w:pPr>
              <w:spacing w:after="0"/>
              <w:rPr>
                <w:rFonts w:ascii="Arial" w:cs="Arial" w:eastAsia="Arial" w:hAnsi="Arial"/>
                <w:sz w:val="17"/>
                <w:szCs w:val="17"/>
                <w:color w:val="0000FF"/>
                <w:w w:val="97"/>
              </w:rPr>
            </w:pPr>
            <w:hyperlink r:id="rId21">
              <w:r>
                <w:rPr>
                  <w:rFonts w:ascii="Arial" w:cs="Arial" w:eastAsia="Arial" w:hAnsi="Arial"/>
                  <w:sz w:val="17"/>
                  <w:szCs w:val="17"/>
                  <w:color w:val="0000FF"/>
                  <w:w w:val="97"/>
                </w:rPr>
                <w:t>Zoom Video Communications, Inc. 2019 Employee Stock</w:t>
              </w:r>
            </w:hyperlink>
          </w:p>
        </w:tc>
        <w:tc>
          <w:tcPr>
            <w:tcW w:w="760" w:type="dxa"/>
            <w:vAlign w:val="bottom"/>
          </w:tcPr>
          <w:p>
            <w:pPr>
              <w:jc w:val="center"/>
              <w:ind w:left="213"/>
              <w:spacing w:after="0"/>
              <w:rPr>
                <w:sz w:val="20"/>
                <w:szCs w:val="20"/>
                <w:color w:val="auto"/>
              </w:rPr>
            </w:pPr>
            <w:r>
              <w:rPr>
                <w:rFonts w:ascii="Arial" w:cs="Arial" w:eastAsia="Arial" w:hAnsi="Arial"/>
                <w:sz w:val="17"/>
                <w:szCs w:val="17"/>
                <w:color w:val="auto"/>
                <w:w w:val="98"/>
              </w:rPr>
              <w:t>S-1/A</w:t>
            </w:r>
          </w:p>
        </w:tc>
        <w:tc>
          <w:tcPr>
            <w:tcW w:w="1640" w:type="dxa"/>
            <w:vAlign w:val="bottom"/>
            <w:gridSpan w:val="3"/>
          </w:tcPr>
          <w:p>
            <w:pPr>
              <w:ind w:left="380"/>
              <w:spacing w:after="0"/>
              <w:rPr>
                <w:sz w:val="20"/>
                <w:szCs w:val="20"/>
                <w:color w:val="auto"/>
              </w:rPr>
            </w:pPr>
            <w:r>
              <w:rPr>
                <w:rFonts w:ascii="Arial" w:cs="Arial" w:eastAsia="Arial" w:hAnsi="Arial"/>
                <w:sz w:val="17"/>
                <w:szCs w:val="17"/>
                <w:color w:val="auto"/>
              </w:rPr>
              <w:t>333-230444</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10.3</w:t>
            </w:r>
          </w:p>
        </w:tc>
        <w:tc>
          <w:tcPr>
            <w:tcW w:w="2180" w:type="dxa"/>
            <w:vAlign w:val="bottom"/>
            <w:vMerge w:val="restart"/>
          </w:tcPr>
          <w:p>
            <w:pPr>
              <w:jc w:val="center"/>
              <w:spacing w:after="0"/>
              <w:rPr>
                <w:sz w:val="20"/>
                <w:szCs w:val="20"/>
                <w:color w:val="auto"/>
              </w:rPr>
            </w:pPr>
            <w:r>
              <w:rPr>
                <w:rFonts w:ascii="Arial" w:cs="Arial" w:eastAsia="Arial" w:hAnsi="Arial"/>
                <w:sz w:val="17"/>
                <w:szCs w:val="17"/>
                <w:color w:val="auto"/>
                <w:w w:val="98"/>
              </w:rPr>
              <w:t>April 8, 2019</w:t>
            </w: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0000FF"/>
              <w:bottom w:val="single" w:sz="8" w:color="0000FF"/>
            </w:tcBorders>
            <w:gridSpan w:val="3"/>
          </w:tcPr>
          <w:p>
            <w:pPr>
              <w:spacing w:after="0" w:line="163" w:lineRule="exact"/>
              <w:rPr>
                <w:rFonts w:ascii="Arial" w:cs="Arial" w:eastAsia="Arial" w:hAnsi="Arial"/>
                <w:sz w:val="17"/>
                <w:szCs w:val="17"/>
                <w:color w:val="0000FF"/>
                <w:w w:val="88"/>
              </w:rPr>
            </w:pPr>
            <w:hyperlink r:id="rId21">
              <w:r>
                <w:rPr>
                  <w:rFonts w:ascii="Arial" w:cs="Arial" w:eastAsia="Arial" w:hAnsi="Arial"/>
                  <w:sz w:val="17"/>
                  <w:szCs w:val="17"/>
                  <w:color w:val="0000FF"/>
                  <w:w w:val="88"/>
                </w:rPr>
                <w:t>Purchase Plan.</w:t>
              </w:r>
            </w:hyperlink>
          </w:p>
        </w:tc>
        <w:tc>
          <w:tcPr>
            <w:tcW w:w="3000" w:type="dxa"/>
            <w:vAlign w:val="bottom"/>
            <w:tcBorders>
              <w:top w:val="single" w:sz="8" w:color="0000FF"/>
            </w:tcBorders>
            <w:gridSpan w:val="13"/>
          </w:tcPr>
          <w:p>
            <w:pPr>
              <w:spacing w:after="0"/>
              <w:rPr>
                <w:sz w:val="14"/>
                <w:szCs w:val="14"/>
                <w:color w:val="auto"/>
              </w:rPr>
            </w:pPr>
          </w:p>
        </w:tc>
        <w:tc>
          <w:tcPr>
            <w:tcW w:w="18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7"/>
                <w:szCs w:val="17"/>
                <w:color w:val="auto"/>
              </w:rPr>
            </w:pPr>
          </w:p>
        </w:tc>
        <w:tc>
          <w:tcPr>
            <w:tcW w:w="4220" w:type="dxa"/>
            <w:vAlign w:val="bottom"/>
            <w:gridSpan w:val="19"/>
          </w:tcPr>
          <w:p>
            <w:pPr>
              <w:spacing w:after="0"/>
              <w:rPr>
                <w:sz w:val="20"/>
                <w:szCs w:val="20"/>
                <w:color w:val="auto"/>
              </w:rPr>
            </w:pPr>
            <w:r>
              <w:rPr>
                <w:rFonts w:ascii="Arial" w:cs="Arial" w:eastAsia="Arial" w:hAnsi="Arial"/>
                <w:sz w:val="17"/>
                <w:szCs w:val="17"/>
                <w:color w:val="0000FF"/>
              </w:rPr>
              <w:t>Filing Fee Table</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top w:val="single" w:sz="8" w:color="0000FF"/>
              <w:bottom w:val="single" w:sz="8" w:color="auto"/>
            </w:tcBorders>
          </w:tcPr>
          <w:p>
            <w:pPr>
              <w:spacing w:after="0"/>
              <w:rPr>
                <w:sz w:val="10"/>
                <w:szCs w:val="10"/>
                <w:color w:val="auto"/>
              </w:rPr>
            </w:pPr>
          </w:p>
        </w:tc>
        <w:tc>
          <w:tcPr>
            <w:tcW w:w="20" w:type="dxa"/>
            <w:vAlign w:val="bottom"/>
            <w:tcBorders>
              <w:top w:val="single" w:sz="8" w:color="0000FF"/>
              <w:bottom w:val="single" w:sz="8" w:color="auto"/>
            </w:tcBorders>
          </w:tcPr>
          <w:p>
            <w:pPr>
              <w:spacing w:after="0"/>
              <w:rPr>
                <w:sz w:val="10"/>
                <w:szCs w:val="10"/>
                <w:color w:val="auto"/>
              </w:rPr>
            </w:pPr>
          </w:p>
        </w:tc>
        <w:tc>
          <w:tcPr>
            <w:tcW w:w="260" w:type="dxa"/>
            <w:vAlign w:val="bottom"/>
            <w:tcBorders>
              <w:top w:val="single" w:sz="8" w:color="0000FF"/>
              <w:bottom w:val="single" w:sz="8" w:color="auto"/>
            </w:tcBorders>
          </w:tcPr>
          <w:p>
            <w:pPr>
              <w:spacing w:after="0"/>
              <w:rPr>
                <w:sz w:val="10"/>
                <w:szCs w:val="10"/>
                <w:color w:val="auto"/>
              </w:rPr>
            </w:pPr>
          </w:p>
        </w:tc>
        <w:tc>
          <w:tcPr>
            <w:tcW w:w="100" w:type="dxa"/>
            <w:vAlign w:val="bottom"/>
            <w:tcBorders>
              <w:top w:val="single" w:sz="8" w:color="0000FF"/>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80"/>
        <w:spacing w:after="0"/>
        <w:rPr>
          <w:sz w:val="20"/>
          <w:szCs w:val="20"/>
          <w:color w:val="auto"/>
        </w:rPr>
      </w:pPr>
      <w:r>
        <w:rPr>
          <w:rFonts w:ascii="Arial" w:cs="Arial" w:eastAsia="Arial" w:hAnsi="Arial"/>
          <w:sz w:val="17"/>
          <w:szCs w:val="17"/>
          <w:color w:val="auto"/>
        </w:rPr>
        <w:t>* Filed herewith</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jc w:val="both"/>
        <w:ind w:right="100" w:firstLine="626"/>
        <w:spacing w:after="0" w:line="271"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this 3rd day of March, 2023.</w:t>
      </w:r>
    </w:p>
    <w:p>
      <w:pPr>
        <w:spacing w:after="0" w:line="101" w:lineRule="exact"/>
        <w:rPr>
          <w:sz w:val="20"/>
          <w:szCs w:val="20"/>
          <w:color w:val="auto"/>
        </w:rPr>
      </w:pPr>
    </w:p>
    <w:p>
      <w:pPr>
        <w:ind w:left="6720"/>
        <w:spacing w:after="0"/>
        <w:rPr>
          <w:sz w:val="20"/>
          <w:szCs w:val="20"/>
          <w:color w:val="auto"/>
        </w:rPr>
      </w:pPr>
      <w:r>
        <w:rPr>
          <w:rFonts w:ascii="Arial" w:cs="Arial" w:eastAsia="Arial" w:hAnsi="Arial"/>
          <w:sz w:val="17"/>
          <w:szCs w:val="17"/>
          <w:b w:val="1"/>
          <w:bCs w:val="1"/>
          <w:color w:val="auto"/>
        </w:rPr>
        <w:t>ZOOM VIDEO COMMUNICATIONS, INC.</w:t>
      </w:r>
    </w:p>
    <w:p>
      <w:pPr>
        <w:spacing w:after="0" w:line="280" w:lineRule="exact"/>
        <w:rPr>
          <w:sz w:val="20"/>
          <w:szCs w:val="20"/>
          <w:color w:val="auto"/>
        </w:rPr>
      </w:pPr>
    </w:p>
    <w:tbl>
      <w:tblPr>
        <w:tblLayout w:type="fixed"/>
        <w:tblInd w:w="6720" w:type="dxa"/>
        <w:tblCellMar>
          <w:top w:w="0" w:type="dxa"/>
          <w:left w:w="0" w:type="dxa"/>
          <w:bottom w:w="0" w:type="dxa"/>
          <w:right w:w="0" w:type="dxa"/>
        </w:tblCellMar>
      </w:tblPr>
      <w:tr>
        <w:trPr>
          <w:trHeight w:val="221"/>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Eric S. Yuan</w:t>
            </w:r>
          </w:p>
        </w:tc>
      </w:tr>
      <w:tr>
        <w:trPr>
          <w:trHeight w:val="215"/>
        </w:trPr>
        <w:tc>
          <w:tcPr>
            <w:tcW w:w="54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Arial" w:cs="Arial" w:eastAsia="Arial" w:hAnsi="Arial"/>
                <w:sz w:val="17"/>
                <w:szCs w:val="17"/>
                <w:color w:val="auto"/>
              </w:rPr>
              <w:t>Eric S. Yuan</w:t>
            </w:r>
          </w:p>
        </w:tc>
      </w:tr>
      <w:tr>
        <w:trPr>
          <w:trHeight w:val="222"/>
        </w:trPr>
        <w:tc>
          <w:tcPr>
            <w:tcW w:w="54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7"/>
                <w:szCs w:val="17"/>
                <w:color w:val="auto"/>
              </w:rPr>
              <w:t>President and Chief Executive Officer</w:t>
            </w:r>
          </w:p>
        </w:tc>
      </w:tr>
      <w:tr>
        <w:trPr>
          <w:trHeight w:val="222"/>
        </w:trPr>
        <w:tc>
          <w:tcPr>
            <w:tcW w:w="54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7"/>
                <w:szCs w:val="17"/>
                <w:i w:val="1"/>
                <w:iCs w:val="1"/>
                <w:color w:val="auto"/>
              </w:rPr>
              <w:t>(Principal Executive Officer)</w:t>
            </w:r>
          </w:p>
        </w:tc>
      </w:tr>
    </w:tbl>
    <w:p>
      <w:pPr>
        <w:sectPr>
          <w:pgSz w:w="11900" w:h="16838" w:orient="portrait"/>
          <w:cols w:equalWidth="0" w:num="1">
            <w:col w:w="11340"/>
          </w:cols>
          <w:pgMar w:left="320" w:top="144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17"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Eric S. Yuan, Kelly Steckelberg and</w:t>
      </w:r>
      <w:r>
        <w:rPr>
          <w:rFonts w:ascii="Arial" w:cs="Arial" w:eastAsia="Arial" w:hAnsi="Arial"/>
          <w:sz w:val="16"/>
          <w:szCs w:val="16"/>
          <w:b w:val="1"/>
          <w:bCs w:val="1"/>
          <w:color w:val="auto"/>
        </w:rPr>
        <w:t xml:space="preserve"> </w:t>
      </w:r>
      <w:r>
        <w:rPr>
          <w:rFonts w:ascii="Arial" w:cs="Arial" w:eastAsia="Arial" w:hAnsi="Arial"/>
          <w:sz w:val="16"/>
          <w:szCs w:val="16"/>
          <w:color w:val="auto"/>
        </w:rPr>
        <w:t>Aparna Bawa, and each of them, as his or her true and lawful attorneys-in-fact and agents, each with the full power of substitution, for him or her and in their name, place or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63"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373" w:right="339" w:bottom="1440" w:gutter="0" w:footer="0" w:header="0"/>
        </w:sectPr>
      </w:pPr>
    </w:p>
    <w:p>
      <w:pPr>
        <w:spacing w:after="0" w:line="87"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2210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286"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58"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Eric S. Yuan</w:t>
      </w:r>
    </w:p>
    <w:p>
      <w:pPr>
        <w:spacing w:after="0" w:line="287"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Kelly Steckelberg</w:t>
      </w:r>
    </w:p>
    <w:p>
      <w:pPr>
        <w:spacing w:after="0" w:line="27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Shane Crehan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Shane Crehan</w:t>
      </w:r>
    </w:p>
    <w:p>
      <w:pPr>
        <w:spacing w:after="0" w:line="27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Jonathan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Jonathan Chadwick</w:t>
      </w:r>
    </w:p>
    <w:p>
      <w:pPr>
        <w:spacing w:after="0" w:line="27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Peter Gassner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58"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Peter Gassner</w:t>
      </w:r>
    </w:p>
    <w:p>
      <w:pPr>
        <w:spacing w:after="0" w:line="300"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Cindy L. Hoots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Cindy L. Hoots</w:t>
      </w:r>
    </w:p>
    <w:p>
      <w:pPr>
        <w:spacing w:after="0" w:line="23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William R. McDermott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58"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William R. McDermott</w:t>
      </w:r>
    </w:p>
    <w:p>
      <w:pPr>
        <w:spacing w:after="0" w:line="261"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/s/ Herbert Raymond McMaster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wp:posOffset>
            </wp:positionV>
            <wp:extent cx="2210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81"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Herbert Raymond McMaster</w:t>
      </w:r>
    </w:p>
    <w:p>
      <w:pPr>
        <w:spacing w:after="0" w:line="261"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Janet Napolitano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Janet Napolitano</w:t>
      </w:r>
    </w:p>
    <w:p>
      <w:pPr>
        <w:spacing w:after="0" w:line="27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Dan Scheinman</w:t>
      </w:r>
    </w:p>
    <w:p>
      <w:pPr>
        <w:spacing w:after="0" w:line="27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Santiago Subotovsky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58"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Santiago Subotovsky</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ind w:right="960"/>
        <w:spacing w:after="0"/>
        <w:rPr>
          <w:sz w:val="20"/>
          <w:szCs w:val="20"/>
          <w:color w:val="auto"/>
        </w:rPr>
      </w:pPr>
      <w:r>
        <w:rPr>
          <w:rFonts w:ascii="Arial" w:cs="Arial" w:eastAsia="Arial" w:hAnsi="Arial"/>
          <w:sz w:val="17"/>
          <w:szCs w:val="17"/>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20320</wp:posOffset>
            </wp:positionV>
            <wp:extent cx="31959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3195955" cy="8255"/>
                    </a:xfrm>
                    <a:prstGeom prst="rect">
                      <a:avLst/>
                    </a:prstGeom>
                    <a:noFill/>
                  </pic:spPr>
                </pic:pic>
              </a:graphicData>
            </a:graphic>
          </wp:anchor>
        </w:drawing>
      </w:r>
    </w:p>
    <w:p>
      <w:pPr>
        <w:spacing w:after="0" w:line="312"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President, Chief Executive Officer and Director</w:t>
      </w:r>
    </w:p>
    <w:p>
      <w:pPr>
        <w:spacing w:after="0" w:line="37" w:lineRule="exact"/>
        <w:rPr>
          <w:sz w:val="20"/>
          <w:szCs w:val="20"/>
          <w:color w:val="auto"/>
        </w:rPr>
      </w:pPr>
    </w:p>
    <w:p>
      <w:pPr>
        <w:jc w:val="center"/>
        <w:ind w:right="960"/>
        <w:spacing w:after="0"/>
        <w:rPr>
          <w:sz w:val="20"/>
          <w:szCs w:val="20"/>
          <w:color w:val="auto"/>
        </w:rPr>
      </w:pPr>
      <w:r>
        <w:rPr>
          <w:rFonts w:ascii="Arial" w:cs="Arial" w:eastAsia="Arial" w:hAnsi="Arial"/>
          <w:sz w:val="17"/>
          <w:szCs w:val="17"/>
          <w:i w:val="1"/>
          <w:iCs w:val="1"/>
          <w:color w:val="auto"/>
        </w:rPr>
        <w:t>(Principal Executive Officer)</w:t>
      </w:r>
    </w:p>
    <w:p>
      <w:pPr>
        <w:spacing w:after="0" w:line="327"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Chief Financial Officer</w:t>
      </w:r>
    </w:p>
    <w:p>
      <w:pPr>
        <w:spacing w:after="0" w:line="25" w:lineRule="exact"/>
        <w:rPr>
          <w:sz w:val="20"/>
          <w:szCs w:val="20"/>
          <w:color w:val="auto"/>
        </w:rPr>
      </w:pPr>
    </w:p>
    <w:p>
      <w:pPr>
        <w:jc w:val="center"/>
        <w:ind w:right="960"/>
        <w:spacing w:after="0"/>
        <w:rPr>
          <w:sz w:val="20"/>
          <w:szCs w:val="20"/>
          <w:color w:val="auto"/>
        </w:rPr>
      </w:pPr>
      <w:r>
        <w:rPr>
          <w:rFonts w:ascii="Arial" w:cs="Arial" w:eastAsia="Arial" w:hAnsi="Arial"/>
          <w:sz w:val="17"/>
          <w:szCs w:val="17"/>
          <w:i w:val="1"/>
          <w:iCs w:val="1"/>
          <w:color w:val="auto"/>
        </w:rPr>
        <w:t>(Principal Financial Officer)</w:t>
      </w:r>
    </w:p>
    <w:p>
      <w:pPr>
        <w:spacing w:after="0" w:line="314"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Chief Accounting Officer</w:t>
      </w:r>
    </w:p>
    <w:p>
      <w:pPr>
        <w:spacing w:after="0" w:line="25" w:lineRule="exact"/>
        <w:rPr>
          <w:sz w:val="20"/>
          <w:szCs w:val="20"/>
          <w:color w:val="auto"/>
        </w:rPr>
      </w:pPr>
    </w:p>
    <w:p>
      <w:pPr>
        <w:jc w:val="center"/>
        <w:ind w:right="960"/>
        <w:spacing w:after="0"/>
        <w:rPr>
          <w:sz w:val="20"/>
          <w:szCs w:val="20"/>
          <w:color w:val="auto"/>
        </w:rPr>
      </w:pPr>
      <w:r>
        <w:rPr>
          <w:rFonts w:ascii="Arial" w:cs="Arial" w:eastAsia="Arial" w:hAnsi="Arial"/>
          <w:sz w:val="17"/>
          <w:szCs w:val="17"/>
          <w:i w:val="1"/>
          <w:iCs w:val="1"/>
          <w:color w:val="auto"/>
        </w:rPr>
        <w:t>(Principal Accounting Officer)</w:t>
      </w:r>
    </w:p>
    <w:p>
      <w:pPr>
        <w:spacing w:after="0" w:line="200" w:lineRule="exact"/>
        <w:rPr>
          <w:sz w:val="20"/>
          <w:szCs w:val="20"/>
          <w:color w:val="auto"/>
        </w:rPr>
      </w:pPr>
    </w:p>
    <w:p>
      <w:pPr>
        <w:spacing w:after="0" w:line="218"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61"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48"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22"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35"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09"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35"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61"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20320</wp:posOffset>
            </wp:positionV>
            <wp:extent cx="13411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March 3, 2023</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March 3,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auto"/>
        </w:rPr>
        <w:t>March 3,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auto"/>
        </w:rPr>
        <w:t>March 3, 2023</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March 3, 2023</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March 3, 2023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March 3,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auto"/>
        </w:rPr>
        <w:t>March 3, 2023</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March 3,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auto"/>
        </w:rPr>
        <w:t>March 3, 2023</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March 3, 2023</w:t>
      </w:r>
    </w:p>
    <w:p>
      <w:pPr>
        <w:sectPr>
          <w:pgSz w:w="11900" w:h="16838" w:orient="portrait"/>
          <w:cols w:equalWidth="0" w:num="3">
            <w:col w:w="3900" w:space="720"/>
            <w:col w:w="4280" w:space="720"/>
            <w:col w:w="1620"/>
          </w:cols>
          <w:pgMar w:left="320" w:top="1373" w:right="3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7"/>
          <w:szCs w:val="17"/>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Calculation of Filing Fee Tables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S-8</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Zoom Video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165100</wp:posOffset>
            </wp:positionV>
            <wp:extent cx="5191125" cy="2459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5191125" cy="2459355"/>
                    </a:xfrm>
                    <a:prstGeom prst="rect">
                      <a:avLst/>
                    </a:prstGeom>
                    <a:noFill/>
                  </pic:spPr>
                </pic:pic>
              </a:graphicData>
            </a:graphic>
          </wp:anchor>
        </w:drawing>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Table 1 – Newly Registered Securities</w:t>
      </w:r>
    </w:p>
    <w:p>
      <w:pPr>
        <w:spacing w:after="0" w:line="41" w:lineRule="exact"/>
        <w:rPr>
          <w:sz w:val="20"/>
          <w:szCs w:val="20"/>
          <w:color w:val="auto"/>
        </w:rPr>
      </w:pPr>
    </w:p>
    <w:tbl>
      <w:tblPr>
        <w:tblLayout w:type="fixed"/>
        <w:tblInd w:w="1540" w:type="dxa"/>
        <w:tblCellMar>
          <w:top w:w="0" w:type="dxa"/>
          <w:left w:w="0" w:type="dxa"/>
          <w:bottom w:w="0" w:type="dxa"/>
          <w:right w:w="0" w:type="dxa"/>
        </w:tblCellMar>
      </w:tblPr>
      <w:tr>
        <w:trPr>
          <w:trHeight w:val="229"/>
        </w:trPr>
        <w:tc>
          <w:tcPr>
            <w:tcW w:w="80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Proposed</w:t>
            </w:r>
          </w:p>
        </w:tc>
        <w:tc>
          <w:tcPr>
            <w:tcW w:w="138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Maximum</w:t>
            </w:r>
          </w:p>
        </w:tc>
        <w:tc>
          <w:tcPr>
            <w:tcW w:w="13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Fee</w:t>
            </w:r>
          </w:p>
        </w:tc>
        <w:tc>
          <w:tcPr>
            <w:tcW w:w="1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Offering</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Maximum</w:t>
            </w:r>
          </w:p>
        </w:tc>
        <w:tc>
          <w:tcPr>
            <w:tcW w:w="820" w:type="dxa"/>
            <w:vAlign w:val="bottom"/>
            <w:tcBorders>
              <w:right w:val="single" w:sz="8" w:color="auto"/>
            </w:tcBorders>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Amount of</w:t>
            </w:r>
          </w:p>
        </w:tc>
        <w:tc>
          <w:tcPr>
            <w:tcW w:w="0" w:type="dxa"/>
            <w:vAlign w:val="bottom"/>
          </w:tcPr>
          <w:p>
            <w:pPr>
              <w:spacing w:after="0"/>
              <w:rPr>
                <w:sz w:val="1"/>
                <w:szCs w:val="1"/>
                <w:color w:val="auto"/>
              </w:rPr>
            </w:pPr>
          </w:p>
        </w:tc>
      </w:tr>
      <w:tr>
        <w:trPr>
          <w:trHeight w:val="209"/>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Security</w:t>
            </w:r>
          </w:p>
        </w:tc>
        <w:tc>
          <w:tcPr>
            <w:tcW w:w="980" w:type="dxa"/>
            <w:vAlign w:val="bottom"/>
            <w:tcBorders>
              <w:right w:val="single" w:sz="8" w:color="auto"/>
            </w:tcBorders>
          </w:tcPr>
          <w:p>
            <w:pPr>
              <w:ind w:left="200"/>
              <w:spacing w:after="0"/>
              <w:rPr>
                <w:sz w:val="20"/>
                <w:szCs w:val="20"/>
                <w:color w:val="auto"/>
              </w:rPr>
            </w:pPr>
            <w:r>
              <w:rPr>
                <w:rFonts w:ascii="Arial" w:cs="Arial" w:eastAsia="Arial" w:hAnsi="Arial"/>
                <w:sz w:val="16"/>
                <w:szCs w:val="16"/>
                <w:b w:val="1"/>
                <w:bCs w:val="1"/>
                <w:color w:val="auto"/>
              </w:rPr>
              <w:t>Security</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Calculation</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Amount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Price Per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Aggregate Offering</w:t>
            </w:r>
          </w:p>
        </w:tc>
        <w:tc>
          <w:tcPr>
            <w:tcW w:w="820" w:type="dxa"/>
            <w:vAlign w:val="bottom"/>
            <w:tcBorders>
              <w:right w:val="single" w:sz="8" w:color="auto"/>
            </w:tcBorders>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Registration</w:t>
            </w:r>
          </w:p>
        </w:tc>
        <w:tc>
          <w:tcPr>
            <w:tcW w:w="0" w:type="dxa"/>
            <w:vAlign w:val="bottom"/>
          </w:tcPr>
          <w:p>
            <w:pPr>
              <w:spacing w:after="0"/>
              <w:rPr>
                <w:sz w:val="1"/>
                <w:szCs w:val="1"/>
                <w:color w:val="auto"/>
              </w:rPr>
            </w:pPr>
          </w:p>
        </w:tc>
      </w:tr>
      <w:tr>
        <w:trPr>
          <w:trHeight w:val="45"/>
        </w:trPr>
        <w:tc>
          <w:tcPr>
            <w:tcW w:w="80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b w:val="1"/>
                <w:bCs w:val="1"/>
                <w:color w:val="auto"/>
              </w:rPr>
              <w:t>Type</w:t>
            </w:r>
          </w:p>
        </w:tc>
        <w:tc>
          <w:tcPr>
            <w:tcW w:w="9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Class Title</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Rule</w:t>
            </w:r>
          </w:p>
        </w:tc>
        <w:tc>
          <w:tcPr>
            <w:tcW w:w="1100" w:type="dxa"/>
            <w:vAlign w:val="bottom"/>
            <w:tcBorders>
              <w:right w:val="single" w:sz="8" w:color="auto"/>
            </w:tcBorders>
            <w:vMerge w:val="continue"/>
          </w:tcPr>
          <w:p>
            <w:pPr>
              <w:spacing w:after="0"/>
              <w:rPr>
                <w:sz w:val="3"/>
                <w:szCs w:val="3"/>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6"/>
              </w:rPr>
              <w:t>Unit</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Price</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Fee Rate</w:t>
            </w: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209"/>
        </w:trPr>
        <w:tc>
          <w:tcPr>
            <w:tcW w:w="800" w:type="dxa"/>
            <w:vAlign w:val="bottom"/>
            <w:tcBorders>
              <w:bottom w:val="single" w:sz="8" w:color="auto"/>
              <w:right w:val="single" w:sz="8" w:color="auto"/>
            </w:tcBorders>
            <w:vMerge w:val="continue"/>
          </w:tcPr>
          <w:p>
            <w:pPr>
              <w:spacing w:after="0"/>
              <w:rPr>
                <w:sz w:val="18"/>
                <w:szCs w:val="18"/>
                <w:color w:val="auto"/>
              </w:rPr>
            </w:pPr>
          </w:p>
        </w:tc>
        <w:tc>
          <w:tcPr>
            <w:tcW w:w="980" w:type="dxa"/>
            <w:vAlign w:val="bottom"/>
            <w:tcBorders>
              <w:bottom w:val="single" w:sz="8" w:color="auto"/>
              <w:right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line="208" w:lineRule="exact"/>
              <w:rPr>
                <w:sz w:val="20"/>
                <w:szCs w:val="20"/>
                <w:color w:val="auto"/>
              </w:rPr>
            </w:pPr>
            <w:r>
              <w:rPr>
                <w:rFonts w:ascii="Arial" w:cs="Arial" w:eastAsia="Arial" w:hAnsi="Arial"/>
                <w:sz w:val="16"/>
                <w:szCs w:val="16"/>
                <w:b w:val="1"/>
                <w:bCs w:val="1"/>
                <w:color w:val="auto"/>
                <w:w w:val="82"/>
              </w:rPr>
              <w:t>Registered</w:t>
            </w:r>
            <w:r>
              <w:rPr>
                <w:rFonts w:ascii="Arial" w:cs="Arial" w:eastAsia="Arial" w:hAnsi="Arial"/>
                <w:sz w:val="20"/>
                <w:szCs w:val="20"/>
                <w:b w:val="1"/>
                <w:bCs w:val="1"/>
                <w:color w:val="auto"/>
                <w:w w:val="82"/>
                <w:vertAlign w:val="superscript"/>
              </w:rPr>
              <w:t>(1)</w:t>
            </w:r>
          </w:p>
        </w:tc>
        <w:tc>
          <w:tcPr>
            <w:tcW w:w="960" w:type="dxa"/>
            <w:vAlign w:val="bottom"/>
            <w:tcBorders>
              <w:bottom w:val="single" w:sz="8" w:color="auto"/>
              <w:right w:val="single" w:sz="8" w:color="auto"/>
            </w:tcBorders>
            <w:vMerge w:val="continue"/>
          </w:tcPr>
          <w:p>
            <w:pPr>
              <w:spacing w:after="0"/>
              <w:rPr>
                <w:sz w:val="18"/>
                <w:szCs w:val="18"/>
                <w:color w:val="auto"/>
              </w:rPr>
            </w:pPr>
          </w:p>
        </w:tc>
        <w:tc>
          <w:tcPr>
            <w:tcW w:w="1380" w:type="dxa"/>
            <w:vAlign w:val="bottom"/>
            <w:tcBorders>
              <w:bottom w:val="single" w:sz="8" w:color="auto"/>
              <w:right w:val="single" w:sz="8" w:color="auto"/>
            </w:tcBorders>
            <w:vMerge w:val="continue"/>
          </w:tcPr>
          <w:p>
            <w:pPr>
              <w:spacing w:after="0"/>
              <w:rPr>
                <w:sz w:val="18"/>
                <w:szCs w:val="18"/>
                <w:color w:val="auto"/>
              </w:rPr>
            </w:pPr>
          </w:p>
        </w:tc>
        <w:tc>
          <w:tcPr>
            <w:tcW w:w="820" w:type="dxa"/>
            <w:vAlign w:val="bottom"/>
            <w:tcBorders>
              <w:bottom w:val="single" w:sz="8" w:color="auto"/>
              <w:right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Equity</w:t>
            </w: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Class A</w:t>
            </w:r>
          </w:p>
        </w:tc>
        <w:tc>
          <w:tcPr>
            <w:tcW w:w="1040" w:type="dxa"/>
            <w:vAlign w:val="bottom"/>
            <w:tcBorders>
              <w:right w:val="single" w:sz="8" w:color="auto"/>
            </w:tcBorders>
          </w:tcPr>
          <w:p>
            <w:pPr>
              <w:jc w:val="center"/>
              <w:spacing w:after="0" w:line="218" w:lineRule="exact"/>
              <w:rPr>
                <w:sz w:val="20"/>
                <w:szCs w:val="20"/>
                <w:color w:val="auto"/>
              </w:rPr>
            </w:pPr>
            <w:r>
              <w:rPr>
                <w:rFonts w:ascii="Arial" w:cs="Arial" w:eastAsia="Arial" w:hAnsi="Arial"/>
                <w:sz w:val="16"/>
                <w:szCs w:val="16"/>
                <w:color w:val="auto"/>
                <w:w w:val="85"/>
              </w:rPr>
              <w:t>Other</w:t>
            </w:r>
            <w:r>
              <w:rPr>
                <w:rFonts w:ascii="Arial" w:cs="Arial" w:eastAsia="Arial" w:hAnsi="Arial"/>
                <w:sz w:val="20"/>
                <w:szCs w:val="20"/>
                <w:color w:val="auto"/>
                <w:w w:val="85"/>
                <w:vertAlign w:val="superscript"/>
              </w:rPr>
              <w:t>(2)</w:t>
            </w:r>
          </w:p>
        </w:tc>
        <w:tc>
          <w:tcPr>
            <w:tcW w:w="1100" w:type="dxa"/>
            <w:vAlign w:val="bottom"/>
            <w:tcBorders>
              <w:right w:val="single" w:sz="8" w:color="auto"/>
            </w:tcBorders>
          </w:tcPr>
          <w:p>
            <w:pPr>
              <w:jc w:val="center"/>
              <w:ind w:right="162"/>
              <w:spacing w:after="0" w:line="218" w:lineRule="exact"/>
              <w:rPr>
                <w:sz w:val="20"/>
                <w:szCs w:val="20"/>
                <w:color w:val="auto"/>
              </w:rPr>
            </w:pPr>
            <w:r>
              <w:rPr>
                <w:rFonts w:ascii="Arial" w:cs="Arial" w:eastAsia="Arial" w:hAnsi="Arial"/>
                <w:sz w:val="16"/>
                <w:szCs w:val="16"/>
                <w:color w:val="auto"/>
                <w:w w:val="83"/>
              </w:rPr>
              <w:t>14,691,142</w:t>
            </w:r>
            <w:r>
              <w:rPr>
                <w:rFonts w:ascii="Arial" w:cs="Arial" w:eastAsia="Arial" w:hAnsi="Arial"/>
                <w:sz w:val="22"/>
                <w:szCs w:val="22"/>
                <w:color w:val="auto"/>
                <w:w w:val="83"/>
                <w:vertAlign w:val="superscript"/>
              </w:rPr>
              <w:t>(3)</w:t>
            </w:r>
          </w:p>
        </w:tc>
        <w:tc>
          <w:tcPr>
            <w:tcW w:w="960" w:type="dxa"/>
            <w:vAlign w:val="bottom"/>
            <w:tcBorders>
              <w:right w:val="single" w:sz="8" w:color="auto"/>
            </w:tcBorders>
          </w:tcPr>
          <w:p>
            <w:pPr>
              <w:jc w:val="center"/>
              <w:spacing w:after="0" w:line="218" w:lineRule="exact"/>
              <w:rPr>
                <w:sz w:val="20"/>
                <w:szCs w:val="20"/>
                <w:color w:val="auto"/>
              </w:rPr>
            </w:pPr>
            <w:r>
              <w:rPr>
                <w:rFonts w:ascii="Arial" w:cs="Arial" w:eastAsia="Arial" w:hAnsi="Arial"/>
                <w:sz w:val="16"/>
                <w:szCs w:val="16"/>
                <w:color w:val="auto"/>
                <w:w w:val="82"/>
              </w:rPr>
              <w:t>$70.11</w:t>
            </w:r>
            <w:r>
              <w:rPr>
                <w:rFonts w:ascii="Arial" w:cs="Arial" w:eastAsia="Arial" w:hAnsi="Arial"/>
                <w:sz w:val="20"/>
                <w:szCs w:val="20"/>
                <w:color w:val="auto"/>
                <w:w w:val="82"/>
                <w:vertAlign w:val="superscript"/>
              </w:rPr>
              <w:t>(2)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$1,029,995,965.62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.00011020</w:t>
            </w: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$113,505.56</w:t>
            </w:r>
          </w:p>
        </w:tc>
        <w:tc>
          <w:tcPr>
            <w:tcW w:w="0" w:type="dxa"/>
            <w:vAlign w:val="bottom"/>
          </w:tcPr>
          <w:p>
            <w:pPr>
              <w:spacing w:after="0"/>
              <w:rPr>
                <w:sz w:val="1"/>
                <w:szCs w:val="1"/>
                <w:color w:val="auto"/>
              </w:rPr>
            </w:pPr>
          </w:p>
        </w:tc>
      </w:tr>
      <w:tr>
        <w:trPr>
          <w:trHeight w:val="199"/>
        </w:trPr>
        <w:tc>
          <w:tcPr>
            <w:tcW w:w="8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common</w:t>
            </w:r>
          </w:p>
        </w:tc>
        <w:tc>
          <w:tcPr>
            <w:tcW w:w="10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stock</w:t>
            </w:r>
          </w:p>
        </w:tc>
        <w:tc>
          <w:tcPr>
            <w:tcW w:w="10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8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8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Equity</w:t>
            </w: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Class A</w:t>
            </w:r>
          </w:p>
        </w:tc>
        <w:tc>
          <w:tcPr>
            <w:tcW w:w="1040" w:type="dxa"/>
            <w:vAlign w:val="bottom"/>
            <w:tcBorders>
              <w:right w:val="single" w:sz="8" w:color="auto"/>
            </w:tcBorders>
          </w:tcPr>
          <w:p>
            <w:pPr>
              <w:jc w:val="center"/>
              <w:spacing w:after="0" w:line="218" w:lineRule="exact"/>
              <w:rPr>
                <w:sz w:val="20"/>
                <w:szCs w:val="20"/>
                <w:color w:val="auto"/>
              </w:rPr>
            </w:pPr>
            <w:r>
              <w:rPr>
                <w:rFonts w:ascii="Arial" w:cs="Arial" w:eastAsia="Arial" w:hAnsi="Arial"/>
                <w:sz w:val="16"/>
                <w:szCs w:val="16"/>
                <w:color w:val="auto"/>
                <w:w w:val="85"/>
              </w:rPr>
              <w:t>Other</w:t>
            </w:r>
            <w:r>
              <w:rPr>
                <w:rFonts w:ascii="Arial" w:cs="Arial" w:eastAsia="Arial" w:hAnsi="Arial"/>
                <w:sz w:val="20"/>
                <w:szCs w:val="20"/>
                <w:color w:val="auto"/>
                <w:w w:val="85"/>
                <w:vertAlign w:val="superscript"/>
              </w:rPr>
              <w:t>(4)</w:t>
            </w:r>
          </w:p>
        </w:tc>
        <w:tc>
          <w:tcPr>
            <w:tcW w:w="1100" w:type="dxa"/>
            <w:vAlign w:val="bottom"/>
            <w:tcBorders>
              <w:right w:val="single" w:sz="8" w:color="auto"/>
            </w:tcBorders>
          </w:tcPr>
          <w:p>
            <w:pPr>
              <w:jc w:val="center"/>
              <w:ind w:right="202"/>
              <w:spacing w:after="0" w:line="218" w:lineRule="exact"/>
              <w:rPr>
                <w:sz w:val="20"/>
                <w:szCs w:val="20"/>
                <w:color w:val="auto"/>
              </w:rPr>
            </w:pPr>
            <w:r>
              <w:rPr>
                <w:rFonts w:ascii="Arial" w:cs="Arial" w:eastAsia="Arial" w:hAnsi="Arial"/>
                <w:sz w:val="16"/>
                <w:szCs w:val="16"/>
                <w:color w:val="auto"/>
                <w:w w:val="89"/>
              </w:rPr>
              <w:t>2,938,228</w:t>
            </w:r>
            <w:r>
              <w:rPr>
                <w:rFonts w:ascii="Arial" w:cs="Arial" w:eastAsia="Arial" w:hAnsi="Arial"/>
                <w:sz w:val="20"/>
                <w:szCs w:val="20"/>
                <w:color w:val="auto"/>
                <w:w w:val="89"/>
                <w:vertAlign w:val="superscript"/>
              </w:rPr>
              <w:t>(5)</w:t>
            </w:r>
          </w:p>
        </w:tc>
        <w:tc>
          <w:tcPr>
            <w:tcW w:w="960" w:type="dxa"/>
            <w:vAlign w:val="bottom"/>
            <w:tcBorders>
              <w:right w:val="single" w:sz="8" w:color="auto"/>
            </w:tcBorders>
          </w:tcPr>
          <w:p>
            <w:pPr>
              <w:jc w:val="center"/>
              <w:spacing w:after="0" w:line="218" w:lineRule="exact"/>
              <w:rPr>
                <w:sz w:val="20"/>
                <w:szCs w:val="20"/>
                <w:color w:val="auto"/>
              </w:rPr>
            </w:pPr>
            <w:r>
              <w:rPr>
                <w:rFonts w:ascii="Arial" w:cs="Arial" w:eastAsia="Arial" w:hAnsi="Arial"/>
                <w:sz w:val="16"/>
                <w:szCs w:val="16"/>
                <w:color w:val="auto"/>
                <w:w w:val="82"/>
              </w:rPr>
              <w:t>$59.59</w:t>
            </w:r>
            <w:r>
              <w:rPr>
                <w:rFonts w:ascii="Arial" w:cs="Arial" w:eastAsia="Arial" w:hAnsi="Arial"/>
                <w:sz w:val="20"/>
                <w:szCs w:val="20"/>
                <w:color w:val="auto"/>
                <w:w w:val="82"/>
                <w:vertAlign w:val="superscript"/>
              </w:rPr>
              <w:t>(4)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$175,089,006.52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.00011020</w:t>
            </w: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$19,294.81</w:t>
            </w:r>
          </w:p>
        </w:tc>
        <w:tc>
          <w:tcPr>
            <w:tcW w:w="0" w:type="dxa"/>
            <w:vAlign w:val="bottom"/>
          </w:tcPr>
          <w:p>
            <w:pPr>
              <w:spacing w:after="0"/>
              <w:rPr>
                <w:sz w:val="1"/>
                <w:szCs w:val="1"/>
                <w:color w:val="auto"/>
              </w:rPr>
            </w:pPr>
          </w:p>
        </w:tc>
      </w:tr>
      <w:tr>
        <w:trPr>
          <w:trHeight w:val="199"/>
        </w:trPr>
        <w:tc>
          <w:tcPr>
            <w:tcW w:w="8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common</w:t>
            </w:r>
          </w:p>
        </w:tc>
        <w:tc>
          <w:tcPr>
            <w:tcW w:w="10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stock</w:t>
            </w:r>
          </w:p>
        </w:tc>
        <w:tc>
          <w:tcPr>
            <w:tcW w:w="10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8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780" w:type="dxa"/>
            <w:vAlign w:val="bottom"/>
            <w:gridSpan w:val="2"/>
          </w:tcPr>
          <w:p>
            <w:pPr>
              <w:ind w:left="80"/>
              <w:spacing w:after="0"/>
              <w:rPr>
                <w:sz w:val="20"/>
                <w:szCs w:val="20"/>
                <w:color w:val="auto"/>
              </w:rPr>
            </w:pPr>
            <w:r>
              <w:rPr>
                <w:rFonts w:ascii="Arial" w:cs="Arial" w:eastAsia="Arial" w:hAnsi="Arial"/>
                <w:sz w:val="16"/>
                <w:szCs w:val="16"/>
                <w:color w:val="auto"/>
              </w:rPr>
              <w:t>Total Offering Amounts</w:t>
            </w:r>
          </w:p>
        </w:tc>
        <w:tc>
          <w:tcPr>
            <w:tcW w:w="10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$1,205,084,972.14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$132,800.37</w:t>
            </w:r>
          </w:p>
        </w:tc>
        <w:tc>
          <w:tcPr>
            <w:tcW w:w="0" w:type="dxa"/>
            <w:vAlign w:val="bottom"/>
          </w:tcPr>
          <w:p>
            <w:pPr>
              <w:spacing w:after="0"/>
              <w:rPr>
                <w:sz w:val="1"/>
                <w:szCs w:val="1"/>
                <w:color w:val="auto"/>
              </w:rPr>
            </w:pPr>
          </w:p>
        </w:tc>
      </w:tr>
      <w:tr>
        <w:trPr>
          <w:trHeight w:val="45"/>
        </w:trPr>
        <w:tc>
          <w:tcPr>
            <w:tcW w:w="8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780" w:type="dxa"/>
            <w:vAlign w:val="bottom"/>
            <w:gridSpan w:val="2"/>
          </w:tcPr>
          <w:p>
            <w:pPr>
              <w:ind w:left="80"/>
              <w:spacing w:after="0"/>
              <w:rPr>
                <w:sz w:val="20"/>
                <w:szCs w:val="20"/>
                <w:color w:val="auto"/>
              </w:rPr>
            </w:pPr>
            <w:r>
              <w:rPr>
                <w:rFonts w:ascii="Arial" w:cs="Arial" w:eastAsia="Arial" w:hAnsi="Arial"/>
                <w:sz w:val="16"/>
                <w:szCs w:val="16"/>
                <w:color w:val="auto"/>
                <w:w w:val="87"/>
              </w:rPr>
              <w:t>Total Fees Previously Paid</w:t>
            </w:r>
          </w:p>
        </w:tc>
        <w:tc>
          <w:tcPr>
            <w:tcW w:w="10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45"/>
        </w:trPr>
        <w:tc>
          <w:tcPr>
            <w:tcW w:w="8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780" w:type="dxa"/>
            <w:vAlign w:val="bottom"/>
            <w:gridSpan w:val="2"/>
          </w:tcPr>
          <w:p>
            <w:pPr>
              <w:ind w:left="80"/>
              <w:spacing w:after="0"/>
              <w:rPr>
                <w:sz w:val="20"/>
                <w:szCs w:val="20"/>
                <w:color w:val="auto"/>
              </w:rPr>
            </w:pPr>
            <w:r>
              <w:rPr>
                <w:rFonts w:ascii="Arial" w:cs="Arial" w:eastAsia="Arial" w:hAnsi="Arial"/>
                <w:sz w:val="16"/>
                <w:szCs w:val="16"/>
                <w:color w:val="auto"/>
              </w:rPr>
              <w:t>Total Fee Offsets</w:t>
            </w:r>
          </w:p>
        </w:tc>
        <w:tc>
          <w:tcPr>
            <w:tcW w:w="10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$132,800.37</w:t>
            </w:r>
          </w:p>
        </w:tc>
        <w:tc>
          <w:tcPr>
            <w:tcW w:w="0" w:type="dxa"/>
            <w:vAlign w:val="bottom"/>
          </w:tcPr>
          <w:p>
            <w:pPr>
              <w:spacing w:after="0"/>
              <w:rPr>
                <w:sz w:val="1"/>
                <w:szCs w:val="1"/>
                <w:color w:val="auto"/>
              </w:rPr>
            </w:pPr>
          </w:p>
        </w:tc>
      </w:tr>
      <w:tr>
        <w:trPr>
          <w:trHeight w:val="45"/>
        </w:trPr>
        <w:tc>
          <w:tcPr>
            <w:tcW w:w="8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780" w:type="dxa"/>
            <w:vAlign w:val="bottom"/>
            <w:gridSpan w:val="2"/>
          </w:tcPr>
          <w:p>
            <w:pPr>
              <w:ind w:left="80"/>
              <w:spacing w:after="0"/>
              <w:rPr>
                <w:sz w:val="20"/>
                <w:szCs w:val="20"/>
                <w:color w:val="auto"/>
              </w:rPr>
            </w:pPr>
            <w:r>
              <w:rPr>
                <w:rFonts w:ascii="Arial" w:cs="Arial" w:eastAsia="Arial" w:hAnsi="Arial"/>
                <w:sz w:val="16"/>
                <w:szCs w:val="16"/>
                <w:color w:val="auto"/>
              </w:rPr>
              <w:t>Net Fee Due</w:t>
            </w:r>
          </w:p>
        </w:tc>
        <w:tc>
          <w:tcPr>
            <w:tcW w:w="10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45"/>
        </w:trPr>
        <w:tc>
          <w:tcPr>
            <w:tcW w:w="8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left="320" w:hanging="316"/>
        <w:spacing w:after="0" w:line="205" w:lineRule="auto"/>
        <w:tabs>
          <w:tab w:leader="none" w:pos="378" w:val="left"/>
        </w:tabs>
        <w:numPr>
          <w:ilvl w:val="0"/>
          <w:numId w:val="2"/>
        </w:numPr>
        <w:rPr>
          <w:rFonts w:ascii="Arial" w:cs="Arial" w:eastAsia="Arial" w:hAnsi="Arial"/>
          <w:sz w:val="17"/>
          <w:szCs w:val="17"/>
          <w:color w:val="auto"/>
        </w:rPr>
      </w:pPr>
      <w:r>
        <w:rPr>
          <w:rFonts w:ascii="Arial" w:cs="Arial" w:eastAsia="Arial" w:hAnsi="Arial"/>
          <w:sz w:val="16"/>
          <w:szCs w:val="16"/>
          <w:color w:val="auto"/>
        </w:rPr>
        <w:t>Pursuant to Rule 416(a) promulgated under the Securities Act of 1933, as amended (the "Securities Act"), this Registration Statement shall also cover any additional shares of Class A common stock of Zoom Video Communications, Inc. (the “Registrant”) that become issuable under the plans set forth herein by reason of any stock dividend, stock split, recapitalization, or other similar transaction effected that results in an increase to the number of outstanding shares of the Registrant’s Class A common stock, as applicable.</w:t>
      </w:r>
    </w:p>
    <w:p>
      <w:pPr>
        <w:spacing w:after="0" w:line="1" w:lineRule="exact"/>
        <w:rPr>
          <w:rFonts w:ascii="Arial" w:cs="Arial" w:eastAsia="Arial" w:hAnsi="Arial"/>
          <w:sz w:val="17"/>
          <w:szCs w:val="17"/>
          <w:color w:val="auto"/>
        </w:rPr>
      </w:pPr>
    </w:p>
    <w:p>
      <w:pPr>
        <w:ind w:left="320" w:hanging="316"/>
        <w:spacing w:after="0" w:line="204" w:lineRule="auto"/>
        <w:tabs>
          <w:tab w:leader="none" w:pos="398"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in accordance with Rules 457(c) and (h) solely for the purpose of calculating the registration fee on the basis of the average of the high and low prices of the Registrant’s Class A common stock as reported on the Nasdaq Global Select Market on March 2, 2023.</w:t>
      </w:r>
    </w:p>
    <w:p>
      <w:pPr>
        <w:ind w:left="320" w:hanging="316"/>
        <w:spacing w:after="0" w:line="204" w:lineRule="auto"/>
        <w:tabs>
          <w:tab w:leader="none" w:pos="391"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an automatic annual increase equal to 5% of the total number of shares of the Registrant’s Class A common stock and Class B common stock outstanding on January 31 of the preceding fiscal year, which annual increase is provided by the Registrant’s 2019 Equity Incentive Plan.</w:t>
      </w:r>
    </w:p>
    <w:p>
      <w:pPr>
        <w:jc w:val="both"/>
        <w:ind w:left="320" w:hanging="316"/>
        <w:spacing w:after="0" w:line="204" w:lineRule="auto"/>
        <w:tabs>
          <w:tab w:leader="none" w:pos="398"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in accordance with Rules 457(c) and (h) solely for the purpose of calculating the registration fee on the basis of the average of the high and low prices of the Registrant’s Class A common stock as reported on the Nasdaq Global Select Market on March 2, 2023, multiplied by 85%, which is the percentage of the price per share applicable to purchases under the Registrant’s 2019 Employee Stock Purchase Plan (the “2019 ESPP”).</w:t>
      </w:r>
    </w:p>
    <w:p>
      <w:pPr>
        <w:ind w:left="320" w:hanging="316"/>
        <w:spacing w:after="0" w:line="222" w:lineRule="auto"/>
        <w:tabs>
          <w:tab w:leader="none" w:pos="357"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an automatic increase equal to 1% of the total number of shares of the Registrant’s Class A common stock and Class B common stock outstanding on January 31 of the preceding fiscal year, which annual increase is provided by the 2019 ESPP.</w:t>
      </w:r>
    </w:p>
    <w:p>
      <w:pPr>
        <w:sectPr>
          <w:pgSz w:w="11900" w:h="16838" w:orient="portrait"/>
          <w:cols w:equalWidth="0" w:num="1">
            <w:col w:w="11240"/>
          </w:cols>
          <w:pgMar w:left="320" w:top="114" w:right="339" w:bottom="1440" w:gutter="0" w:footer="0" w:header="0"/>
        </w:sectPr>
      </w:pPr>
    </w:p>
    <w:bookmarkStart w:id="6" w:name="page7"/>
    <w:bookmarkEnd w:id="6"/>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Table 2: Fee Offset Claims and Sources</w:t>
      </w:r>
    </w:p>
    <w:p>
      <w:pPr>
        <w:spacing w:after="0" w:line="200" w:lineRule="exact"/>
        <w:rPr>
          <w:sz w:val="20"/>
          <w:szCs w:val="20"/>
          <w:color w:val="auto"/>
        </w:rPr>
      </w:pP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80" w:type="dxa"/>
            <w:vAlign w:val="bottom"/>
            <w:tcBorders>
              <w:top w:val="single" w:sz="8" w:color="auto"/>
              <w:left w:val="single" w:sz="8" w:color="auto"/>
              <w:right w:val="single" w:sz="8" w:color="auto"/>
            </w:tcBorders>
          </w:tcPr>
          <w:p>
            <w:pPr>
              <w:spacing w:after="0"/>
              <w:rPr>
                <w:sz w:val="22"/>
                <w:szCs w:val="22"/>
                <w:color w:val="auto"/>
              </w:rPr>
            </w:pPr>
          </w:p>
        </w:tc>
        <w:tc>
          <w:tcPr>
            <w:tcW w:w="114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right w:val="single" w:sz="8" w:color="auto"/>
            </w:tcBorders>
          </w:tcPr>
          <w:p>
            <w:pPr>
              <w:spacing w:after="0"/>
              <w:rPr>
                <w:sz w:val="22"/>
                <w:szCs w:val="22"/>
                <w:color w:val="auto"/>
              </w:rPr>
            </w:pPr>
          </w:p>
        </w:tc>
        <w:tc>
          <w:tcPr>
            <w:tcW w:w="840" w:type="dxa"/>
            <w:vAlign w:val="bottom"/>
            <w:tcBorders>
              <w:top w:val="single" w:sz="8" w:color="auto"/>
              <w:right w:val="single" w:sz="8" w:color="auto"/>
            </w:tcBorders>
          </w:tcPr>
          <w:p>
            <w:pPr>
              <w:spacing w:after="0"/>
              <w:rPr>
                <w:sz w:val="22"/>
                <w:szCs w:val="22"/>
                <w:color w:val="auto"/>
              </w:rPr>
            </w:pPr>
          </w:p>
        </w:tc>
        <w:tc>
          <w:tcPr>
            <w:tcW w:w="840" w:type="dxa"/>
            <w:vAlign w:val="bottom"/>
            <w:tcBorders>
              <w:top w:val="single" w:sz="8" w:color="auto"/>
              <w:right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Borders>
              <w:top w:val="single" w:sz="8" w:color="auto"/>
              <w:right w:val="single" w:sz="8" w:color="auto"/>
            </w:tcBorders>
          </w:tcPr>
          <w:p>
            <w:pPr>
              <w:spacing w:after="0"/>
              <w:rPr>
                <w:sz w:val="22"/>
                <w:szCs w:val="22"/>
                <w:color w:val="auto"/>
              </w:rPr>
            </w:pPr>
          </w:p>
        </w:tc>
        <w:tc>
          <w:tcPr>
            <w:tcW w:w="960" w:type="dxa"/>
            <w:vAlign w:val="bottom"/>
            <w:tcBorders>
              <w:top w:val="single" w:sz="8" w:color="auto"/>
              <w:right w:val="single" w:sz="8" w:color="auto"/>
            </w:tcBorders>
          </w:tcPr>
          <w:p>
            <w:pPr>
              <w:spacing w:after="0"/>
              <w:rPr>
                <w:sz w:val="22"/>
                <w:szCs w:val="22"/>
                <w:color w:val="auto"/>
              </w:rPr>
            </w:pP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6"/>
              </w:rPr>
              <w:t>Security</w:t>
            </w: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Unsold</w:t>
            </w:r>
          </w:p>
        </w:tc>
        <w:tc>
          <w:tcPr>
            <w:tcW w:w="130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Unsold</w:t>
            </w:r>
          </w:p>
        </w:tc>
        <w:tc>
          <w:tcPr>
            <w:tcW w:w="9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88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130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6"/>
              </w:rPr>
              <w:t>Aggregate</w:t>
            </w: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80" w:type="dxa"/>
            <w:vAlign w:val="bottom"/>
            <w:tcBorders>
              <w:left w:val="single" w:sz="8" w:color="auto"/>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Form or</w:t>
            </w: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1"/>
              </w:rPr>
              <w:t>Type</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7"/>
              </w:rPr>
              <w:t>Title</w:t>
            </w:r>
          </w:p>
        </w:tc>
        <w:tc>
          <w:tcPr>
            <w:tcW w:w="9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86"/>
              </w:rPr>
              <w:t>Securities</w:t>
            </w:r>
          </w:p>
        </w:tc>
        <w:tc>
          <w:tcPr>
            <w:tcW w:w="13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1"/>
              </w:rPr>
              <w:t>Offering Amount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Fee Paid</w:t>
            </w:r>
          </w:p>
        </w:tc>
        <w:tc>
          <w:tcPr>
            <w:tcW w:w="0" w:type="dxa"/>
            <w:vAlign w:val="bottom"/>
          </w:tcPr>
          <w:p>
            <w:pPr>
              <w:spacing w:after="0"/>
              <w:rPr>
                <w:sz w:val="1"/>
                <w:szCs w:val="1"/>
                <w:color w:val="auto"/>
              </w:rPr>
            </w:pPr>
          </w:p>
        </w:tc>
      </w:tr>
      <w:tr>
        <w:trPr>
          <w:trHeight w:val="52"/>
        </w:trPr>
        <w:tc>
          <w:tcPr>
            <w:tcW w:w="880" w:type="dxa"/>
            <w:vAlign w:val="bottom"/>
            <w:tcBorders>
              <w:left w:val="single" w:sz="8" w:color="auto"/>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vMerge w:val="continue"/>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vMerge w:val="restart"/>
          </w:tcPr>
          <w:p>
            <w:pPr>
              <w:jc w:val="center"/>
              <w:ind w:right="15"/>
              <w:spacing w:after="0"/>
              <w:rPr>
                <w:sz w:val="20"/>
                <w:szCs w:val="20"/>
                <w:color w:val="auto"/>
              </w:rPr>
            </w:pPr>
            <w:r>
              <w:rPr>
                <w:rFonts w:ascii="Arial" w:cs="Arial" w:eastAsia="Arial" w:hAnsi="Arial"/>
                <w:sz w:val="14"/>
                <w:szCs w:val="14"/>
                <w:b w:val="1"/>
                <w:bCs w:val="1"/>
                <w:color w:val="auto"/>
                <w:w w:val="98"/>
              </w:rPr>
              <w:t>Initial</w:t>
            </w:r>
          </w:p>
        </w:tc>
        <w:tc>
          <w:tcPr>
            <w:tcW w:w="7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5"/>
              </w:rPr>
              <w:t>Associated</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5"/>
              </w:rPr>
              <w:t>Associated</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5"/>
              </w:rPr>
              <w:t>Associated</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Associated with</w:t>
            </w:r>
          </w:p>
        </w:tc>
        <w:tc>
          <w:tcPr>
            <w:tcW w:w="9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8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Registrant or</w:t>
            </w:r>
          </w:p>
        </w:tc>
        <w:tc>
          <w:tcPr>
            <w:tcW w:w="82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6"/>
              </w:rPr>
              <w:t>with Fee</w:t>
            </w:r>
          </w:p>
        </w:tc>
        <w:tc>
          <w:tcPr>
            <w:tcW w:w="0" w:type="dxa"/>
            <w:vAlign w:val="bottom"/>
          </w:tcPr>
          <w:p>
            <w:pPr>
              <w:spacing w:after="0"/>
              <w:rPr>
                <w:sz w:val="1"/>
                <w:szCs w:val="1"/>
                <w:color w:val="auto"/>
              </w:rPr>
            </w:pPr>
          </w:p>
        </w:tc>
      </w:tr>
      <w:tr>
        <w:trPr>
          <w:trHeight w:val="104"/>
        </w:trPr>
        <w:tc>
          <w:tcPr>
            <w:tcW w:w="8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Filing</w:t>
            </w:r>
          </w:p>
        </w:tc>
        <w:tc>
          <w:tcPr>
            <w:tcW w:w="8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File</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Filing</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Filing Date</w:t>
            </w:r>
          </w:p>
        </w:tc>
        <w:tc>
          <w:tcPr>
            <w:tcW w:w="10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Fee Offset</w:t>
            </w:r>
          </w:p>
        </w:tc>
        <w:tc>
          <w:tcPr>
            <w:tcW w:w="9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with Fee</w:t>
            </w:r>
          </w:p>
        </w:tc>
        <w:tc>
          <w:tcPr>
            <w:tcW w:w="9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with Fee</w:t>
            </w:r>
          </w:p>
        </w:tc>
        <w:tc>
          <w:tcPr>
            <w:tcW w:w="90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with Fee</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Fee Offset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Offset</w:t>
            </w:r>
          </w:p>
        </w:tc>
        <w:tc>
          <w:tcPr>
            <w:tcW w:w="0" w:type="dxa"/>
            <w:vAlign w:val="bottom"/>
          </w:tcPr>
          <w:p>
            <w:pPr>
              <w:spacing w:after="0"/>
              <w:rPr>
                <w:sz w:val="1"/>
                <w:szCs w:val="1"/>
                <w:color w:val="auto"/>
              </w:rPr>
            </w:pPr>
          </w:p>
        </w:tc>
      </w:tr>
      <w:tr>
        <w:trPr>
          <w:trHeight w:val="91"/>
        </w:trPr>
        <w:tc>
          <w:tcPr>
            <w:tcW w:w="880" w:type="dxa"/>
            <w:vAlign w:val="bottom"/>
            <w:tcBorders>
              <w:left w:val="single" w:sz="8" w:color="auto"/>
              <w:right w:val="single" w:sz="8" w:color="auto"/>
            </w:tcBorders>
          </w:tcPr>
          <w:p>
            <w:pPr>
              <w:spacing w:after="0"/>
              <w:rPr>
                <w:sz w:val="7"/>
                <w:szCs w:val="7"/>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Filer Name</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Type</w:t>
            </w:r>
          </w:p>
        </w:tc>
        <w:tc>
          <w:tcPr>
            <w:tcW w:w="84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Offset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Offset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Offset</w:t>
            </w:r>
          </w:p>
        </w:tc>
        <w:tc>
          <w:tcPr>
            <w:tcW w:w="13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ind w:left="160"/>
              <w:spacing w:after="0" w:line="105" w:lineRule="exact"/>
              <w:rPr>
                <w:sz w:val="20"/>
                <w:szCs w:val="20"/>
                <w:color w:val="auto"/>
              </w:rPr>
            </w:pPr>
            <w:r>
              <w:rPr>
                <w:rFonts w:ascii="Arial" w:cs="Arial" w:eastAsia="Arial" w:hAnsi="Arial"/>
                <w:sz w:val="12"/>
                <w:szCs w:val="12"/>
                <w:b w:val="1"/>
                <w:bCs w:val="1"/>
                <w:color w:val="auto"/>
              </w:rPr>
              <w:t>Number</w:t>
            </w:r>
          </w:p>
        </w:tc>
        <w:tc>
          <w:tcPr>
            <w:tcW w:w="84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ind w:left="200"/>
              <w:spacing w:after="0" w:line="105" w:lineRule="exact"/>
              <w:rPr>
                <w:sz w:val="20"/>
                <w:szCs w:val="20"/>
                <w:color w:val="auto"/>
              </w:rPr>
            </w:pPr>
            <w:r>
              <w:rPr>
                <w:rFonts w:ascii="Arial" w:cs="Arial" w:eastAsia="Arial" w:hAnsi="Arial"/>
                <w:sz w:val="12"/>
                <w:szCs w:val="12"/>
                <w:b w:val="1"/>
                <w:bCs w:val="1"/>
                <w:color w:val="auto"/>
              </w:rPr>
              <w:t>Claimed</w:t>
            </w:r>
          </w:p>
        </w:tc>
        <w:tc>
          <w:tcPr>
            <w:tcW w:w="9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Claimed</w:t>
            </w:r>
          </w:p>
        </w:tc>
        <w:tc>
          <w:tcPr>
            <w:tcW w:w="9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w w:val="98"/>
              </w:rPr>
              <w:t>Source</w:t>
            </w:r>
          </w:p>
        </w:tc>
        <w:tc>
          <w:tcPr>
            <w:tcW w:w="0" w:type="dxa"/>
            <w:vAlign w:val="bottom"/>
          </w:tcPr>
          <w:p>
            <w:pPr>
              <w:spacing w:after="0"/>
              <w:rPr>
                <w:sz w:val="1"/>
                <w:szCs w:val="1"/>
                <w:color w:val="auto"/>
              </w:rPr>
            </w:pPr>
          </w:p>
        </w:tc>
      </w:tr>
      <w:tr>
        <w:trPr>
          <w:trHeight w:val="130"/>
        </w:trPr>
        <w:tc>
          <w:tcPr>
            <w:tcW w:w="88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1"/>
              </w:rPr>
              <w:t>Claimed</w:t>
            </w:r>
          </w:p>
        </w:tc>
        <w:tc>
          <w:tcPr>
            <w:tcW w:w="920" w:type="dxa"/>
            <w:vAlign w:val="bottom"/>
            <w:tcBorders>
              <w:bottom w:val="single" w:sz="8" w:color="auto"/>
              <w:right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1"/>
              </w:rPr>
              <w:t>Claimed</w:t>
            </w:r>
          </w:p>
        </w:tc>
        <w:tc>
          <w:tcPr>
            <w:tcW w:w="900" w:type="dxa"/>
            <w:vAlign w:val="bottom"/>
            <w:tcBorders>
              <w:bottom w:val="single" w:sz="8" w:color="auto"/>
              <w:right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1"/>
              </w:rPr>
              <w:t>Claimed</w:t>
            </w:r>
          </w:p>
        </w:tc>
        <w:tc>
          <w:tcPr>
            <w:tcW w:w="130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2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Rules 457(b) and 0-11(a)(2)</w:t>
            </w: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88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8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8"/>
              </w:rPr>
              <w:t>Fee Offset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85"/>
              </w:rPr>
              <w:t>--</w:t>
            </w:r>
          </w:p>
        </w:tc>
        <w:tc>
          <w:tcPr>
            <w:tcW w:w="1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Claims</w:t>
            </w:r>
          </w:p>
        </w:tc>
        <w:tc>
          <w:tcPr>
            <w:tcW w:w="114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8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Fee Offset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85"/>
              </w:rPr>
              <w:t>--</w:t>
            </w: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8"/>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Sources</w:t>
            </w:r>
          </w:p>
        </w:tc>
        <w:tc>
          <w:tcPr>
            <w:tcW w:w="11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13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880" w:type="dxa"/>
            <w:vAlign w:val="bottom"/>
            <w:tcBorders>
              <w:left w:val="single" w:sz="8" w:color="auto"/>
              <w:right w:val="single" w:sz="8" w:color="auto"/>
            </w:tcBorders>
            <w:vMerge w:val="continue"/>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80" w:type="dxa"/>
            <w:vAlign w:val="bottom"/>
            <w:tcBorders>
              <w:left w:val="single" w:sz="8" w:color="auto"/>
            </w:tcBorders>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Rule 457(p)</w:t>
            </w: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88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Fee Offset</w:t>
            </w:r>
          </w:p>
        </w:tc>
        <w:tc>
          <w:tcPr>
            <w:tcW w:w="11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2"/>
              </w:rPr>
              <w:t>Zoom Video</w:t>
            </w:r>
          </w:p>
        </w:tc>
        <w:tc>
          <w:tcPr>
            <w:tcW w:w="82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August 13,</w:t>
            </w:r>
          </w:p>
        </w:tc>
        <w:tc>
          <w:tcPr>
            <w:tcW w:w="7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6"/>
              </w:rPr>
              <w:t>$132,800.37</w:t>
            </w:r>
            <w:r>
              <w:rPr>
                <w:rFonts w:ascii="Arial" w:cs="Arial" w:eastAsia="Arial" w:hAnsi="Arial"/>
                <w:sz w:val="18"/>
                <w:szCs w:val="18"/>
                <w:color w:val="auto"/>
                <w:w w:val="86"/>
                <w:vertAlign w:val="superscript"/>
              </w:rPr>
              <w:t>(1)</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1"/>
              </w:rPr>
              <w:t>Class A</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43,673,988</w:t>
            </w:r>
          </w:p>
        </w:tc>
        <w:tc>
          <w:tcPr>
            <w:tcW w:w="13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880" w:type="dxa"/>
            <w:vAlign w:val="bottom"/>
            <w:tcBorders>
              <w:left w:val="single" w:sz="8" w:color="auto"/>
              <w:right w:val="single" w:sz="8" w:color="auto"/>
            </w:tcBorders>
            <w:vMerge w:val="continue"/>
          </w:tcPr>
          <w:p>
            <w:pPr>
              <w:spacing w:after="0"/>
              <w:rPr>
                <w:sz w:val="10"/>
                <w:szCs w:val="1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Communications,</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2"/>
              </w:rPr>
              <w:t>S-4</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333-258815</w:t>
            </w:r>
          </w:p>
        </w:tc>
        <w:tc>
          <w:tcPr>
            <w:tcW w:w="840" w:type="dxa"/>
            <w:vAlign w:val="bottom"/>
            <w:tcBorders>
              <w:right w:val="single" w:sz="8" w:color="auto"/>
            </w:tcBorders>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Equity</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Common</w:t>
            </w:r>
          </w:p>
        </w:tc>
        <w:tc>
          <w:tcPr>
            <w:tcW w:w="90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$15,057,382,692.48</w:t>
            </w: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80" w:type="dxa"/>
            <w:vAlign w:val="bottom"/>
            <w:tcBorders>
              <w:left w:val="single" w:sz="8" w:color="auto"/>
              <w:right w:val="single" w:sz="8" w:color="auto"/>
            </w:tcBorders>
          </w:tcPr>
          <w:p>
            <w:pPr>
              <w:jc w:val="center"/>
              <w:spacing w:after="0" w:line="92" w:lineRule="exact"/>
              <w:rPr>
                <w:sz w:val="20"/>
                <w:szCs w:val="20"/>
                <w:color w:val="auto"/>
              </w:rPr>
            </w:pPr>
            <w:r>
              <w:rPr>
                <w:rFonts w:ascii="Arial" w:cs="Arial" w:eastAsia="Arial" w:hAnsi="Arial"/>
                <w:sz w:val="8"/>
                <w:szCs w:val="8"/>
                <w:color w:val="auto"/>
              </w:rPr>
              <w:t>Claims</w:t>
            </w:r>
            <w:r>
              <w:rPr>
                <w:rFonts w:ascii="Arial" w:cs="Arial" w:eastAsia="Arial" w:hAnsi="Arial"/>
                <w:sz w:val="10"/>
                <w:szCs w:val="10"/>
                <w:color w:val="auto"/>
                <w:vertAlign w:val="superscript"/>
              </w:rPr>
              <w:t>(1)</w:t>
            </w:r>
          </w:p>
        </w:tc>
        <w:tc>
          <w:tcPr>
            <w:tcW w:w="114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tcPr>
          <w:p>
            <w:pPr>
              <w:jc w:val="center"/>
              <w:spacing w:after="0" w:line="92" w:lineRule="exact"/>
              <w:rPr>
                <w:sz w:val="20"/>
                <w:szCs w:val="20"/>
                <w:color w:val="auto"/>
              </w:rPr>
            </w:pPr>
            <w:r>
              <w:rPr>
                <w:rFonts w:ascii="Arial" w:cs="Arial" w:eastAsia="Arial" w:hAnsi="Arial"/>
                <w:sz w:val="10"/>
                <w:szCs w:val="10"/>
                <w:color w:val="auto"/>
              </w:rPr>
              <w:t>2021</w:t>
            </w:r>
          </w:p>
        </w:tc>
        <w:tc>
          <w:tcPr>
            <w:tcW w:w="7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tcPr>
          <w:p>
            <w:pPr>
              <w:jc w:val="center"/>
              <w:spacing w:after="0" w:line="92" w:lineRule="exact"/>
              <w:rPr>
                <w:sz w:val="20"/>
                <w:szCs w:val="20"/>
                <w:color w:val="auto"/>
              </w:rPr>
            </w:pPr>
            <w:r>
              <w:rPr>
                <w:rFonts w:ascii="Arial" w:cs="Arial" w:eastAsia="Arial" w:hAnsi="Arial"/>
                <w:sz w:val="10"/>
                <w:szCs w:val="10"/>
                <w:color w:val="auto"/>
              </w:rPr>
              <w:t>shares</w:t>
            </w:r>
          </w:p>
        </w:tc>
        <w:tc>
          <w:tcPr>
            <w:tcW w:w="13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880" w:type="dxa"/>
            <w:vAlign w:val="bottom"/>
            <w:tcBorders>
              <w:left w:val="single" w:sz="8" w:color="auto"/>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7"/>
              </w:rPr>
              <w:t>Inc.</w:t>
            </w:r>
          </w:p>
        </w:tc>
        <w:tc>
          <w:tcPr>
            <w:tcW w:w="8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1"/>
              </w:rPr>
              <w:t>Stock</w:t>
            </w:r>
          </w:p>
        </w:tc>
        <w:tc>
          <w:tcPr>
            <w:tcW w:w="90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Fee Offset</w:t>
            </w:r>
          </w:p>
        </w:tc>
        <w:tc>
          <w:tcPr>
            <w:tcW w:w="11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2"/>
              </w:rPr>
              <w:t>Zoom Video</w:t>
            </w:r>
          </w:p>
        </w:tc>
        <w:tc>
          <w:tcPr>
            <w:tcW w:w="82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89"/>
              </w:rPr>
              <w:t>August 13,</w:t>
            </w:r>
          </w:p>
        </w:tc>
        <w:tc>
          <w:tcPr>
            <w:tcW w:w="1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6"/>
              </w:rPr>
              <w:t>$132,800.37</w:t>
            </w:r>
            <w:r>
              <w:rPr>
                <w:rFonts w:ascii="Arial" w:cs="Arial" w:eastAsia="Arial" w:hAnsi="Arial"/>
                <w:sz w:val="18"/>
                <w:szCs w:val="18"/>
                <w:color w:val="auto"/>
                <w:w w:val="86"/>
                <w:vertAlign w:val="superscript"/>
              </w:rPr>
              <w:t>(1)</w:t>
            </w:r>
          </w:p>
        </w:tc>
        <w:tc>
          <w:tcPr>
            <w:tcW w:w="0" w:type="dxa"/>
            <w:vAlign w:val="bottom"/>
          </w:tcPr>
          <w:p>
            <w:pPr>
              <w:spacing w:after="0"/>
              <w:rPr>
                <w:sz w:val="1"/>
                <w:szCs w:val="1"/>
                <w:color w:val="auto"/>
              </w:rPr>
            </w:pPr>
          </w:p>
        </w:tc>
      </w:tr>
      <w:tr>
        <w:trPr>
          <w:trHeight w:val="84"/>
        </w:trPr>
        <w:tc>
          <w:tcPr>
            <w:tcW w:w="880" w:type="dxa"/>
            <w:vAlign w:val="bottom"/>
            <w:tcBorders>
              <w:left w:val="single" w:sz="8" w:color="auto"/>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Communications,</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2"/>
              </w:rPr>
              <w:t>S-4</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333-258815</w:t>
            </w:r>
          </w:p>
        </w:tc>
        <w:tc>
          <w:tcPr>
            <w:tcW w:w="840" w:type="dxa"/>
            <w:vAlign w:val="bottom"/>
            <w:tcBorders>
              <w:right w:val="single" w:sz="8" w:color="auto"/>
            </w:tcBorders>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880" w:type="dxa"/>
            <w:vAlign w:val="bottom"/>
            <w:tcBorders>
              <w:left w:val="single" w:sz="8" w:color="auto"/>
              <w:right w:val="single" w:sz="8" w:color="auto"/>
            </w:tcBorders>
          </w:tcPr>
          <w:p>
            <w:pPr>
              <w:jc w:val="center"/>
              <w:spacing w:after="0" w:line="131" w:lineRule="exact"/>
              <w:rPr>
                <w:sz w:val="20"/>
                <w:szCs w:val="20"/>
                <w:color w:val="auto"/>
              </w:rPr>
            </w:pPr>
            <w:r>
              <w:rPr>
                <w:rFonts w:ascii="Arial" w:cs="Arial" w:eastAsia="Arial" w:hAnsi="Arial"/>
                <w:sz w:val="12"/>
                <w:szCs w:val="12"/>
                <w:color w:val="auto"/>
                <w:w w:val="95"/>
              </w:rPr>
              <w:t>Sources</w:t>
            </w:r>
            <w:r>
              <w:rPr>
                <w:rFonts w:ascii="Arial" w:cs="Arial" w:eastAsia="Arial" w:hAnsi="Arial"/>
                <w:sz w:val="15"/>
                <w:szCs w:val="15"/>
                <w:color w:val="auto"/>
                <w:w w:val="95"/>
                <w:vertAlign w:val="superscript"/>
              </w:rPr>
              <w:t>(1)</w:t>
            </w:r>
          </w:p>
        </w:tc>
        <w:tc>
          <w:tcPr>
            <w:tcW w:w="1140" w:type="dxa"/>
            <w:vAlign w:val="bottom"/>
            <w:tcBorders>
              <w:right w:val="single" w:sz="8" w:color="auto"/>
            </w:tcBorders>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Arial" w:cs="Arial" w:eastAsia="Arial" w:hAnsi="Arial"/>
                <w:sz w:val="14"/>
                <w:szCs w:val="14"/>
                <w:color w:val="auto"/>
                <w:w w:val="89"/>
              </w:rPr>
              <w:t>2021</w:t>
            </w:r>
          </w:p>
        </w:tc>
        <w:tc>
          <w:tcPr>
            <w:tcW w:w="1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0"/>
              </w:rPr>
              <w:t>(2)</w:t>
            </w:r>
          </w:p>
        </w:tc>
        <w:tc>
          <w:tcPr>
            <w:tcW w:w="0" w:type="dxa"/>
            <w:vAlign w:val="bottom"/>
          </w:tcPr>
          <w:p>
            <w:pPr>
              <w:spacing w:after="0"/>
              <w:rPr>
                <w:sz w:val="1"/>
                <w:szCs w:val="1"/>
                <w:color w:val="auto"/>
              </w:rPr>
            </w:pPr>
          </w:p>
        </w:tc>
      </w:tr>
      <w:tr>
        <w:trPr>
          <w:trHeight w:val="143"/>
        </w:trPr>
        <w:tc>
          <w:tcPr>
            <w:tcW w:w="880" w:type="dxa"/>
            <w:vAlign w:val="bottom"/>
            <w:tcBorders>
              <w:left w:val="single" w:sz="8" w:color="auto"/>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7"/>
              </w:rPr>
              <w:t>Inc.</w:t>
            </w:r>
          </w:p>
        </w:tc>
        <w:tc>
          <w:tcPr>
            <w:tcW w:w="8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left="320" w:right="20" w:hanging="316"/>
        <w:spacing w:after="0" w:line="213" w:lineRule="auto"/>
        <w:tabs>
          <w:tab w:leader="none" w:pos="368"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 previously registered $15,057,382,692.48 in aggregate offering amount of Class A common stock pursuant to the Registration Statement on Form S-4 (File Number 333-258815) filed on August 13, 2021, as amended by Pre-Effective Amendment No. 1 filed on August 26, 2021 (the “Prior Registration Statement”). The Registrant has withdrawn the Prior Registration Statement and no securities were sold thereunder.</w:t>
      </w:r>
    </w:p>
    <w:p>
      <w:pPr>
        <w:spacing w:after="0" w:line="2" w:lineRule="exact"/>
        <w:rPr>
          <w:rFonts w:ascii="Arial" w:cs="Arial" w:eastAsia="Arial" w:hAnsi="Arial"/>
          <w:sz w:val="17"/>
          <w:szCs w:val="17"/>
          <w:color w:val="auto"/>
        </w:rPr>
      </w:pPr>
    </w:p>
    <w:p>
      <w:pPr>
        <w:ind w:left="320" w:right="80" w:hanging="316"/>
        <w:spacing w:after="0" w:line="262" w:lineRule="auto"/>
        <w:tabs>
          <w:tab w:leader="none" w:pos="362"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Registrant expects to offset the registration fee due hereunder by an amount of fees that was previously paid with respect to the Prior Registration Statement pursuant to Rule 457(p) under the Securities Act. The fee previously paid for the Prior Registration Statement was $1,642,760.45. Pursuant to Rule 457(p) under the Securities Act, the Registrant offset $192,507.12 of the total registration fees due under its Registration Statement on Form S-8 (File Number 333-263354), filed on March 8, 2022, against the fees previously paid in connection with the Prior Registration Statement, leaving a remaining balance of $1,450,253.33 available for future fee offsets by the Registrant. Pursuant to Rule 457(p) under the Securities Act, the Registrant hereby offsets the total registration fee due under this Registration Statement of $132,800.37 from the fees previously paid in connection with the Prior Registration Statement, with $1,317,452.96 remaining to be applied to future filings. Accordingly, no additional registration fee is being paid in connection with the filing of this Registration Statement.</w:t>
      </w:r>
    </w:p>
    <w:p>
      <w:pPr>
        <w:sectPr>
          <w:pgSz w:w="11900" w:h="16838" w:orient="portrait"/>
          <w:cols w:equalWidth="0" w:num="1">
            <w:col w:w="11260"/>
          </w:cols>
          <w:pgMar w:left="320" w:top="1440" w:right="319" w:bottom="1440" w:gutter="0" w:footer="0" w:header="0"/>
        </w:sectPr>
      </w:pPr>
    </w:p>
    <w:bookmarkStart w:id="7" w:name="page8"/>
    <w:bookmarkEnd w:id="7"/>
    <w:p>
      <w:pPr>
        <w:jc w:val="right"/>
        <w:spacing w:after="0"/>
        <w:rPr>
          <w:sz w:val="20"/>
          <w:szCs w:val="20"/>
          <w:color w:val="auto"/>
        </w:rPr>
      </w:pPr>
      <w:r>
        <w:rPr>
          <w:rFonts w:ascii="Arial" w:cs="Arial" w:eastAsia="Arial" w:hAnsi="Arial"/>
          <w:sz w:val="19"/>
          <w:szCs w:val="19"/>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956945</wp:posOffset>
            </wp:positionV>
            <wp:extent cx="943610" cy="306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943610" cy="30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Calise Y. Cheng</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+1 650 843 5172</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ccheng@cooley.com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March 3, 2023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Zoom Video Communications, Inc.</w:t>
      </w:r>
    </w:p>
    <w:p>
      <w:pPr>
        <w:spacing w:after="0" w:line="195" w:lineRule="auto"/>
        <w:rPr>
          <w:sz w:val="20"/>
          <w:szCs w:val="20"/>
          <w:color w:val="auto"/>
        </w:rPr>
      </w:pPr>
      <w:r>
        <w:rPr>
          <w:rFonts w:ascii="Arial" w:cs="Arial" w:eastAsia="Arial" w:hAnsi="Arial"/>
          <w:sz w:val="17"/>
          <w:szCs w:val="17"/>
          <w:color w:val="auto"/>
        </w:rPr>
        <w:t>55 Almaden Boulevard, 6</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w:t>
      </w:r>
    </w:p>
    <w:p>
      <w:pPr>
        <w:spacing w:after="0"/>
        <w:rPr>
          <w:sz w:val="20"/>
          <w:szCs w:val="20"/>
          <w:color w:val="auto"/>
        </w:rPr>
      </w:pPr>
      <w:r>
        <w:rPr>
          <w:rFonts w:ascii="Arial" w:cs="Arial" w:eastAsia="Arial" w:hAnsi="Arial"/>
          <w:sz w:val="17"/>
          <w:szCs w:val="17"/>
          <w:color w:val="auto"/>
        </w:rPr>
        <w:t>San Jose, CA 95113</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 Registration on Form S-8</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have acted as counsel to Zoom Video Communications,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of a registration statement on Form S-8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covering the offering of up to 17,629,370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Class A common stock, par value $0.001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consisting of (a)</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14,691,142 shares of Common Stock issuable pursuant to the Company’s 2019 Equity Incentive Plan (the “</w:t>
      </w:r>
      <w:r>
        <w:rPr>
          <w:rFonts w:ascii="Arial" w:cs="Arial" w:eastAsia="Arial" w:hAnsi="Arial"/>
          <w:sz w:val="17"/>
          <w:szCs w:val="17"/>
          <w:b w:val="1"/>
          <w:bCs w:val="1"/>
          <w:i w:val="1"/>
          <w:iCs w:val="1"/>
          <w:color w:val="auto"/>
        </w:rPr>
        <w:t>2019 EIP</w:t>
      </w:r>
      <w:r>
        <w:rPr>
          <w:rFonts w:ascii="Arial" w:cs="Arial" w:eastAsia="Arial" w:hAnsi="Arial"/>
          <w:sz w:val="17"/>
          <w:szCs w:val="17"/>
          <w:color w:val="auto"/>
        </w:rPr>
        <w:t>”) and (b) 2,938,228 shares of Common Stock issuable pursuant to the Company’s 2019 Employee Stock Purchase Plan (together with the 2019 EIP, the “</w:t>
      </w:r>
      <w:r>
        <w:rPr>
          <w:rFonts w:ascii="Arial" w:cs="Arial" w:eastAsia="Arial" w:hAnsi="Arial"/>
          <w:sz w:val="17"/>
          <w:szCs w:val="17"/>
          <w:b w:val="1"/>
          <w:bCs w:val="1"/>
          <w:i w:val="1"/>
          <w:iCs w:val="1"/>
          <w:color w:val="auto"/>
        </w:rPr>
        <w:t>Plans</w:t>
      </w:r>
      <w:r>
        <w:rPr>
          <w:rFonts w:ascii="Arial" w:cs="Arial" w:eastAsia="Arial" w:hAnsi="Arial"/>
          <w:sz w:val="17"/>
          <w:szCs w:val="17"/>
          <w:color w:val="auto"/>
        </w:rPr>
        <w:t>”).</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connection with this opinion, we have examined and relied upon (a) the Registration Statement and related Prospectuses, (b) the Company’s certificate of incorporation and bylaws, each as currently in effect, (c) the Plans, and (d)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200" w:lineRule="exact"/>
        <w:rPr>
          <w:sz w:val="20"/>
          <w:szCs w:val="20"/>
          <w:color w:val="auto"/>
        </w:rPr>
      </w:pP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21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w:t>
      </w:r>
    </w:p>
    <w:p>
      <w:pPr>
        <w:spacing w:after="0"/>
        <w:rPr>
          <w:sz w:val="20"/>
          <w:szCs w:val="20"/>
          <w:color w:val="auto"/>
        </w:rPr>
      </w:pPr>
      <w:r>
        <w:rPr>
          <w:rFonts w:ascii="Arial" w:cs="Arial" w:eastAsia="Arial" w:hAnsi="Arial"/>
          <w:sz w:val="17"/>
          <w:szCs w:val="17"/>
          <w:color w:val="auto"/>
        </w:rPr>
        <w:t>certain deferred payment arrangements, which will be fully paid and nonassessable when such deferred payments are made in full).</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3175 Hanover Street Palo Alto, CA 94304-1130</w:t>
      </w:r>
    </w:p>
    <w:p>
      <w:pPr>
        <w:jc w:val="center"/>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240"/>
          </w:cols>
          <w:pgMar w:left="320" w:top="13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9"/>
          <w:szCs w:val="19"/>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Cooley LLP</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Calise Y. Cheng</w:t>
      </w:r>
    </w:p>
    <w:p>
      <w:pPr>
        <w:spacing w:after="0"/>
        <w:rPr>
          <w:sz w:val="20"/>
          <w:szCs w:val="20"/>
          <w:color w:val="auto"/>
        </w:rPr>
      </w:pPr>
      <w:r>
        <w:rPr>
          <w:rFonts w:ascii="Arial" w:cs="Arial" w:eastAsia="Arial" w:hAnsi="Arial"/>
          <w:sz w:val="17"/>
          <w:szCs w:val="17"/>
          <w:color w:val="auto"/>
        </w:rPr>
        <w:t>Calise Y. Cheng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3175 Hanover Street Palo Alto, CA 94304-1130</w:t>
      </w:r>
    </w:p>
    <w:p>
      <w:pPr>
        <w:jc w:val="center"/>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240"/>
          </w:cols>
          <w:pgMar w:left="320" w:top="135"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1"/>
          <w:szCs w:val="2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7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consent to the use of our report dated March 3, 2023, with respect to the consolidated financial statements of Zoom Video Communications, Inc., and the effectiveness of internal control over financial reporting,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March 3, 2023</w:t>
      </w:r>
    </w:p>
    <w:sectPr>
      <w:pgSz w:w="11900" w:h="16838" w:orient="portrait"/>
      <w:cols w:equalWidth="0" w:num="1">
        <w:col w:w="11240"/>
      </w:cols>
      <w:pgMar w:left="320" w:top="6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jpeg"/><Relationship Id="rId10" Type="http://schemas.openxmlformats.org/officeDocument/2006/relationships/hyperlink" Target="https://www.sec.gov/Archives/edgar/data/1585521/000119312519115105/d724945ds8.htm" TargetMode="External"/><Relationship Id="rId11" Type="http://schemas.openxmlformats.org/officeDocument/2006/relationships/hyperlink" Target="https://www.sec.gov/Archives/edgar/data/1585521/000158552120000096/zm-sx8_2020.htm" TargetMode="External"/><Relationship Id="rId12" Type="http://schemas.openxmlformats.org/officeDocument/2006/relationships/hyperlink" Target="https://www.sec.gov/Archives/edgar/data/1585521/000158552121000050/zm-sx8_2021.htm" TargetMode="External"/><Relationship Id="rId13" Type="http://schemas.openxmlformats.org/officeDocument/2006/relationships/hyperlink" Target="https://www.sec.gov/Archives/edgar/data/1585521/000158552122000040/zm-sx8_2022.htm" TargetMode="External"/><Relationship Id="rId14" Type="http://schemas.openxmlformats.org/officeDocument/2006/relationships/hyperlink" Target="https://www.sec.gov/ix?doc=/Archives/edgar/data/1585521/000158552123000035/zm-20230131.htm" TargetMode="External"/><Relationship Id="rId15" Type="http://schemas.openxmlformats.org/officeDocument/2006/relationships/hyperlink" Target="https://www.sec.gov/Archives/edgar/data/1585521/000119312519099830/d730043d8a12b.htm" TargetMode="External"/><Relationship Id="rId16" Type="http://schemas.openxmlformats.org/officeDocument/2006/relationships/hyperlink" Target="https://www.sec.gov/Archives/edgar/data/1585521/000158552123000035/ex43_securitiesfrompy11.htm" TargetMode="External"/><Relationship Id="rId17" Type="http://schemas.openxmlformats.org/officeDocument/2006/relationships/hyperlink" Target="http://www.sec.gov/Archives/edgar/data/1585521/000119312519115111/d736915dex31.htm" TargetMode="External"/><Relationship Id="rId18" Type="http://schemas.openxmlformats.org/officeDocument/2006/relationships/hyperlink" Target="https://www.sec.gov/Archives/edgar/data/1585521/000158552123000035/zoom-amendedandrestatedb.htm" TargetMode="External"/><Relationship Id="rId19" Type="http://schemas.openxmlformats.org/officeDocument/2006/relationships/hyperlink" Target="http://www.sec.gov/Archives/edgar/data/1585521/000119312519099813/d642624dex41.htm" TargetMode="External"/><Relationship Id="rId20" Type="http://schemas.openxmlformats.org/officeDocument/2006/relationships/hyperlink" Target="https://www.sec.gov/Archives/edgar/data/1585521/000158552122000213/exhibit102_zoomamendedandr.htm" TargetMode="External"/><Relationship Id="rId21" Type="http://schemas.openxmlformats.org/officeDocument/2006/relationships/hyperlink" Target="http://www.sec.gov/Archives/edgar/data/1585521/000119312519099813/d64262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2023-03-03T15:24:43Z</dcterms:created>
  <dcterms:modified xsi:type="dcterms:W3CDTF">2023-03-03T15:24:43Z</dcterms:modified>
</cp:coreProperties>
</file>