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10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Steckelberg Kelly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94"/>
        <w:spacing w:after="0" w:line="268" w:lineRule="auto"/>
        <w:rPr>
          <w:sz w:val="20"/>
          <w:szCs w:val="20"/>
          <w:color w:val="auto"/>
        </w:rPr>
      </w:pPr>
      <w:r>
        <w:rPr>
          <w:rFonts w:ascii="Arial" w:cs="Arial" w:eastAsia="Arial" w:hAnsi="Arial"/>
          <w:sz w:val="18"/>
          <w:szCs w:val="18"/>
          <w:color w:val="0000FF"/>
        </w:rPr>
        <w:t>C/O ZOOM VIDEO COMMUNICATIONS, INC.</w:t>
      </w:r>
    </w:p>
    <w:p>
      <w:pPr>
        <w:spacing w:after="0" w:line="24" w:lineRule="exact"/>
        <w:rPr>
          <w:sz w:val="24"/>
          <w:szCs w:val="24"/>
          <w:color w:val="auto"/>
        </w:rPr>
      </w:pPr>
    </w:p>
    <w:p>
      <w:pPr>
        <w:ind w:left="120" w:right="1734"/>
        <w:spacing w:after="0" w:line="268" w:lineRule="auto"/>
        <w:rPr>
          <w:sz w:val="20"/>
          <w:szCs w:val="20"/>
          <w:color w:val="auto"/>
        </w:rPr>
      </w:pPr>
      <w:r>
        <w:rPr>
          <w:rFonts w:ascii="Arial" w:cs="Arial" w:eastAsia="Arial" w:hAnsi="Arial"/>
          <w:sz w:val="18"/>
          <w:szCs w:val="18"/>
          <w:color w:val="0000FF"/>
        </w:rPr>
        <w:t>55 ALMADEN BOULEVARD, 6TH FLOOR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JOSE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95113</w:t>
            </w: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vMerge w:val="continue"/>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2020" w:type="dxa"/>
            <w:vAlign w:val="bottom"/>
          </w:tcPr>
          <w:p>
            <w:pPr>
              <w:jc w:val="center"/>
              <w:spacing w:after="0"/>
              <w:rPr>
                <w:sz w:val="20"/>
                <w:szCs w:val="20"/>
                <w:color w:val="auto"/>
              </w:rPr>
            </w:pPr>
            <w:r>
              <w:rPr>
                <w:rFonts w:ascii="Arial" w:cs="Arial" w:eastAsia="Arial" w:hAnsi="Arial"/>
                <w:sz w:val="18"/>
                <w:szCs w:val="18"/>
                <w:color w:val="0000FF"/>
                <w:w w:val="89"/>
              </w:rPr>
              <w:t>Class A Common Stock</w:t>
            </w:r>
          </w:p>
        </w:tc>
        <w:tc>
          <w:tcPr>
            <w:tcW w:w="860" w:type="dxa"/>
            <w:vAlign w:val="bottom"/>
          </w:tcPr>
          <w:p>
            <w:pPr>
              <w:jc w:val="center"/>
              <w:spacing w:after="0"/>
              <w:rPr>
                <w:sz w:val="20"/>
                <w:szCs w:val="20"/>
                <w:color w:val="auto"/>
              </w:rPr>
            </w:pPr>
            <w:r>
              <w:rPr>
                <w:rFonts w:ascii="Arial" w:cs="Arial" w:eastAsia="Arial" w:hAnsi="Arial"/>
                <w:sz w:val="18"/>
                <w:szCs w:val="18"/>
                <w:color w:val="0000FF"/>
                <w:w w:val="88"/>
              </w:rPr>
              <w:t>8,000</w:t>
            </w:r>
          </w:p>
        </w:tc>
        <w:tc>
          <w:tcPr>
            <w:tcW w:w="880" w:type="dxa"/>
            <w:vAlign w:val="bottom"/>
          </w:tcPr>
          <w:p>
            <w:pPr>
              <w:ind w:left="300"/>
              <w:spacing w:after="0"/>
              <w:rPr>
                <w:sz w:val="20"/>
                <w:szCs w:val="20"/>
                <w:color w:val="auto"/>
              </w:rPr>
            </w:pPr>
            <w:r>
              <w:rPr>
                <w:rFonts w:ascii="Arial" w:cs="Arial" w:eastAsia="Arial" w:hAnsi="Arial"/>
                <w:sz w:val="18"/>
                <w:szCs w:val="18"/>
                <w:color w:val="0000FF"/>
              </w:rPr>
              <w:t>0.00</w:t>
            </w:r>
          </w:p>
        </w:tc>
        <w:tc>
          <w:tcPr>
            <w:tcW w:w="880" w:type="dxa"/>
            <w:vAlign w:val="bottom"/>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2020" w:type="dxa"/>
            <w:vAlign w:val="bottom"/>
          </w:tcPr>
          <w:p>
            <w:pPr>
              <w:jc w:val="center"/>
              <w:spacing w:after="0"/>
              <w:rPr>
                <w:sz w:val="20"/>
                <w:szCs w:val="20"/>
                <w:color w:val="auto"/>
              </w:rPr>
            </w:pPr>
            <w:r>
              <w:rPr>
                <w:rFonts w:ascii="Arial" w:cs="Arial" w:eastAsia="Arial" w:hAnsi="Arial"/>
                <w:sz w:val="18"/>
                <w:szCs w:val="18"/>
                <w:color w:val="0000FF"/>
                <w:w w:val="89"/>
              </w:rPr>
              <w:t>Class A Common Stock</w:t>
            </w:r>
          </w:p>
        </w:tc>
        <w:tc>
          <w:tcPr>
            <w:tcW w:w="860" w:type="dxa"/>
            <w:vAlign w:val="bottom"/>
          </w:tcPr>
          <w:p>
            <w:pPr>
              <w:jc w:val="center"/>
              <w:spacing w:after="0"/>
              <w:rPr>
                <w:sz w:val="20"/>
                <w:szCs w:val="20"/>
                <w:color w:val="auto"/>
              </w:rPr>
            </w:pPr>
            <w:r>
              <w:rPr>
                <w:rFonts w:ascii="Arial" w:cs="Arial" w:eastAsia="Arial" w:hAnsi="Arial"/>
                <w:sz w:val="18"/>
                <w:szCs w:val="18"/>
                <w:color w:val="0000FF"/>
                <w:w w:val="89"/>
              </w:rPr>
              <w:t>221,486</w:t>
            </w:r>
          </w:p>
        </w:tc>
        <w:tc>
          <w:tcPr>
            <w:tcW w:w="880" w:type="dxa"/>
            <w:vAlign w:val="bottom"/>
          </w:tcPr>
          <w:p>
            <w:pPr>
              <w:ind w:left="300"/>
              <w:spacing w:after="0"/>
              <w:rPr>
                <w:sz w:val="20"/>
                <w:szCs w:val="20"/>
                <w:color w:val="auto"/>
              </w:rPr>
            </w:pPr>
            <w:r>
              <w:rPr>
                <w:rFonts w:ascii="Arial" w:cs="Arial" w:eastAsia="Arial" w:hAnsi="Arial"/>
                <w:sz w:val="18"/>
                <w:szCs w:val="18"/>
                <w:color w:val="0000FF"/>
              </w:rPr>
              <w:t>0.00</w:t>
            </w:r>
          </w:p>
        </w:tc>
        <w:tc>
          <w:tcPr>
            <w:tcW w:w="880" w:type="dxa"/>
            <w:vAlign w:val="bottom"/>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Borders>
              <w:top w:val="single" w:sz="8" w:color="2C2C2C"/>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4"/>
                <w:szCs w:val="14"/>
                <w:color w:val="0000FF"/>
                <w:w w:val="88"/>
              </w:rPr>
              <w:t>01/06/2028</w:t>
            </w:r>
          </w:p>
        </w:tc>
        <w:tc>
          <w:tcPr>
            <w:tcW w:w="20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(1)</w:t>
            </w:r>
          </w:p>
        </w:tc>
        <w:tc>
          <w:tcPr>
            <w:tcW w:w="8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7"/>
              </w:rPr>
              <w:t>1,006,514</w:t>
            </w:r>
          </w:p>
        </w:tc>
        <w:tc>
          <w:tcPr>
            <w:tcW w:w="880" w:type="dxa"/>
            <w:vAlign w:val="bottom"/>
            <w:tcBorders>
              <w:top w:val="single" w:sz="8" w:color="2C2C2C"/>
              <w:bottom w:val="single" w:sz="8" w:color="2C2C2C"/>
            </w:tcBorders>
          </w:tcPr>
          <w:p>
            <w:pPr>
              <w:ind w:left="300"/>
              <w:spacing w:after="0"/>
              <w:rPr>
                <w:sz w:val="20"/>
                <w:szCs w:val="20"/>
                <w:color w:val="auto"/>
              </w:rPr>
            </w:pPr>
            <w:r>
              <w:rPr>
                <w:rFonts w:ascii="Arial" w:cs="Arial" w:eastAsia="Arial" w:hAnsi="Arial"/>
                <w:sz w:val="18"/>
                <w:szCs w:val="18"/>
                <w:color w:val="0000FF"/>
              </w:rPr>
              <w:t>1.31</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09/24/2028</w:t>
            </w:r>
          </w:p>
        </w:tc>
        <w:tc>
          <w:tcPr>
            <w:tcW w:w="20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100,000</w:t>
            </w:r>
          </w:p>
        </w:tc>
        <w:tc>
          <w:tcPr>
            <w:tcW w:w="8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3.77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held of record by Kelly Steckelberg Trust dated July 29, 2006, for which the Reporting Person serves as trustee.</w:t>
      </w:r>
    </w:p>
    <w:p>
      <w:pPr>
        <w:spacing w:after="0" w:line="41" w:lineRule="exact"/>
        <w:rPr>
          <w:rFonts w:ascii="Arial" w:cs="Arial" w:eastAsia="Arial" w:hAnsi="Arial"/>
          <w:sz w:val="14"/>
          <w:szCs w:val="14"/>
          <w:color w:val="008000"/>
        </w:rPr>
      </w:pPr>
    </w:p>
    <w:p>
      <w:pPr>
        <w:ind w:left="40" w:right="4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1/4 of the shares subject to the option vested on November 6, 2018, and 1/48 of the shares vest monthly thereafter. The shares subject to this option are early exercisable, subject to the Issuer's right to repurchase.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04/17/2019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each of Aparna Bawa, Tiffany Hui, Jon Avina, and Calise Cheng, signing individually, the undersigned's true and lawful attorneys-in fact and agents to:</w:t>
      </w:r>
    </w:p>
    <w:p>
      <w:pPr>
        <w:spacing w:after="0" w:line="178"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Zoom Video Communications,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April,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Steckelberg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Kelly Steckelberg</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64713"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2019-12-24T04:24:47Z</dcterms:created>
  <dcterms:modified xsi:type="dcterms:W3CDTF">2019-12-24T04:24:47Z</dcterms:modified>
</cp:coreProperties>
</file>