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6496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49668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ind w:left="60"/>
              <w:spacing w:after="0"/>
              <w:rPr>
                <w:sz w:val="20"/>
                <w:szCs w:val="20"/>
                <w:color w:val="auto"/>
              </w:rPr>
            </w:pPr>
            <w:r>
              <w:rPr>
                <w:rFonts w:ascii="Arial" w:cs="Arial" w:eastAsia="Arial" w:hAnsi="Arial"/>
                <w:sz w:val="16"/>
                <w:szCs w:val="16"/>
                <w:color w:val="0000FF"/>
              </w:rPr>
              <w:t>03/11/2021</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940" w:type="dxa"/>
            <w:vAlign w:val="bottom"/>
            <w:gridSpan w:val="2"/>
          </w:tcPr>
          <w:p>
            <w:pPr>
              <w:ind w:left="60"/>
              <w:spacing w:after="0" w:line="178" w:lineRule="exact"/>
              <w:rPr>
                <w:sz w:val="20"/>
                <w:szCs w:val="20"/>
                <w:color w:val="auto"/>
              </w:rPr>
            </w:pPr>
            <w:r>
              <w:rPr>
                <w:rFonts w:ascii="Arial" w:cs="Arial" w:eastAsia="Arial" w:hAnsi="Arial"/>
                <w:sz w:val="16"/>
                <w:szCs w:val="16"/>
                <w:color w:val="0000FF"/>
              </w:rPr>
              <w:t>03/12/2021</w:t>
            </w:r>
          </w:p>
        </w:tc>
        <w:tc>
          <w:tcPr>
            <w:tcW w:w="9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92"/>
              </w:rPr>
              <w:t>4,080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09/24/2023</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124,425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344,325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03/11/2021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220" w:hanging="1"/>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right="360"/>
        <w:spacing w:after="0" w:line="235" w:lineRule="auto"/>
        <w:rPr>
          <w:sz w:val="20"/>
          <w:szCs w:val="20"/>
          <w:color w:val="auto"/>
        </w:rPr>
      </w:pPr>
      <w:r>
        <w:rPr>
          <w:rFonts w:ascii="Arial" w:cs="Arial" w:eastAsia="Arial" w:hAnsi="Arial"/>
          <w:sz w:val="13"/>
          <w:szCs w:val="13"/>
          <w:color w:val="008000"/>
        </w:rPr>
        <w:t>This amendment is being filed to correct the number of shares exercised from two separate awards on March 11, 2021, and to correct the number of securities beneficially owned by the Reporting Person through each such award following the corrected transaction. The total number of shares exercised by the Reporting Person and the aggregate number of securities beneficially owned following the exercises remains unchanged. All other information disclosed in the original Form 4 filed on March 12, 2021 remains unchanged.</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05/04/2021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2021-05-04T17:15:16Z</dcterms:created>
  <dcterms:modified xsi:type="dcterms:W3CDTF">2021-05-04T17:15:16Z</dcterms:modified>
</cp:coreProperties>
</file>