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7795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779526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Sankarlingam Velchamy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03/09/2025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Pres. of Engineering &amp; Product</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3660" w:type="dxa"/>
            <w:vAlign w:val="bottom"/>
            <w:gridSpan w:val="5"/>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60" w:type="dxa"/>
            <w:vAlign w:val="bottom"/>
            <w:gridSpan w:val="5"/>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auto"/>
              </w:rPr>
              <w:t>Line)</w:t>
            </w: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80" w:type="dxa"/>
            <w:vAlign w:val="bottom"/>
            <w:gridSpan w:val="4"/>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72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95113</w:t>
            </w:r>
          </w:p>
        </w:tc>
        <w:tc>
          <w:tcPr>
            <w:tcW w:w="5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80" w:type="dxa"/>
            <w:vAlign w:val="bottom"/>
            <w:gridSpan w:val="4"/>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172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940" w:type="dxa"/>
            <w:vAlign w:val="bottom"/>
            <w:vMerge w:val="restart"/>
          </w:tcPr>
          <w:p>
            <w:pPr>
              <w:ind w:left="240"/>
              <w:spacing w:after="0"/>
              <w:rPr>
                <w:sz w:val="20"/>
                <w:szCs w:val="20"/>
                <w:color w:val="auto"/>
              </w:rPr>
            </w:pPr>
            <w:r>
              <w:rPr>
                <w:rFonts w:ascii="Arial" w:cs="Arial" w:eastAsia="Arial" w:hAnsi="Arial"/>
                <w:sz w:val="13"/>
                <w:szCs w:val="13"/>
                <w:color w:val="auto"/>
              </w:rPr>
              <w:t>(State)</w:t>
            </w:r>
          </w:p>
        </w:tc>
        <w:tc>
          <w:tcPr>
            <w:tcW w:w="2280" w:type="dxa"/>
            <w:vAlign w:val="bottom"/>
            <w:gridSpan w:val="2"/>
            <w:vMerge w:val="restart"/>
          </w:tcPr>
          <w:p>
            <w:pPr>
              <w:ind w:left="520"/>
              <w:spacing w:after="0"/>
              <w:rPr>
                <w:sz w:val="20"/>
                <w:szCs w:val="20"/>
                <w:color w:val="auto"/>
              </w:rPr>
            </w:pPr>
            <w:r>
              <w:rPr>
                <w:rFonts w:ascii="Arial" w:cs="Arial" w:eastAsia="Arial" w:hAnsi="Arial"/>
                <w:sz w:val="13"/>
                <w:szCs w:val="13"/>
                <w:color w:val="auto"/>
              </w:rPr>
              <w:t>(Zip)</w:t>
            </w: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28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tcPr>
          <w:p>
            <w:pPr>
              <w:spacing w:after="0"/>
              <w:rPr>
                <w:sz w:val="10"/>
                <w:szCs w:val="10"/>
                <w:color w:val="auto"/>
              </w:rPr>
            </w:pPr>
          </w:p>
        </w:tc>
        <w:tc>
          <w:tcPr>
            <w:tcW w:w="5460" w:type="dxa"/>
            <w:vAlign w:val="bottom"/>
            <w:tcBorders>
              <w:bottom w:val="single" w:sz="8" w:color="2C2C2C"/>
            </w:tcBorders>
            <w:gridSpan w:val="7"/>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8"/>
          </w:tcPr>
          <w:p>
            <w:pPr>
              <w:ind w:left="3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020" w:type="dxa"/>
            <w:vAlign w:val="bottom"/>
            <w:tcBorders>
              <w:bottom w:val="single" w:sz="8" w:color="2C2C2C"/>
            </w:tcBorders>
            <w:gridSpan w:val="3"/>
          </w:tcPr>
          <w:p>
            <w:pPr>
              <w:spacing w:after="0"/>
              <w:rPr>
                <w:sz w:val="2"/>
                <w:szCs w:val="2"/>
                <w:color w:val="auto"/>
              </w:rPr>
            </w:pPr>
          </w:p>
        </w:tc>
        <w:tc>
          <w:tcPr>
            <w:tcW w:w="228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80" w:type="dxa"/>
            <w:vAlign w:val="bottom"/>
            <w:gridSpan w:val="2"/>
          </w:tcPr>
          <w:p>
            <w:pPr>
              <w:ind w:left="128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80" w:type="dxa"/>
            <w:vAlign w:val="bottom"/>
            <w:gridSpan w:val="2"/>
          </w:tcPr>
          <w:p>
            <w:pPr>
              <w:ind w:left="12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80" w:type="dxa"/>
            <w:vAlign w:val="bottom"/>
            <w:gridSpan w:val="2"/>
          </w:tcPr>
          <w:p>
            <w:pPr>
              <w:ind w:left="12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6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020" w:type="dxa"/>
            <w:vAlign w:val="bottom"/>
            <w:tcBorders>
              <w:bottom w:val="single" w:sz="8" w:color="2C2C2C"/>
            </w:tcBorders>
            <w:gridSpan w:val="3"/>
          </w:tcPr>
          <w:p>
            <w:pPr>
              <w:spacing w:after="0"/>
              <w:rPr>
                <w:sz w:val="3"/>
                <w:szCs w:val="3"/>
                <w:color w:val="auto"/>
              </w:rPr>
            </w:pPr>
          </w:p>
        </w:tc>
        <w:tc>
          <w:tcPr>
            <w:tcW w:w="22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280" w:type="dxa"/>
            <w:vAlign w:val="bottom"/>
            <w:gridSpan w:val="2"/>
          </w:tcPr>
          <w:p>
            <w:pPr>
              <w:jc w:val="right"/>
              <w:ind w:right="96"/>
              <w:spacing w:after="0"/>
              <w:rPr>
                <w:sz w:val="20"/>
                <w:szCs w:val="20"/>
                <w:color w:val="auto"/>
              </w:rPr>
            </w:pPr>
            <w:r>
              <w:rPr>
                <w:rFonts w:ascii="Times New Roman" w:cs="Times New Roman" w:eastAsia="Times New Roman" w:hAnsi="Times New Roman"/>
                <w:sz w:val="17"/>
                <w:szCs w:val="17"/>
                <w:color w:val="0000FF"/>
              </w:rPr>
              <w:t>03/09/2025</w:t>
            </w:r>
          </w:p>
        </w:tc>
        <w:tc>
          <w:tcPr>
            <w:tcW w:w="108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0000FF"/>
              </w:rPr>
              <w:t>7,031</w:t>
            </w:r>
          </w:p>
        </w:tc>
        <w:tc>
          <w:tcPr>
            <w:tcW w:w="5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Pr>
          <w:p>
            <w:pPr>
              <w:jc w:val="center"/>
              <w:ind w:right="15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124,791</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22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0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280" w:type="dxa"/>
            <w:vAlign w:val="bottom"/>
            <w:tcBorders>
              <w:bottom w:val="single" w:sz="8" w:color="2C2C2C"/>
            </w:tcBorders>
            <w:gridSpan w:val="2"/>
          </w:tcPr>
          <w:p>
            <w:pPr>
              <w:jc w:val="right"/>
              <w:ind w:right="96"/>
              <w:spacing w:after="0"/>
              <w:rPr>
                <w:sz w:val="20"/>
                <w:szCs w:val="20"/>
                <w:color w:val="auto"/>
              </w:rPr>
            </w:pPr>
            <w:r>
              <w:rPr>
                <w:rFonts w:ascii="Times New Roman" w:cs="Times New Roman" w:eastAsia="Times New Roman" w:hAnsi="Times New Roman"/>
                <w:sz w:val="17"/>
                <w:szCs w:val="17"/>
                <w:color w:val="0000FF"/>
              </w:rPr>
              <w:t>03/09/2025</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3,571</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75.98</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121,220</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36,060</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2,000</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Harshini</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2,000</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Ashwini</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bl>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2,000</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Janani</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100" w:type="dxa"/>
            <w:vAlign w:val="bottom"/>
            <w:tcBorders>
              <w:bottom w:val="single" w:sz="8" w:color="2C2C2C"/>
            </w:tcBorders>
            <w:gridSpan w:val="9"/>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100" w:type="dxa"/>
            <w:vAlign w:val="bottom"/>
            <w:tcBorders>
              <w:top w:val="single" w:sz="8" w:color="2C2C2C"/>
            </w:tcBorders>
            <w:gridSpan w:val="9"/>
          </w:tcPr>
          <w:p>
            <w:pPr>
              <w:ind w:left="96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9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360" w:type="dxa"/>
            <w:vAlign w:val="bottom"/>
            <w:gridSpan w:val="7"/>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100" w:type="dxa"/>
            <w:vAlign w:val="bottom"/>
          </w:tcPr>
          <w:p>
            <w:pPr>
              <w:spacing w:after="0"/>
              <w:rPr>
                <w:sz w:val="14"/>
                <w:szCs w:val="14"/>
                <w:color w:val="auto"/>
              </w:rPr>
            </w:pPr>
          </w:p>
        </w:tc>
        <w:tc>
          <w:tcPr>
            <w:tcW w:w="74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100" w:type="dxa"/>
            <w:vAlign w:val="bottom"/>
          </w:tcPr>
          <w:p>
            <w:pPr>
              <w:spacing w:after="0"/>
              <w:rPr>
                <w:sz w:val="11"/>
                <w:szCs w:val="11"/>
                <w:color w:val="auto"/>
              </w:rPr>
            </w:pPr>
          </w:p>
        </w:tc>
        <w:tc>
          <w:tcPr>
            <w:tcW w:w="74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100" w:type="dxa"/>
            <w:vAlign w:val="bottom"/>
          </w:tcPr>
          <w:p>
            <w:pPr>
              <w:spacing w:after="0"/>
              <w:rPr>
                <w:sz w:val="11"/>
                <w:szCs w:val="11"/>
                <w:color w:val="auto"/>
              </w:rPr>
            </w:pPr>
          </w:p>
        </w:tc>
        <w:tc>
          <w:tcPr>
            <w:tcW w:w="74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100" w:type="dxa"/>
            <w:vAlign w:val="bottom"/>
          </w:tcPr>
          <w:p>
            <w:pPr>
              <w:spacing w:after="0"/>
              <w:rPr>
                <w:sz w:val="11"/>
                <w:szCs w:val="11"/>
                <w:color w:val="auto"/>
              </w:rPr>
            </w:pPr>
          </w:p>
        </w:tc>
        <w:tc>
          <w:tcPr>
            <w:tcW w:w="74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 (Instr. 4)</w:t>
            </w: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4,224</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76"/>
              <w:spacing w:after="0" w:line="140" w:lineRule="exact"/>
              <w:rPr>
                <w:sz w:val="20"/>
                <w:szCs w:val="20"/>
                <w:color w:val="auto"/>
              </w:rPr>
            </w:pPr>
            <w:r>
              <w:rPr>
                <w:rFonts w:ascii="Times New Roman" w:cs="Times New Roman" w:eastAsia="Times New Roman" w:hAnsi="Times New Roman"/>
                <w:sz w:val="13"/>
                <w:szCs w:val="13"/>
                <w:color w:val="0000FF"/>
              </w:rPr>
              <w:t>03/09/2025</w:t>
            </w:r>
          </w:p>
        </w:tc>
        <w:tc>
          <w:tcPr>
            <w:tcW w:w="1080" w:type="dxa"/>
            <w:vAlign w:val="bottom"/>
          </w:tcPr>
          <w:p>
            <w:pPr>
              <w:spacing w:after="0"/>
              <w:rPr>
                <w:sz w:val="5"/>
                <w:szCs w:val="5"/>
                <w:color w:val="auto"/>
              </w:rPr>
            </w:pPr>
          </w:p>
        </w:tc>
        <w:tc>
          <w:tcPr>
            <w:tcW w:w="7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vMerge w:val="restart"/>
          </w:tcPr>
          <w:p>
            <w:pPr>
              <w:ind w:left="380"/>
              <w:spacing w:after="0" w:line="140" w:lineRule="exact"/>
              <w:rPr>
                <w:sz w:val="20"/>
                <w:szCs w:val="20"/>
                <w:color w:val="auto"/>
              </w:rPr>
            </w:pPr>
            <w:r>
              <w:rPr>
                <w:rFonts w:ascii="Times New Roman" w:cs="Times New Roman" w:eastAsia="Times New Roman" w:hAnsi="Times New Roman"/>
                <w:sz w:val="13"/>
                <w:szCs w:val="13"/>
                <w:color w:val="0000FF"/>
              </w:rPr>
              <w:t>4,224</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25,341</w:t>
            </w:r>
          </w:p>
        </w:tc>
        <w:tc>
          <w:tcPr>
            <w:tcW w:w="6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2,807</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76"/>
              <w:spacing w:after="0" w:line="140" w:lineRule="exact"/>
              <w:rPr>
                <w:sz w:val="20"/>
                <w:szCs w:val="20"/>
                <w:color w:val="auto"/>
              </w:rPr>
            </w:pPr>
            <w:r>
              <w:rPr>
                <w:rFonts w:ascii="Times New Roman" w:cs="Times New Roman" w:eastAsia="Times New Roman" w:hAnsi="Times New Roman"/>
                <w:sz w:val="13"/>
                <w:szCs w:val="13"/>
                <w:color w:val="0000FF"/>
              </w:rPr>
              <w:t>03/09/2025</w:t>
            </w:r>
          </w:p>
        </w:tc>
        <w:tc>
          <w:tcPr>
            <w:tcW w:w="1080" w:type="dxa"/>
            <w:vAlign w:val="bottom"/>
          </w:tcPr>
          <w:p>
            <w:pPr>
              <w:spacing w:after="0"/>
              <w:rPr>
                <w:sz w:val="5"/>
                <w:szCs w:val="5"/>
                <w:color w:val="auto"/>
              </w:rPr>
            </w:pPr>
          </w:p>
        </w:tc>
        <w:tc>
          <w:tcPr>
            <w:tcW w:w="7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vMerge w:val="restart"/>
          </w:tcPr>
          <w:p>
            <w:pPr>
              <w:ind w:left="380"/>
              <w:spacing w:after="0" w:line="140" w:lineRule="exact"/>
              <w:rPr>
                <w:sz w:val="20"/>
                <w:szCs w:val="20"/>
                <w:color w:val="auto"/>
              </w:rPr>
            </w:pPr>
            <w:r>
              <w:rPr>
                <w:rFonts w:ascii="Times New Roman" w:cs="Times New Roman" w:eastAsia="Times New Roman" w:hAnsi="Times New Roman"/>
                <w:sz w:val="13"/>
                <w:szCs w:val="13"/>
                <w:color w:val="0000FF"/>
              </w:rPr>
              <w:t>2,807</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16,842</w:t>
            </w:r>
          </w:p>
        </w:tc>
        <w:tc>
          <w:tcPr>
            <w:tcW w:w="6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10"/>
              <w:spacing w:after="0"/>
              <w:rPr>
                <w:sz w:val="20"/>
                <w:szCs w:val="20"/>
                <w:color w:val="auto"/>
              </w:rPr>
            </w:pPr>
            <w:r>
              <w:rPr>
                <w:rFonts w:ascii="Times New Roman" w:cs="Times New Roman" w:eastAsia="Times New Roman" w:hAnsi="Times New Roman"/>
                <w:sz w:val="17"/>
                <w:szCs w:val="17"/>
                <w:color w:val="0000FF"/>
                <w:w w:val="97"/>
              </w:rPr>
              <w:t>269,772</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269,772</w:t>
            </w:r>
          </w:p>
        </w:tc>
        <w:tc>
          <w:tcPr>
            <w:tcW w:w="6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11,320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11,320</w:t>
            </w:r>
          </w:p>
        </w:tc>
        <w:tc>
          <w:tcPr>
            <w:tcW w:w="6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vesting RSU</w:t>
            </w: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-3024505</wp:posOffset>
            </wp:positionV>
            <wp:extent cx="28575" cy="3029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0295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which will vest in equal quarterly installments over four years.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12, 2023, which will vest in equal quarterly installments over three years.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which vest quarterly in 16 equal installments beginning on July 9, 2024.</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performance-vesting restricted stock unit (the performance-vesting RSU) represents a contingent right to receive one share of Issuers Class A Common Stock.</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line="238"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performance-vesting RSUs previously granted to the Reporting Person, which were subject to vesting upon certification by the Compensation Committee of the Companys achievement of certain performance metrics and determination of the number of performance-vesting RSUs that were eligible to vest, which determination occurred on February 25, 2025. The performance-vesting RSU is also subject to a service-based vesting requirement and will vest on April 9, 2025, subject to the Reporting Persons Continuous Service (as defined in the Issuers 2019 Equity Incentive Plan) on the vesting date.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03/11/2025</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40"/>
        <w:spacing w:after="0" w:line="331"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4012"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2025-03-11T19:43:28Z</dcterms:created>
  <dcterms:modified xsi:type="dcterms:W3CDTF">2025-03-11T19:43:28Z</dcterms:modified>
</cp:coreProperties>
</file>