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Zoom Video Communications,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001-38865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61-1648780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224"/>
        <w:spacing w:after="0"/>
        <w:rPr>
          <w:sz w:val="20"/>
          <w:szCs w:val="20"/>
          <w:color w:val="auto"/>
        </w:rPr>
      </w:pPr>
      <w:r>
        <w:rPr>
          <w:rFonts w:ascii="Times New Roman" w:cs="Times New Roman" w:eastAsia="Times New Roman" w:hAnsi="Times New Roman"/>
          <w:sz w:val="18"/>
          <w:szCs w:val="18"/>
          <w:b w:val="1"/>
          <w:bCs w:val="1"/>
          <w:color w:val="auto"/>
        </w:rPr>
        <w:t>55 Almaden Boulevard, 6th Floor</w:t>
      </w:r>
    </w:p>
    <w:p>
      <w:pPr>
        <w:spacing w:after="0" w:line="31" w:lineRule="exact"/>
        <w:rPr>
          <w:sz w:val="24"/>
          <w:szCs w:val="24"/>
          <w:color w:val="auto"/>
        </w:rPr>
      </w:pPr>
    </w:p>
    <w:p>
      <w:pPr>
        <w:ind w:left="4484"/>
        <w:spacing w:after="0"/>
        <w:rPr>
          <w:sz w:val="20"/>
          <w:szCs w:val="20"/>
          <w:color w:val="auto"/>
        </w:rPr>
      </w:pPr>
      <w:r>
        <w:rPr>
          <w:rFonts w:ascii="Times New Roman" w:cs="Times New Roman" w:eastAsia="Times New Roman" w:hAnsi="Times New Roman"/>
          <w:sz w:val="18"/>
          <w:szCs w:val="18"/>
          <w:b w:val="1"/>
          <w:bCs w:val="1"/>
          <w:color w:val="auto"/>
        </w:rPr>
        <w:t>San Jose, California 95113</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(888) 799-9666</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and effective as of August 23, 2024, the Board of Directors (the “Board”) of Zoom Video Communications, Inc. (the “Company”) increased the authorized size of the Board from nine to 10 directors and appointed Mike Fenger to the Board. Mr. Fenger was appointed as a Class III director for a term expiring at the Company’s 2025 annual meeting of stockholders. Mr. Fenger was also appointed to the Nominating and Corporate Governance Committee of the Board.</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Mr. Fenger has served as the Vice President, Worldwide Sales at Apple Inc. (“Apple”), a technology company, since 2019, and previously as its Vice President, Global iPhone Sales. Before joining Apple, he held senior positions at General Electric Company, a high-tech industrial conglomerate, and Motorola, Inc., a telecommunications company, where he helped develop and execute strategy for sales, operations, marketing, and supply chain management in the Americas, Europe, and Greater China. Mr. Fenger holds a BA in economics from Miami University.</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Mr. Fenger’s son, Robert Fenger, has been employed by the Company since 2020, most recently as an Executive Briefing Manager. Mr. Fenger’s son is not one of the Company’s executive officers. The total compensation of Mr. Fenger’s son for fiscal year 2024, including equity, was approximately $188,000. The total compensation of Mr. Fenger’s son for fiscal year 2025, including equity, is expected to be approximately $181,000. The compensation of Mr. Fenger’s son was determined in accordance with the Company’s compensation practices applicable to employees with comparable qualifications and responsibilities and holding similar positions. Mr. Fenger’s son has received and continues to receive benefits available to all the Company’s employees, including participation in various employee health and welfare benefit plans. Mr. Fenger’s son is eligible for equity awards on the same general terms and conditions as applicable to employees in similar positions who do not have such family relationships.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Fenger has entered into the Company’s standard form of indemnification agreement between the Company and its directors and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Fenger will be compensated as a member of the Board under the terms of the Company’s Non-Employee Director Compensation Policy.</w:t>
      </w:r>
    </w:p>
    <w:p>
      <w:pPr>
        <w:sectPr>
          <w:pgSz w:w="11900" w:h="16838" w:orient="portrait"/>
          <w:cols w:equalWidth="0" w:num="1">
            <w:col w:w="10940"/>
          </w:cols>
          <w:pgMar w:left="440" w:top="293" w:right="5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4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26, 2024</w:t>
            </w: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Aparna Bawa</w:t>
            </w:r>
          </w:p>
        </w:tc>
      </w:tr>
      <w:tr>
        <w:trPr>
          <w:trHeight w:val="205"/>
        </w:trPr>
        <w:tc>
          <w:tcPr>
            <w:tcW w:w="3580" w:type="dxa"/>
            <w:vAlign w:val="bottom"/>
          </w:tcPr>
          <w:p>
            <w:pPr>
              <w:spacing w:after="0"/>
              <w:rPr>
                <w:sz w:val="17"/>
                <w:szCs w:val="17"/>
                <w:color w:val="auto"/>
              </w:rPr>
            </w:pPr>
          </w:p>
        </w:tc>
        <w:tc>
          <w:tcPr>
            <w:tcW w:w="2580" w:type="dxa"/>
            <w:vAlign w:val="bottom"/>
          </w:tcPr>
          <w:p>
            <w:pPr>
              <w:ind w:left="19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Aparna Bawa</w:t>
            </w:r>
          </w:p>
        </w:tc>
      </w:tr>
      <w:tr>
        <w:trPr>
          <w:trHeight w:val="234"/>
        </w:trPr>
        <w:tc>
          <w:tcPr>
            <w:tcW w:w="3580" w:type="dxa"/>
            <w:vAlign w:val="bottom"/>
          </w:tcPr>
          <w:p>
            <w:pPr>
              <w:spacing w:after="0"/>
              <w:rPr>
                <w:sz w:val="20"/>
                <w:szCs w:val="20"/>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2024-08-26T17:00:15Z</dcterms:created>
  <dcterms:modified xsi:type="dcterms:W3CDTF">2024-08-26T17:00:15Z</dcterms:modified>
</cp:coreProperties>
</file>