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As filed with the U.S. Securities and Exchange Commission on March 20, 2020</w:t>
      </w:r>
    </w:p>
    <w:p>
      <w:pPr>
        <w:spacing w:after="0" w:line="150" w:lineRule="exact"/>
        <w:rPr>
          <w:sz w:val="24"/>
          <w:szCs w:val="24"/>
          <w:color w:val="auto"/>
        </w:rPr>
      </w:pPr>
    </w:p>
    <w:p>
      <w:pPr>
        <w:ind w:left="8600"/>
        <w:spacing w:after="0"/>
        <w:rPr>
          <w:sz w:val="20"/>
          <w:szCs w:val="20"/>
          <w:color w:val="auto"/>
        </w:rPr>
      </w:pPr>
      <w:r>
        <w:rPr>
          <w:rFonts w:ascii="Arial" w:cs="Arial" w:eastAsia="Arial" w:hAnsi="Arial"/>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23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109220</wp:posOffset>
            </wp:positionV>
            <wp:extent cx="5923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394"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222" w:lineRule="exact"/>
        <w:rPr>
          <w:sz w:val="24"/>
          <w:szCs w:val="24"/>
          <w:color w:val="auto"/>
        </w:rPr>
      </w:pPr>
    </w:p>
    <w:p>
      <w:pPr>
        <w:jc w:val="center"/>
        <w:ind w:right="-339"/>
        <w:spacing w:after="0"/>
        <w:rPr>
          <w:sz w:val="20"/>
          <w:szCs w:val="20"/>
          <w:color w:val="auto"/>
        </w:rPr>
      </w:pPr>
      <w:r>
        <w:rPr>
          <w:rFonts w:ascii="Arial" w:cs="Arial" w:eastAsia="Arial" w:hAnsi="Arial"/>
          <w:sz w:val="27"/>
          <w:szCs w:val="27"/>
          <w:b w:val="1"/>
          <w:bCs w:val="1"/>
          <w:color w:val="auto"/>
        </w:rPr>
        <w:t>FORM S-8</w:t>
      </w:r>
    </w:p>
    <w:p>
      <w:pPr>
        <w:spacing w:after="0" w:line="33"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REGISTRATION STATEMENT</w:t>
      </w:r>
    </w:p>
    <w:p>
      <w:pPr>
        <w:jc w:val="center"/>
        <w:ind w:right="-339"/>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THE SECURITIES ACT OF 1933</w:t>
      </w:r>
    </w:p>
    <w:p>
      <w:pPr>
        <w:spacing w:after="0" w:line="87" w:lineRule="exact"/>
        <w:rPr>
          <w:sz w:val="24"/>
          <w:szCs w:val="24"/>
          <w:color w:val="auto"/>
        </w:rPr>
      </w:pPr>
    </w:p>
    <w:p>
      <w:pPr>
        <w:jc w:val="center"/>
        <w:ind w:right="-339"/>
        <w:spacing w:after="0"/>
        <w:rPr>
          <w:sz w:val="20"/>
          <w:szCs w:val="20"/>
          <w:color w:val="auto"/>
        </w:rPr>
      </w:pPr>
      <w:r>
        <w:rPr>
          <w:rFonts w:ascii="Arial" w:cs="Arial" w:eastAsia="Arial" w:hAnsi="Arial"/>
          <w:sz w:val="39"/>
          <w:szCs w:val="39"/>
          <w:b w:val="1"/>
          <w:bCs w:val="1"/>
          <w:color w:val="auto"/>
        </w:rPr>
        <w:t>Zoom Video Communications, Inc.</w:t>
      </w:r>
    </w:p>
    <w:p>
      <w:pPr>
        <w:spacing w:after="0" w:line="88"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00"/>
          </w:cols>
          <w:pgMar w:left="320" w:top="1440" w:right="679" w:bottom="1440" w:gutter="0" w:footer="0" w:header="0"/>
        </w:sectPr>
      </w:pPr>
    </w:p>
    <w:p>
      <w:pPr>
        <w:spacing w:after="0" w:line="48"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61-1648780</w:t>
      </w:r>
    </w:p>
    <w:p>
      <w:pPr>
        <w:spacing w:after="0" w:line="113" w:lineRule="exact"/>
        <w:rPr>
          <w:sz w:val="24"/>
          <w:szCs w:val="24"/>
          <w:color w:val="auto"/>
        </w:rPr>
      </w:pPr>
    </w:p>
    <w:p>
      <w:pPr>
        <w:sectPr>
          <w:pgSz w:w="11900" w:h="16838" w:orient="portrait"/>
          <w:cols w:equalWidth="0" w:num="2">
            <w:col w:w="8060" w:space="720"/>
            <w:col w:w="2120"/>
          </w:cols>
          <w:pgMar w:left="320" w:top="1440" w:right="679" w:bottom="1440" w:gutter="0" w:footer="0" w:header="0"/>
          <w:type w:val="continuous"/>
        </w:sectPr>
      </w:pPr>
    </w:p>
    <w:p>
      <w:pPr>
        <w:ind w:left="9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280" w:space="720"/>
            <w:col w:w="2900"/>
          </w:cols>
          <w:pgMar w:left="320" w:top="1440" w:right="679" w:bottom="1440" w:gutter="0" w:footer="0" w:header="0"/>
          <w:type w:val="continuous"/>
        </w:sectPr>
      </w:pPr>
    </w:p>
    <w:p>
      <w:pPr>
        <w:spacing w:after="0" w:line="110"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San Jose, California 95113</w:t>
      </w:r>
    </w:p>
    <w:p>
      <w:pPr>
        <w:jc w:val="center"/>
        <w:ind w:right="-339"/>
        <w:spacing w:after="0"/>
        <w:rPr>
          <w:sz w:val="20"/>
          <w:szCs w:val="20"/>
          <w:color w:val="auto"/>
        </w:rPr>
      </w:pPr>
      <w:r>
        <w:rPr>
          <w:rFonts w:ascii="Arial" w:cs="Arial" w:eastAsia="Arial" w:hAnsi="Arial"/>
          <w:sz w:val="16"/>
          <w:szCs w:val="16"/>
          <w:b w:val="1"/>
          <w:bCs w:val="1"/>
          <w:color w:val="auto"/>
        </w:rPr>
        <w:t>(888) 799-9666</w:t>
      </w:r>
    </w:p>
    <w:p>
      <w:pPr>
        <w:jc w:val="center"/>
        <w:ind w:right="-339"/>
        <w:spacing w:after="0"/>
        <w:rPr>
          <w:sz w:val="20"/>
          <w:szCs w:val="20"/>
          <w:color w:val="auto"/>
        </w:rPr>
      </w:pPr>
      <w:r>
        <w:rPr>
          <w:rFonts w:ascii="Arial" w:cs="Arial" w:eastAsia="Arial" w:hAnsi="Arial"/>
          <w:sz w:val="13"/>
          <w:szCs w:val="13"/>
          <w:color w:val="auto"/>
        </w:rPr>
        <w:t>(Address of principal executive offices) (Zip code)</w:t>
      </w:r>
    </w:p>
    <w:p>
      <w:pPr>
        <w:sectPr>
          <w:pgSz w:w="11900" w:h="16838" w:orient="portrait"/>
          <w:cols w:equalWidth="0" w:num="1">
            <w:col w:w="10900"/>
          </w:cols>
          <w:pgMar w:left="320" w:top="1440" w:right="679" w:bottom="1440" w:gutter="0" w:footer="0" w:header="0"/>
          <w:type w:val="continuous"/>
        </w:sectPr>
      </w:pPr>
    </w:p>
    <w:p>
      <w:pPr>
        <w:spacing w:after="0" w:line="248"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 2019 Equity Incentive Plan</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 2019 Employee Stock Purchase Plan</w:t>
      </w:r>
    </w:p>
    <w:p>
      <w:pPr>
        <w:jc w:val="center"/>
        <w:ind w:right="-359"/>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237"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Eric S. Yuan</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w:t>
      </w:r>
    </w:p>
    <w:p>
      <w:pPr>
        <w:jc w:val="center"/>
        <w:ind w:right="-359"/>
        <w:spacing w:after="0" w:line="192" w:lineRule="auto"/>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San Jose, California 95113</w:t>
      </w:r>
    </w:p>
    <w:p>
      <w:pPr>
        <w:jc w:val="center"/>
        <w:ind w:right="-359"/>
        <w:spacing w:after="0"/>
        <w:rPr>
          <w:sz w:val="20"/>
          <w:szCs w:val="20"/>
          <w:color w:val="auto"/>
        </w:rPr>
      </w:pPr>
      <w:r>
        <w:rPr>
          <w:rFonts w:ascii="Arial" w:cs="Arial" w:eastAsia="Arial" w:hAnsi="Arial"/>
          <w:sz w:val="16"/>
          <w:szCs w:val="16"/>
          <w:b w:val="1"/>
          <w:bCs w:val="1"/>
          <w:color w:val="auto"/>
        </w:rPr>
        <w:t>(888) 799-9666</w:t>
      </w:r>
    </w:p>
    <w:p>
      <w:pPr>
        <w:ind w:left="268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41" w:lineRule="exact"/>
        <w:rPr>
          <w:sz w:val="24"/>
          <w:szCs w:val="24"/>
          <w:color w:val="auto"/>
        </w:rPr>
      </w:pPr>
    </w:p>
    <w:tbl>
      <w:tblPr>
        <w:tblLayout w:type="fixed"/>
        <w:tblInd w:w="158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5100" w:type="dxa"/>
            <w:vAlign w:val="bottom"/>
          </w:tcPr>
          <w:p>
            <w:pPr>
              <w:ind w:left="900"/>
              <w:spacing w:after="0"/>
              <w:rPr>
                <w:sz w:val="20"/>
                <w:szCs w:val="20"/>
                <w:color w:val="auto"/>
              </w:rPr>
            </w:pPr>
            <w:r>
              <w:rPr>
                <w:rFonts w:ascii="Arial" w:cs="Arial" w:eastAsia="Arial" w:hAnsi="Arial"/>
                <w:sz w:val="16"/>
                <w:szCs w:val="16"/>
                <w:b w:val="1"/>
                <w:bCs w:val="1"/>
                <w:i w:val="1"/>
                <w:iCs w:val="1"/>
                <w:color w:val="auto"/>
              </w:rPr>
              <w:t>Copies to:</w:t>
            </w:r>
          </w:p>
        </w:tc>
      </w:tr>
      <w:tr>
        <w:trPr>
          <w:trHeight w:val="222"/>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Jon C. Avina</w:t>
            </w:r>
          </w:p>
        </w:tc>
        <w:tc>
          <w:tcPr>
            <w:tcW w:w="5100" w:type="dxa"/>
            <w:vAlign w:val="bottom"/>
          </w:tcPr>
          <w:p>
            <w:pPr>
              <w:jc w:val="center"/>
              <w:ind w:left="3139"/>
              <w:spacing w:after="0"/>
              <w:rPr>
                <w:sz w:val="20"/>
                <w:szCs w:val="20"/>
                <w:color w:val="auto"/>
              </w:rPr>
            </w:pPr>
            <w:r>
              <w:rPr>
                <w:rFonts w:ascii="Arial" w:cs="Arial" w:eastAsia="Arial" w:hAnsi="Arial"/>
                <w:sz w:val="16"/>
                <w:szCs w:val="16"/>
                <w:b w:val="1"/>
                <w:bCs w:val="1"/>
                <w:color w:val="auto"/>
                <w:w w:val="94"/>
              </w:rPr>
              <w:t>Aparna Bawa</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0"/>
              </w:rPr>
              <w:t>Calise Y. Cheng</w:t>
            </w:r>
          </w:p>
        </w:tc>
        <w:tc>
          <w:tcPr>
            <w:tcW w:w="5100" w:type="dxa"/>
            <w:vAlign w:val="bottom"/>
          </w:tcPr>
          <w:p>
            <w:pPr>
              <w:jc w:val="center"/>
              <w:ind w:left="3139"/>
              <w:spacing w:after="0"/>
              <w:rPr>
                <w:sz w:val="20"/>
                <w:szCs w:val="20"/>
                <w:color w:val="auto"/>
              </w:rPr>
            </w:pPr>
            <w:r>
              <w:rPr>
                <w:rFonts w:ascii="Arial" w:cs="Arial" w:eastAsia="Arial" w:hAnsi="Arial"/>
                <w:sz w:val="16"/>
                <w:szCs w:val="16"/>
                <w:b w:val="1"/>
                <w:bCs w:val="1"/>
                <w:color w:val="auto"/>
                <w:w w:val="91"/>
              </w:rPr>
              <w:t>General Counsel</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7"/>
              </w:rPr>
              <w:t>Bradley M. Libuit</w:t>
            </w:r>
          </w:p>
        </w:tc>
        <w:tc>
          <w:tcPr>
            <w:tcW w:w="5100" w:type="dxa"/>
            <w:vAlign w:val="bottom"/>
          </w:tcPr>
          <w:p>
            <w:pPr>
              <w:jc w:val="center"/>
              <w:ind w:left="3159"/>
              <w:spacing w:after="0" w:line="189" w:lineRule="exact"/>
              <w:rPr>
                <w:sz w:val="20"/>
                <w:szCs w:val="20"/>
                <w:color w:val="auto"/>
              </w:rPr>
            </w:pPr>
            <w:r>
              <w:rPr>
                <w:rFonts w:ascii="Arial" w:cs="Arial" w:eastAsia="Arial" w:hAnsi="Arial"/>
                <w:sz w:val="16"/>
                <w:szCs w:val="16"/>
                <w:b w:val="1"/>
                <w:bCs w:val="1"/>
                <w:color w:val="auto"/>
                <w:w w:val="90"/>
              </w:rPr>
              <w:t>55 Almaden Blvd, 6</w:t>
            </w:r>
            <w:r>
              <w:rPr>
                <w:rFonts w:ascii="Arial" w:cs="Arial" w:eastAsia="Arial" w:hAnsi="Arial"/>
                <w:sz w:val="21"/>
                <w:szCs w:val="21"/>
                <w:b w:val="1"/>
                <w:bCs w:val="1"/>
                <w:color w:val="auto"/>
                <w:w w:val="90"/>
                <w:vertAlign w:val="superscript"/>
              </w:rPr>
              <w:t>th</w:t>
            </w:r>
            <w:r>
              <w:rPr>
                <w:rFonts w:ascii="Arial" w:cs="Arial" w:eastAsia="Arial" w:hAnsi="Arial"/>
                <w:sz w:val="16"/>
                <w:szCs w:val="16"/>
                <w:b w:val="1"/>
                <w:bCs w:val="1"/>
                <w:color w:val="auto"/>
                <w:w w:val="90"/>
              </w:rPr>
              <w:t xml:space="preserve"> Floor</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Alex K. Kassai</w:t>
            </w:r>
          </w:p>
        </w:tc>
        <w:tc>
          <w:tcPr>
            <w:tcW w:w="5100" w:type="dxa"/>
            <w:vAlign w:val="bottom"/>
          </w:tcPr>
          <w:p>
            <w:pPr>
              <w:jc w:val="center"/>
              <w:ind w:left="3159"/>
              <w:spacing w:after="0"/>
              <w:rPr>
                <w:sz w:val="20"/>
                <w:szCs w:val="20"/>
                <w:color w:val="auto"/>
              </w:rPr>
            </w:pPr>
            <w:r>
              <w:rPr>
                <w:rFonts w:ascii="Arial" w:cs="Arial" w:eastAsia="Arial" w:hAnsi="Arial"/>
                <w:sz w:val="16"/>
                <w:szCs w:val="16"/>
                <w:b w:val="1"/>
                <w:bCs w:val="1"/>
                <w:color w:val="auto"/>
                <w:w w:val="88"/>
              </w:rPr>
              <w:t>San Jose, CA 95113</w:t>
            </w:r>
          </w:p>
        </w:tc>
      </w:tr>
      <w:tr>
        <w:trPr>
          <w:trHeight w:val="189"/>
        </w:trPr>
        <w:tc>
          <w:tcPr>
            <w:tcW w:w="2800" w:type="dxa"/>
            <w:vAlign w:val="bottom"/>
          </w:tcPr>
          <w:p>
            <w:pPr>
              <w:jc w:val="center"/>
              <w:ind w:right="839"/>
              <w:spacing w:after="0"/>
              <w:rPr>
                <w:sz w:val="20"/>
                <w:szCs w:val="20"/>
                <w:color w:val="auto"/>
              </w:rPr>
            </w:pPr>
            <w:r>
              <w:rPr>
                <w:rFonts w:ascii="Arial" w:cs="Arial" w:eastAsia="Arial" w:hAnsi="Arial"/>
                <w:sz w:val="16"/>
                <w:szCs w:val="16"/>
                <w:b w:val="1"/>
                <w:bCs w:val="1"/>
                <w:color w:val="auto"/>
                <w:w w:val="95"/>
              </w:rPr>
              <w:t>Cooley LLP</w:t>
            </w:r>
          </w:p>
        </w:tc>
        <w:tc>
          <w:tcPr>
            <w:tcW w:w="5100" w:type="dxa"/>
            <w:vAlign w:val="bottom"/>
          </w:tcPr>
          <w:p>
            <w:pPr>
              <w:jc w:val="center"/>
              <w:ind w:left="3159"/>
              <w:spacing w:after="0"/>
              <w:rPr>
                <w:sz w:val="20"/>
                <w:szCs w:val="20"/>
                <w:color w:val="auto"/>
              </w:rPr>
            </w:pPr>
            <w:r>
              <w:rPr>
                <w:rFonts w:ascii="Arial" w:cs="Arial" w:eastAsia="Arial" w:hAnsi="Arial"/>
                <w:sz w:val="16"/>
                <w:szCs w:val="16"/>
                <w:b w:val="1"/>
                <w:bCs w:val="1"/>
                <w:color w:val="auto"/>
                <w:w w:val="93"/>
              </w:rPr>
              <w:t>(888) 799-9666</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3175 Hanover Street</w:t>
            </w:r>
          </w:p>
        </w:tc>
        <w:tc>
          <w:tcPr>
            <w:tcW w:w="5100" w:type="dxa"/>
            <w:vAlign w:val="bottom"/>
          </w:tcPr>
          <w:p>
            <w:pPr>
              <w:spacing w:after="0"/>
              <w:rPr>
                <w:sz w:val="16"/>
                <w:szCs w:val="16"/>
                <w:color w:val="auto"/>
              </w:rPr>
            </w:pPr>
          </w:p>
        </w:tc>
      </w:tr>
      <w:tr>
        <w:trPr>
          <w:trHeight w:val="189"/>
        </w:trPr>
        <w:tc>
          <w:tcPr>
            <w:tcW w:w="2800" w:type="dxa"/>
            <w:vAlign w:val="bottom"/>
          </w:tcPr>
          <w:p>
            <w:pPr>
              <w:jc w:val="center"/>
              <w:ind w:right="839"/>
              <w:spacing w:after="0"/>
              <w:rPr>
                <w:sz w:val="20"/>
                <w:szCs w:val="20"/>
                <w:color w:val="auto"/>
              </w:rPr>
            </w:pPr>
            <w:r>
              <w:rPr>
                <w:rFonts w:ascii="Arial" w:cs="Arial" w:eastAsia="Arial" w:hAnsi="Arial"/>
                <w:sz w:val="16"/>
                <w:szCs w:val="16"/>
                <w:b w:val="1"/>
                <w:bCs w:val="1"/>
                <w:color w:val="auto"/>
                <w:w w:val="93"/>
              </w:rPr>
              <w:t>Palo Alto, California 94304</w:t>
            </w:r>
          </w:p>
        </w:tc>
        <w:tc>
          <w:tcPr>
            <w:tcW w:w="5100" w:type="dxa"/>
            <w:vAlign w:val="bottom"/>
          </w:tcPr>
          <w:p>
            <w:pPr>
              <w:spacing w:after="0"/>
              <w:rPr>
                <w:sz w:val="16"/>
                <w:szCs w:val="16"/>
                <w:color w:val="auto"/>
              </w:rPr>
            </w:pPr>
          </w:p>
        </w:tc>
      </w:tr>
      <w:tr>
        <w:trPr>
          <w:trHeight w:val="210"/>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(650) 843-5000</w:t>
            </w:r>
          </w:p>
        </w:tc>
        <w:tc>
          <w:tcPr>
            <w:tcW w:w="5100" w:type="dxa"/>
            <w:vAlign w:val="bottom"/>
          </w:tcPr>
          <w:p>
            <w:pPr>
              <w:spacing w:after="0"/>
              <w:rPr>
                <w:sz w:val="18"/>
                <w:szCs w:val="18"/>
                <w:color w:val="auto"/>
              </w:rPr>
            </w:pPr>
          </w:p>
        </w:tc>
      </w:tr>
    </w:tbl>
    <w:p>
      <w:pPr>
        <w:spacing w:after="0" w:line="253" w:lineRule="exact"/>
        <w:rPr>
          <w:sz w:val="24"/>
          <w:szCs w:val="24"/>
          <w:color w:val="auto"/>
        </w:rPr>
      </w:pPr>
    </w:p>
    <w:p>
      <w:pPr>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0900"/>
          </w:cols>
          <w:pgMar w:left="320" w:top="1440" w:right="679" w:bottom="1440" w:gutter="0" w:footer="0" w:header="0"/>
          <w:type w:val="continuous"/>
        </w:sectPr>
      </w:pPr>
    </w:p>
    <w:p>
      <w:pPr>
        <w:spacing w:after="0" w:line="94"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71" w:lineRule="exact"/>
        <w:rPr>
          <w:sz w:val="24"/>
          <w:szCs w:val="24"/>
          <w:color w:val="auto"/>
        </w:rPr>
      </w:pPr>
    </w:p>
    <w:p>
      <w:pPr>
        <w:sectPr>
          <w:pgSz w:w="11900" w:h="16838" w:orient="portrait"/>
          <w:cols w:equalWidth="0" w:num="2">
            <w:col w:w="6940" w:space="720"/>
            <w:col w:w="3240"/>
          </w:cols>
          <w:pgMar w:left="320" w:top="1440" w:right="6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82" w:lineRule="exact"/>
        <w:rPr>
          <w:sz w:val="24"/>
          <w:szCs w:val="24"/>
          <w:color w:val="auto"/>
        </w:rPr>
      </w:pPr>
    </w:p>
    <w:p>
      <w:pPr>
        <w:sectPr>
          <w:pgSz w:w="11900" w:h="16838" w:orient="portrait"/>
          <w:cols w:equalWidth="0" w:num="3">
            <w:col w:w="1400" w:space="180"/>
            <w:col w:w="5360" w:space="720"/>
            <w:col w:w="3240"/>
          </w:cols>
          <w:pgMar w:left="320" w:top="1440" w:right="679" w:bottom="1440" w:gutter="0" w:footer="0" w:header="0"/>
          <w:type w:val="continuous"/>
        </w:sectPr>
      </w:pPr>
    </w:p>
    <w:p>
      <w:pPr>
        <w:ind w:left="766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0900"/>
          </w:cols>
          <w:pgMar w:left="320" w:top="1440" w:right="679" w:bottom="1440" w:gutter="0" w:footer="0" w:header="0"/>
          <w:type w:val="continuous"/>
        </w:sectPr>
      </w:pPr>
    </w:p>
    <w:p>
      <w:pPr>
        <w:spacing w:after="0" w:line="244" w:lineRule="exact"/>
        <w:rPr>
          <w:sz w:val="24"/>
          <w:szCs w:val="24"/>
          <w:color w:val="auto"/>
        </w:rPr>
      </w:pPr>
    </w:p>
    <w:p>
      <w:pPr>
        <w:ind w:right="24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900"/>
          </w:cols>
          <w:pgMar w:left="320" w:top="1440" w:right="6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540" w:type="dxa"/>
            <w:vAlign w:val="bottom"/>
            <w:tcBorders>
              <w:top w:val="single" w:sz="8" w:color="auto"/>
            </w:tcBorders>
          </w:tcPr>
          <w:p>
            <w:pPr>
              <w:spacing w:after="0"/>
              <w:rPr>
                <w:sz w:val="24"/>
                <w:szCs w:val="24"/>
                <w:color w:val="auto"/>
              </w:rPr>
            </w:pPr>
          </w:p>
        </w:tc>
        <w:tc>
          <w:tcPr>
            <w:tcW w:w="3060" w:type="dxa"/>
            <w:vAlign w:val="bottom"/>
            <w:tcBorders>
              <w:top w:val="single" w:sz="8" w:color="auto"/>
              <w:right w:val="single" w:sz="8" w:color="auto"/>
            </w:tcBorders>
            <w:vMerge w:val="restart"/>
          </w:tcPr>
          <w:p>
            <w:pPr>
              <w:jc w:val="center"/>
              <w:ind w:right="470"/>
              <w:spacing w:after="0"/>
              <w:rPr>
                <w:sz w:val="20"/>
                <w:szCs w:val="20"/>
                <w:color w:val="auto"/>
              </w:rPr>
            </w:pPr>
            <w:r>
              <w:rPr>
                <w:rFonts w:ascii="Arial" w:cs="Arial" w:eastAsia="Arial" w:hAnsi="Arial"/>
                <w:sz w:val="18"/>
                <w:szCs w:val="18"/>
                <w:b w:val="1"/>
                <w:bCs w:val="1"/>
                <w:color w:val="auto"/>
                <w:w w:val="89"/>
              </w:rPr>
              <w:t>Title of Securities</w:t>
            </w:r>
          </w:p>
        </w:tc>
        <w:tc>
          <w:tcPr>
            <w:tcW w:w="20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60" w:type="dxa"/>
            <w:vAlign w:val="bottom"/>
            <w:tcBorders>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Amount to be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 per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06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7"/>
              </w:rPr>
              <w:t>to be Registered</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 Fee</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right w:val="single" w:sz="8" w:color="auto"/>
            </w:tcBorders>
            <w:gridSpan w:val="2"/>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Class A Common Stock, par value $0.001 per</w:t>
            </w:r>
          </w:p>
        </w:tc>
        <w:tc>
          <w:tcPr>
            <w:tcW w:w="204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color w:val="auto"/>
              </w:rPr>
              <w:t>share</w:t>
            </w:r>
          </w:p>
        </w:tc>
        <w:tc>
          <w:tcPr>
            <w:tcW w:w="30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w w:val="90"/>
              </w:rPr>
              <w:t>– 2019</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13,936,393(2)</w:t>
            </w:r>
          </w:p>
        </w:tc>
        <w:tc>
          <w:tcPr>
            <w:tcW w:w="1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$107.92(4)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$1,504,015,533</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$195,222</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w w:val="90"/>
              </w:rPr>
              <w:t>– 2019</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2,787,278(3)</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$91.73(5)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$255,677,011</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$33,187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rPr>
              <w:t>Total</w:t>
            </w:r>
          </w:p>
        </w:tc>
        <w:tc>
          <w:tcPr>
            <w:tcW w:w="30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16,723,671</w:t>
            </w:r>
          </w:p>
        </w:tc>
        <w:tc>
          <w:tcPr>
            <w:tcW w:w="18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$1,759,692,544</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$228,409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652"/>
        <w:spacing w:after="0" w:line="259" w:lineRule="auto"/>
        <w:tabs>
          <w:tab w:leader="none" w:pos="275"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Class A or Class B common stock that become issuable under the plans set forth herein by reason of any stock dividend, stock split, recapitalization, or other similar transaction effected that results in an increase to the number of outstanding shares of Registrant’s Class A or Class B common stock, as applicable.</w:t>
      </w:r>
    </w:p>
    <w:p>
      <w:pPr>
        <w:spacing w:after="0" w:line="146" w:lineRule="exact"/>
        <w:rPr>
          <w:rFonts w:ascii="Arial" w:cs="Arial" w:eastAsia="Arial" w:hAnsi="Arial"/>
          <w:sz w:val="18"/>
          <w:szCs w:val="18"/>
          <w:color w:val="auto"/>
        </w:rPr>
      </w:pPr>
    </w:p>
    <w:p>
      <w:pPr>
        <w:ind w:left="660" w:hanging="652"/>
        <w:spacing w:after="0" w:line="263" w:lineRule="auto"/>
        <w:tabs>
          <w:tab w:leader="none" w:pos="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an automatic annual increase equal to 5% of the total number of shares of the Registrant’s Class A common stock and Class B common stock outstanding on January 31 of the preceding fiscal year, which annual increase is provided by the Registrant’s 2019 Equity Incentive Plan (as amended, the “</w:t>
      </w:r>
      <w:r>
        <w:rPr>
          <w:rFonts w:ascii="Arial" w:cs="Arial" w:eastAsia="Arial" w:hAnsi="Arial"/>
          <w:sz w:val="18"/>
          <w:szCs w:val="18"/>
          <w:b w:val="1"/>
          <w:bCs w:val="1"/>
          <w:i w:val="1"/>
          <w:iCs w:val="1"/>
          <w:color w:val="auto"/>
        </w:rPr>
        <w:t>2019 Plan</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660" w:hanging="652"/>
        <w:spacing w:after="0" w:line="263" w:lineRule="auto"/>
        <w:tabs>
          <w:tab w:leader="none" w:pos="28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equal to 1% of the total number of shares of the Registrant’s Class A common stock and Class B common stock outstanding on January 31 of the preceding fiscal year, which annual increase is provided by the Registrant’s 2019 Employee Stock Purchase Plan (the “</w:t>
      </w:r>
      <w:r>
        <w:rPr>
          <w:rFonts w:ascii="Arial" w:cs="Arial" w:eastAsia="Arial" w:hAnsi="Arial"/>
          <w:sz w:val="18"/>
          <w:szCs w:val="18"/>
          <w:b w:val="1"/>
          <w:bCs w:val="1"/>
          <w:i w:val="1"/>
          <w:iCs w:val="1"/>
          <w:color w:val="auto"/>
        </w:rPr>
        <w:t>2019 ESPP</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60" w:hanging="652"/>
        <w:spacing w:after="0" w:line="308" w:lineRule="auto"/>
        <w:tabs>
          <w:tab w:leader="none" w:pos="277"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457(c) and (h) solely for the purpose of calculating the registration fee on the basis of the average of the high and low prices of the Registrant’s Class A common stock as reported on The Nasdaq Global Select Market on March 17, 2020.</w:t>
      </w:r>
    </w:p>
    <w:p>
      <w:pPr>
        <w:spacing w:after="0" w:line="105" w:lineRule="exact"/>
        <w:rPr>
          <w:rFonts w:ascii="Arial" w:cs="Arial" w:eastAsia="Arial" w:hAnsi="Arial"/>
          <w:sz w:val="17"/>
          <w:szCs w:val="17"/>
          <w:color w:val="auto"/>
        </w:rPr>
      </w:pPr>
    </w:p>
    <w:p>
      <w:pPr>
        <w:ind w:left="660" w:hanging="652"/>
        <w:spacing w:after="0" w:line="263" w:lineRule="auto"/>
        <w:tabs>
          <w:tab w:leader="none" w:pos="277"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the average of the high and low prices of the Registrant’s Class A common stock as reported on The Nasdaq Global Select Market on March 17, 2020, multiplied by 85%, which is the percentage of the price per share applicable to purchases under the 2019 ESPP.</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is filing this Registration Statement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to register (i) 13,936,393 additional shares of its Class A common stock under the 2019 Plan, pursuant to the provisions of the 2019 Plan providing for an automatic increase in the number of shares Class A common stock reserved and available for issuance under the 2019 Plan on February 1, 2020 and (ii) 2,787,278 additional shares of its Class A common stock under the 2019 ESPP, pursuant to the provisions of 2019 ESPP providing for an automatic increase in the number of shares of Class A common stock reserved and available for issuance under the 2019 ESPP on February 1, 2020. In accordance with the instructional note to Part I of Form S-8 as promulgated by the Commission, the information specified by Part I of the Form S-8 has been omitted from this Registration Statement.</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additional shares of Class A common stock are securities of the same class as other securities for which the Registration Statement on Form S-8 (File No. 333-230997) (“</w:t>
      </w:r>
      <w:r>
        <w:rPr>
          <w:rFonts w:ascii="Arial" w:cs="Arial" w:eastAsia="Arial" w:hAnsi="Arial"/>
          <w:sz w:val="18"/>
          <w:szCs w:val="18"/>
          <w:b w:val="1"/>
          <w:bCs w:val="1"/>
          <w:i w:val="1"/>
          <w:iCs w:val="1"/>
          <w:color w:val="auto"/>
        </w:rPr>
        <w:t>Prior Form S-8</w:t>
      </w:r>
      <w:r>
        <w:rPr>
          <w:rFonts w:ascii="Arial" w:cs="Arial" w:eastAsia="Arial" w:hAnsi="Arial"/>
          <w:sz w:val="18"/>
          <w:szCs w:val="18"/>
          <w:color w:val="auto"/>
        </w:rPr>
        <w:t>”) was filed with the Commission on April 23,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181" w:lineRule="exact"/>
        <w:rPr>
          <w:sz w:val="20"/>
          <w:szCs w:val="20"/>
          <w:color w:val="auto"/>
        </w:rPr>
      </w:pPr>
    </w:p>
    <w:p>
      <w:pPr>
        <w:jc w:val="both"/>
        <w:ind w:firstLine="553"/>
        <w:spacing w:after="0" w:line="282"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The Registrant’s Annual Report on Form 10-K for the fiscal year ended January 31, 2020 filed on March 20, 2020, which contains audited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the Registrant’s latest fiscal year.</w:t>
      </w:r>
    </w:p>
    <w:p>
      <w:pPr>
        <w:spacing w:after="0" w:line="166" w:lineRule="exact"/>
        <w:rPr>
          <w:sz w:val="20"/>
          <w:szCs w:val="20"/>
          <w:color w:val="auto"/>
        </w:rPr>
      </w:pPr>
    </w:p>
    <w:p>
      <w:pPr>
        <w:jc w:val="both"/>
        <w:ind w:firstLine="511"/>
        <w:spacing w:after="0" w:line="263" w:lineRule="auto"/>
        <w:tabs>
          <w:tab w:leader="none" w:pos="70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Class A Common Stock which is contained in a registration statement on Form 8-A filed on April 8, 2019 (File No. 001-38865)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56" w:lineRule="exact"/>
        <w:rPr>
          <w:rFonts w:ascii="Arial" w:cs="Arial" w:eastAsia="Arial" w:hAnsi="Arial"/>
          <w:sz w:val="18"/>
          <w:szCs w:val="18"/>
          <w:b w:val="1"/>
          <w:bCs w:val="1"/>
          <w:color w:val="auto"/>
        </w:rPr>
      </w:pPr>
    </w:p>
    <w:p>
      <w:pPr>
        <w:jc w:val="both"/>
        <w:ind w:firstLine="461"/>
        <w:spacing w:after="0" w:line="290" w:lineRule="auto"/>
        <w:tabs>
          <w:tab w:leader="none" w:pos="701"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Pursuant to General Instruction E to Form S-8, the contents of the Prior Form S-8 are incorporated herein by reference and made a part hereof.</w:t>
      </w:r>
    </w:p>
    <w:p>
      <w:pPr>
        <w:sectPr>
          <w:pgSz w:w="11900" w:h="16838" w:orient="portrait"/>
          <w:cols w:equalWidth="0" w:num="1">
            <w:col w:w="11240"/>
          </w:cols>
          <w:pgMar w:left="320" w:top="14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2"/>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9"/>
          </w:tcPr>
          <w:p>
            <w:pPr>
              <w:spacing w:after="0" w:line="169"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Amended and Restated Certificate of Incorporation of</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9"/>
          </w:tcPr>
          <w:p>
            <w:pPr>
              <w:spacing w:after="0" w:line="156" w:lineRule="exact"/>
              <w:rPr>
                <w:rFonts w:ascii="Arial" w:cs="Arial" w:eastAsia="Arial" w:hAnsi="Arial"/>
                <w:sz w:val="18"/>
                <w:szCs w:val="18"/>
                <w:color w:val="0000FF"/>
              </w:rPr>
            </w:pPr>
            <w:hyperlink r:id="rId11">
              <w:r>
                <w:rPr>
                  <w:rFonts w:ascii="Arial" w:cs="Arial" w:eastAsia="Arial" w:hAnsi="Arial"/>
                  <w:sz w:val="18"/>
                  <w:szCs w:val="18"/>
                  <w:color w:val="0000FF"/>
                </w:rPr>
                <w:t>Zoom Video Communications, Inc</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Amended and Restated Bylaws of Zoom Video</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gridSpan w:val="6"/>
          </w:tcPr>
          <w:p>
            <w:pPr>
              <w:spacing w:after="0" w:line="156" w:lineRule="exact"/>
              <w:rPr>
                <w:rFonts w:ascii="Arial" w:cs="Arial" w:eastAsia="Arial" w:hAnsi="Arial"/>
                <w:sz w:val="18"/>
                <w:szCs w:val="18"/>
                <w:color w:val="0000FF"/>
              </w:rPr>
            </w:pPr>
            <w:hyperlink r:id="rId12">
              <w:r>
                <w:rPr>
                  <w:rFonts w:ascii="Arial" w:cs="Arial" w:eastAsia="Arial" w:hAnsi="Arial"/>
                  <w:sz w:val="18"/>
                  <w:szCs w:val="18"/>
                  <w:color w:val="0000FF"/>
                </w:rPr>
                <w:t>Communications, Inc.</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gridSpan w:val="11"/>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Form of Class A common stock certificate of the</w:t>
              </w:r>
            </w:hyperlink>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Registrant.</w:t>
              </w:r>
            </w:hyperlink>
          </w:p>
        </w:tc>
        <w:tc>
          <w:tcPr>
            <w:tcW w:w="272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36"/>
        </w:trPr>
        <w:tc>
          <w:tcPr>
            <w:tcW w:w="104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Opinion of Cooley LLP.</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Consent of Cooley LLP (included in Exhibit 5.1).</w:t>
              </w:r>
            </w:hyperlink>
          </w:p>
        </w:tc>
        <w:tc>
          <w:tcPr>
            <w:tcW w:w="520" w:type="dxa"/>
            <w:vAlign w:val="bottom"/>
            <w:gridSpan w:val="3"/>
          </w:tcPr>
          <w:p>
            <w:pPr>
              <w:spacing w:after="0"/>
              <w:rPr>
                <w:sz w:val="20"/>
                <w:szCs w:val="20"/>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gridSpan w:val="11"/>
          </w:tcPr>
          <w:p>
            <w:pPr>
              <w:spacing w:after="0"/>
              <w:rPr>
                <w:rFonts w:ascii="Arial" w:cs="Arial" w:eastAsia="Arial" w:hAnsi="Arial"/>
                <w:sz w:val="18"/>
                <w:szCs w:val="18"/>
                <w:color w:val="0000FF"/>
                <w:w w:val="93"/>
              </w:rPr>
            </w:pPr>
            <w:hyperlink w:anchor="page9">
              <w:r>
                <w:rPr>
                  <w:rFonts w:ascii="Arial" w:cs="Arial" w:eastAsia="Arial" w:hAnsi="Arial"/>
                  <w:sz w:val="18"/>
                  <w:szCs w:val="18"/>
                  <w:color w:val="0000FF"/>
                  <w:w w:val="93"/>
                </w:rPr>
                <w:t>Consent of KPMG LLP, Independent Registered Public</w:t>
              </w:r>
            </w:hyperlink>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Accounting Firm.</w:t>
              </w:r>
            </w:hyperlink>
          </w:p>
        </w:tc>
        <w:tc>
          <w:tcPr>
            <w:tcW w:w="1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5"/>
          </w:tcPr>
          <w:p>
            <w:pPr>
              <w:ind w:left="800"/>
              <w:spacing w:after="0"/>
              <w:rPr>
                <w:sz w:val="20"/>
                <w:szCs w:val="20"/>
                <w:color w:val="auto"/>
              </w:rPr>
            </w:pPr>
            <w:r>
              <w:rPr>
                <w:rFonts w:ascii="Arial" w:cs="Arial" w:eastAsia="Arial" w:hAnsi="Arial"/>
                <w:sz w:val="18"/>
                <w:szCs w:val="18"/>
                <w:b w:val="1"/>
                <w:bCs w:val="1"/>
                <w:color w:val="auto"/>
              </w:rPr>
              <w:t>Incorporated by Reference</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ScheduleForm</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Number</w:t>
            </w: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Exhibit</w:t>
            </w: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0"/>
              <w:spacing w:after="0"/>
              <w:rPr>
                <w:sz w:val="20"/>
                <w:szCs w:val="20"/>
                <w:color w:val="auto"/>
              </w:rPr>
            </w:pPr>
            <w:r>
              <w:rPr>
                <w:rFonts w:ascii="Arial" w:cs="Arial" w:eastAsia="Arial" w:hAnsi="Arial"/>
                <w:sz w:val="18"/>
                <w:szCs w:val="18"/>
                <w:color w:val="auto"/>
              </w:rPr>
              <w:t>001-38865</w:t>
            </w:r>
          </w:p>
        </w:tc>
        <w:tc>
          <w:tcPr>
            <w:tcW w:w="10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7"/>
              </w:rPr>
              <w:t>3.1</w:t>
            </w:r>
          </w:p>
        </w:tc>
        <w:tc>
          <w:tcPr>
            <w:tcW w:w="206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April 23, 2019</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ind w:left="2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23"/>
                <w:szCs w:val="23"/>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7"/>
              </w:rPr>
              <w:t>3.4</w:t>
            </w:r>
          </w:p>
        </w:tc>
        <w:tc>
          <w:tcPr>
            <w:tcW w:w="206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ind w:left="2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23"/>
                <w:szCs w:val="23"/>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7"/>
              </w:rPr>
              <w:t>4.1</w:t>
            </w:r>
          </w:p>
        </w:tc>
        <w:tc>
          <w:tcPr>
            <w:tcW w:w="206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959" w:lineRule="exact"/>
        <w:rPr>
          <w:sz w:val="20"/>
          <w:szCs w:val="20"/>
          <w:color w:val="auto"/>
        </w:rPr>
      </w:pPr>
    </w:p>
    <w:p>
      <w:pPr>
        <w:sectPr>
          <w:pgSz w:w="11900" w:h="16838" w:orient="portrait"/>
          <w:cols w:equalWidth="0" w:num="2">
            <w:col w:w="5240" w:space="100"/>
            <w:col w:w="5900"/>
          </w:cols>
          <w:pgMar w:left="320" w:top="1417" w:right="339" w:bottom="1440" w:gutter="0" w:footer="0" w:header="0"/>
        </w:sectPr>
      </w:pPr>
    </w:p>
    <w:tbl>
      <w:tblPr>
        <w:tblLayout w:type="fixed"/>
        <w:tblInd w:w="20" w:type="dxa"/>
        <w:tblCellMar>
          <w:top w:w="0" w:type="dxa"/>
          <w:left w:w="0" w:type="dxa"/>
          <w:bottom w:w="0" w:type="dxa"/>
          <w:right w:w="0" w:type="dxa"/>
        </w:tblCellMar>
      </w:tblPr>
      <w:tr>
        <w:trPr>
          <w:trHeight w:val="216"/>
        </w:trPr>
        <w:tc>
          <w:tcPr>
            <w:tcW w:w="1120" w:type="dxa"/>
            <w:vAlign w:val="bottom"/>
          </w:tcPr>
          <w:p>
            <w:pPr>
              <w:jc w:val="right"/>
              <w:ind w:right="610"/>
              <w:spacing w:after="0" w:line="196" w:lineRule="exact"/>
              <w:rPr>
                <w:sz w:val="20"/>
                <w:szCs w:val="20"/>
                <w:color w:val="auto"/>
              </w:rPr>
            </w:pPr>
            <w:r>
              <w:rPr>
                <w:rFonts w:ascii="Arial" w:cs="Arial" w:eastAsia="Arial" w:hAnsi="Arial"/>
                <w:sz w:val="18"/>
                <w:szCs w:val="18"/>
                <w:color w:val="auto"/>
                <w:w w:val="95"/>
              </w:rPr>
              <w:t>24.1*</w:t>
            </w:r>
          </w:p>
        </w:tc>
        <w:tc>
          <w:tcPr>
            <w:tcW w:w="38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Power of Attorney (included on the signature page of</w:t>
              </w:r>
            </w:hyperlink>
          </w:p>
        </w:tc>
      </w:tr>
      <w:tr>
        <w:trPr>
          <w:trHeight w:val="155"/>
        </w:trPr>
        <w:tc>
          <w:tcPr>
            <w:tcW w:w="1120" w:type="dxa"/>
            <w:vAlign w:val="bottom"/>
          </w:tcPr>
          <w:p>
            <w:pPr>
              <w:spacing w:after="0"/>
              <w:rPr>
                <w:sz w:val="13"/>
                <w:szCs w:val="13"/>
                <w:color w:val="auto"/>
              </w:rPr>
            </w:pPr>
          </w:p>
        </w:tc>
        <w:tc>
          <w:tcPr>
            <w:tcW w:w="3840" w:type="dxa"/>
            <w:vAlign w:val="bottom"/>
            <w:gridSpan w:val="2"/>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this Form S-8).</w:t>
              </w:r>
            </w:hyperlink>
          </w:p>
        </w:tc>
      </w:tr>
      <w:tr>
        <w:trPr>
          <w:trHeight w:val="20"/>
        </w:trPr>
        <w:tc>
          <w:tcPr>
            <w:tcW w:w="11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17"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120" w:type="dxa"/>
            <w:vAlign w:val="bottom"/>
          </w:tcPr>
          <w:p>
            <w:pPr>
              <w:jc w:val="right"/>
              <w:ind w:right="710"/>
              <w:spacing w:after="0" w:line="196" w:lineRule="exact"/>
              <w:rPr>
                <w:sz w:val="20"/>
                <w:szCs w:val="20"/>
                <w:color w:val="auto"/>
              </w:rPr>
            </w:pPr>
            <w:r>
              <w:rPr>
                <w:rFonts w:ascii="Arial" w:cs="Arial" w:eastAsia="Arial" w:hAnsi="Arial"/>
                <w:sz w:val="18"/>
                <w:szCs w:val="18"/>
                <w:color w:val="auto"/>
                <w:w w:val="85"/>
              </w:rPr>
              <w:t>99.1</w:t>
            </w:r>
          </w:p>
        </w:tc>
        <w:tc>
          <w:tcPr>
            <w:tcW w:w="29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Zoom Video Communications, Inc. 2019</w:t>
              </w:r>
            </w:hyperlink>
          </w:p>
        </w:tc>
        <w:tc>
          <w:tcPr>
            <w:tcW w:w="500" w:type="dxa"/>
            <w:vAlign w:val="bottom"/>
            <w:tcBorders>
              <w:bottom w:val="single" w:sz="8" w:color="0000FF"/>
            </w:tcBorders>
          </w:tcPr>
          <w:p>
            <w:pPr>
              <w:ind w:left="20"/>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Equity</w:t>
              </w:r>
            </w:hyperlink>
          </w:p>
        </w:tc>
        <w:tc>
          <w:tcPr>
            <w:tcW w:w="240" w:type="dxa"/>
            <w:vAlign w:val="bottom"/>
          </w:tcPr>
          <w:p>
            <w:pPr>
              <w:spacing w:after="0"/>
              <w:rPr>
                <w:sz w:val="18"/>
                <w:szCs w:val="18"/>
                <w:color w:val="auto"/>
              </w:rPr>
            </w:pPr>
          </w:p>
        </w:tc>
      </w:tr>
      <w:tr>
        <w:trPr>
          <w:trHeight w:val="155"/>
        </w:trPr>
        <w:tc>
          <w:tcPr>
            <w:tcW w:w="1120" w:type="dxa"/>
            <w:vAlign w:val="bottom"/>
          </w:tcPr>
          <w:p>
            <w:pPr>
              <w:spacing w:after="0"/>
              <w:rPr>
                <w:sz w:val="13"/>
                <w:szCs w:val="13"/>
                <w:color w:val="auto"/>
              </w:rPr>
            </w:pPr>
          </w:p>
        </w:tc>
        <w:tc>
          <w:tcPr>
            <w:tcW w:w="372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Incentive Plan and forms of agreements thereunder.</w:t>
              </w:r>
            </w:hyperlink>
          </w:p>
        </w:tc>
      </w:tr>
      <w:tr>
        <w:trPr>
          <w:trHeight w:val="210"/>
        </w:trPr>
        <w:tc>
          <w:tcPr>
            <w:tcW w:w="1120" w:type="dxa"/>
            <w:vAlign w:val="bottom"/>
          </w:tcPr>
          <w:p>
            <w:pPr>
              <w:jc w:val="right"/>
              <w:ind w:right="710"/>
              <w:spacing w:after="0" w:line="196" w:lineRule="exact"/>
              <w:rPr>
                <w:sz w:val="20"/>
                <w:szCs w:val="20"/>
                <w:color w:val="auto"/>
              </w:rPr>
            </w:pPr>
            <w:r>
              <w:rPr>
                <w:rFonts w:ascii="Arial" w:cs="Arial" w:eastAsia="Arial" w:hAnsi="Arial"/>
                <w:sz w:val="18"/>
                <w:szCs w:val="18"/>
                <w:color w:val="auto"/>
                <w:w w:val="85"/>
              </w:rPr>
              <w:t>99.2</w:t>
            </w:r>
          </w:p>
        </w:tc>
        <w:tc>
          <w:tcPr>
            <w:tcW w:w="29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Zoom Video Communications, Inc. 2019</w:t>
              </w:r>
            </w:hyperlink>
          </w:p>
        </w:tc>
        <w:tc>
          <w:tcPr>
            <w:tcW w:w="74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87"/>
              </w:rPr>
            </w:pPr>
            <w:hyperlink r:id="rId15">
              <w:r>
                <w:rPr>
                  <w:rFonts w:ascii="Arial" w:cs="Arial" w:eastAsia="Arial" w:hAnsi="Arial"/>
                  <w:sz w:val="18"/>
                  <w:szCs w:val="18"/>
                  <w:color w:val="0000FF"/>
                  <w:w w:val="87"/>
                </w:rPr>
                <w:t>Employee</w:t>
              </w:r>
            </w:hyperlink>
          </w:p>
        </w:tc>
      </w:tr>
      <w:tr>
        <w:trPr>
          <w:trHeight w:val="155"/>
        </w:trPr>
        <w:tc>
          <w:tcPr>
            <w:tcW w:w="1120" w:type="dxa"/>
            <w:vAlign w:val="bottom"/>
          </w:tcPr>
          <w:p>
            <w:pPr>
              <w:spacing w:after="0"/>
              <w:rPr>
                <w:sz w:val="13"/>
                <w:szCs w:val="13"/>
                <w:color w:val="auto"/>
              </w:rPr>
            </w:pPr>
          </w:p>
        </w:tc>
        <w:tc>
          <w:tcPr>
            <w:tcW w:w="2980" w:type="dxa"/>
            <w:vAlign w:val="bottom"/>
            <w:gridSpan w:val="2"/>
          </w:tcPr>
          <w:p>
            <w:pPr>
              <w:spacing w:after="0" w:line="156" w:lineRule="exact"/>
              <w:rPr>
                <w:rFonts w:ascii="Arial" w:cs="Arial" w:eastAsia="Arial" w:hAnsi="Arial"/>
                <w:sz w:val="18"/>
                <w:szCs w:val="18"/>
                <w:color w:val="0000FF"/>
              </w:rPr>
            </w:pPr>
            <w:hyperlink r:id="rId15">
              <w:r>
                <w:rPr>
                  <w:rFonts w:ascii="Arial" w:cs="Arial" w:eastAsia="Arial" w:hAnsi="Arial"/>
                  <w:sz w:val="18"/>
                  <w:szCs w:val="18"/>
                  <w:color w:val="0000FF"/>
                </w:rPr>
                <w:t>Stock Purchase Plan.</w:t>
              </w:r>
            </w:hyperlink>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333-230444</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10.2</w:t>
            </w:r>
          </w:p>
        </w:tc>
        <w:tc>
          <w:tcPr>
            <w:tcW w:w="1460" w:type="dxa"/>
            <w:vAlign w:val="bottom"/>
            <w:vMerge w:val="restart"/>
          </w:tcPr>
          <w:p>
            <w:pPr>
              <w:ind w:left="500"/>
              <w:spacing w:after="0"/>
              <w:rPr>
                <w:sz w:val="20"/>
                <w:szCs w:val="20"/>
                <w:color w:val="auto"/>
              </w:rPr>
            </w:pPr>
            <w:r>
              <w:rPr>
                <w:rFonts w:ascii="Arial" w:cs="Arial" w:eastAsia="Arial" w:hAnsi="Arial"/>
                <w:sz w:val="18"/>
                <w:szCs w:val="18"/>
                <w:color w:val="auto"/>
                <w:w w:val="92"/>
              </w:rPr>
              <w:t>April 8, 2019</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333-230444</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10.3</w:t>
            </w:r>
          </w:p>
        </w:tc>
        <w:tc>
          <w:tcPr>
            <w:tcW w:w="1460" w:type="dxa"/>
            <w:vAlign w:val="bottom"/>
            <w:vMerge w:val="restart"/>
          </w:tcPr>
          <w:p>
            <w:pPr>
              <w:ind w:left="500"/>
              <w:spacing w:after="0"/>
              <w:rPr>
                <w:sz w:val="20"/>
                <w:szCs w:val="20"/>
                <w:color w:val="auto"/>
              </w:rPr>
            </w:pPr>
            <w:r>
              <w:rPr>
                <w:rFonts w:ascii="Arial" w:cs="Arial" w:eastAsia="Arial" w:hAnsi="Arial"/>
                <w:sz w:val="18"/>
                <w:szCs w:val="18"/>
                <w:color w:val="auto"/>
                <w:w w:val="92"/>
              </w:rPr>
              <w:t>April 8, 2019</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40"/>
          </w:cols>
          <w:pgMar w:left="320" w:top="1417" w:right="339" w:bottom="1440" w:gutter="0" w:footer="0" w:header="0"/>
          <w:type w:val="continuous"/>
        </w:sectPr>
      </w:pPr>
    </w:p>
    <w:p>
      <w:pPr>
        <w:spacing w:after="0" w:line="42" w:lineRule="exact"/>
        <w:rPr>
          <w:sz w:val="20"/>
          <w:szCs w:val="20"/>
          <w:color w:val="auto"/>
        </w:rPr>
      </w:pPr>
    </w:p>
    <w:p>
      <w:pPr>
        <w:ind w:left="80"/>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1240"/>
          </w:cols>
          <w:pgMar w:left="320" w:top="1417"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20th day of March, 2020.</w:t>
      </w:r>
    </w:p>
    <w:p>
      <w:pPr>
        <w:spacing w:after="0" w:line="200" w:lineRule="exact"/>
        <w:rPr>
          <w:sz w:val="20"/>
          <w:szCs w:val="20"/>
          <w:color w:val="auto"/>
        </w:rPr>
      </w:pPr>
    </w:p>
    <w:p>
      <w:pPr>
        <w:spacing w:after="0" w:line="27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612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31750</wp:posOffset>
            </wp:positionV>
            <wp:extent cx="283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Eric S. Yuan</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Eric S. Yuan, Kelly Steckelberg</w:t>
      </w:r>
      <w:r>
        <w:rPr>
          <w:rFonts w:ascii="Arial" w:cs="Arial" w:eastAsia="Arial" w:hAnsi="Arial"/>
          <w:sz w:val="16"/>
          <w:szCs w:val="16"/>
          <w:b w:val="1"/>
          <w:bCs w:val="1"/>
          <w:color w:val="auto"/>
        </w:rPr>
        <w:t xml:space="preserve"> </w:t>
      </w:r>
      <w:r>
        <w:rPr>
          <w:rFonts w:ascii="Arial" w:cs="Arial" w:eastAsia="Arial" w:hAnsi="Arial"/>
          <w:sz w:val="16"/>
          <w:szCs w:val="16"/>
          <w:color w:val="auto"/>
        </w:rPr>
        <w:t>and 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gridSpan w:val="11"/>
          </w:tcPr>
          <w:p>
            <w:pPr>
              <w:jc w:val="center"/>
              <w:ind w:right="1680"/>
              <w:spacing w:after="0"/>
              <w:rPr>
                <w:sz w:val="20"/>
                <w:szCs w:val="20"/>
                <w:color w:val="auto"/>
              </w:rPr>
            </w:pPr>
            <w:r>
              <w:rPr>
                <w:rFonts w:ascii="Arial" w:cs="Arial" w:eastAsia="Arial" w:hAnsi="Arial"/>
                <w:sz w:val="18"/>
                <w:szCs w:val="18"/>
                <w:b w:val="1"/>
                <w:bCs w:val="1"/>
                <w:color w:val="auto"/>
                <w:w w:val="91"/>
              </w:rPr>
              <w:t>Signature</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53"/>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1680" w:type="dxa"/>
            <w:vAlign w:val="bottom"/>
            <w:gridSpan w:val="10"/>
          </w:tcPr>
          <w:p>
            <w:pPr>
              <w:spacing w:after="0"/>
              <w:rPr>
                <w:sz w:val="24"/>
                <w:szCs w:val="24"/>
                <w:color w:val="auto"/>
              </w:rPr>
            </w:pP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Chief Executive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gridSpan w:val="11"/>
          </w:tcPr>
          <w:p>
            <w:pPr>
              <w:jc w:val="center"/>
              <w:ind w:right="1680"/>
              <w:spacing w:after="0"/>
              <w:rPr>
                <w:sz w:val="20"/>
                <w:szCs w:val="20"/>
                <w:color w:val="auto"/>
              </w:rPr>
            </w:pPr>
            <w:r>
              <w:rPr>
                <w:rFonts w:ascii="Arial" w:cs="Arial" w:eastAsia="Arial" w:hAnsi="Arial"/>
                <w:sz w:val="18"/>
                <w:szCs w:val="18"/>
                <w:color w:val="auto"/>
                <w:w w:val="91"/>
              </w:rPr>
              <w:t>Eric S. Yuan</w:t>
            </w:r>
          </w:p>
        </w:tc>
        <w:tc>
          <w:tcPr>
            <w:tcW w:w="490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4"/>
              </w:rPr>
              <w:t>(Principal Executive Officer)</w:t>
            </w:r>
          </w:p>
        </w:tc>
        <w:tc>
          <w:tcPr>
            <w:tcW w:w="1920" w:type="dxa"/>
            <w:vAlign w:val="bottom"/>
          </w:tcPr>
          <w:p>
            <w:pPr>
              <w:spacing w:after="0"/>
              <w:rPr>
                <w:sz w:val="20"/>
                <w:szCs w:val="20"/>
                <w:color w:val="auto"/>
              </w:rPr>
            </w:pPr>
          </w:p>
        </w:tc>
      </w:tr>
      <w:tr>
        <w:trPr>
          <w:trHeight w:val="500"/>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3"/>
              </w:rPr>
              <w:t>/s/ Kelly Steckelberg</w:t>
            </w:r>
          </w:p>
        </w:tc>
        <w:tc>
          <w:tcPr>
            <w:tcW w:w="1480" w:type="dxa"/>
            <w:vAlign w:val="bottom"/>
            <w:gridSpan w:val="6"/>
          </w:tcPr>
          <w:p>
            <w:pPr>
              <w:spacing w:after="0"/>
              <w:rPr>
                <w:sz w:val="24"/>
                <w:szCs w:val="24"/>
                <w:color w:val="auto"/>
              </w:rPr>
            </w:pP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14"/>
          </w:tcPr>
          <w:p>
            <w:pPr>
              <w:jc w:val="center"/>
              <w:ind w:right="1560"/>
              <w:spacing w:after="0"/>
              <w:rPr>
                <w:sz w:val="20"/>
                <w:szCs w:val="20"/>
                <w:color w:val="auto"/>
              </w:rPr>
            </w:pPr>
            <w:r>
              <w:rPr>
                <w:rFonts w:ascii="Arial" w:cs="Arial" w:eastAsia="Arial" w:hAnsi="Arial"/>
                <w:sz w:val="18"/>
                <w:szCs w:val="18"/>
                <w:color w:val="auto"/>
                <w:w w:val="92"/>
              </w:rPr>
              <w:t>Kelly Steckelberg</w:t>
            </w:r>
          </w:p>
        </w:tc>
        <w:tc>
          <w:tcPr>
            <w:tcW w:w="490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7"/>
              </w:rPr>
              <w:t>(Principal Financial Officer)</w:t>
            </w: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/s/ Roy Benhorin</w:t>
            </w:r>
          </w:p>
        </w:tc>
        <w:tc>
          <w:tcPr>
            <w:tcW w:w="1620" w:type="dxa"/>
            <w:vAlign w:val="bottom"/>
            <w:gridSpan w:val="8"/>
          </w:tcPr>
          <w:p>
            <w:pPr>
              <w:spacing w:after="0"/>
              <w:rPr>
                <w:sz w:val="24"/>
                <w:szCs w:val="24"/>
                <w:color w:val="auto"/>
              </w:rPr>
            </w:pP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Chief Accounting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gridSpan w:val="11"/>
          </w:tcPr>
          <w:p>
            <w:pPr>
              <w:jc w:val="center"/>
              <w:ind w:right="1680"/>
              <w:spacing w:after="0"/>
              <w:rPr>
                <w:sz w:val="20"/>
                <w:szCs w:val="20"/>
                <w:color w:val="auto"/>
              </w:rPr>
            </w:pPr>
            <w:r>
              <w:rPr>
                <w:rFonts w:ascii="Arial" w:cs="Arial" w:eastAsia="Arial" w:hAnsi="Arial"/>
                <w:sz w:val="18"/>
                <w:szCs w:val="18"/>
                <w:color w:val="auto"/>
                <w:w w:val="91"/>
              </w:rPr>
              <w:t>Roy Benhorin</w:t>
            </w:r>
          </w:p>
        </w:tc>
        <w:tc>
          <w:tcPr>
            <w:tcW w:w="490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5"/>
              </w:rPr>
              <w:t>(Principal Accounting Officer)</w:t>
            </w: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0"/>
              </w:rPr>
              <w:t>/s/ Jonathan Chadwick</w:t>
            </w:r>
          </w:p>
        </w:tc>
        <w:tc>
          <w:tcPr>
            <w:tcW w:w="1420" w:type="dxa"/>
            <w:vAlign w:val="bottom"/>
            <w:gridSpan w:val="5"/>
          </w:tcPr>
          <w:p>
            <w:pPr>
              <w:spacing w:after="0"/>
              <w:rPr>
                <w:sz w:val="24"/>
                <w:szCs w:val="24"/>
                <w:color w:val="auto"/>
              </w:rPr>
            </w:pP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15"/>
          </w:tcPr>
          <w:p>
            <w:pPr>
              <w:jc w:val="center"/>
              <w:ind w:right="1480"/>
              <w:spacing w:after="0"/>
              <w:rPr>
                <w:sz w:val="20"/>
                <w:szCs w:val="20"/>
                <w:color w:val="auto"/>
              </w:rPr>
            </w:pPr>
            <w:r>
              <w:rPr>
                <w:rFonts w:ascii="Arial" w:cs="Arial" w:eastAsia="Arial" w:hAnsi="Arial"/>
                <w:sz w:val="18"/>
                <w:szCs w:val="18"/>
                <w:color w:val="auto"/>
                <w:w w:val="89"/>
              </w:rPr>
              <w:t>Jonathan Chadwick</w:t>
            </w: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18"/>
          </w:tcPr>
          <w:p>
            <w:pPr>
              <w:jc w:val="center"/>
              <w:ind w:right="1360"/>
              <w:spacing w:after="0"/>
              <w:rPr>
                <w:sz w:val="20"/>
                <w:szCs w:val="20"/>
                <w:color w:val="auto"/>
              </w:rPr>
            </w:pPr>
            <w:r>
              <w:rPr>
                <w:rFonts w:ascii="Arial" w:cs="Arial" w:eastAsia="Arial" w:hAnsi="Arial"/>
                <w:sz w:val="18"/>
                <w:szCs w:val="18"/>
                <w:color w:val="auto"/>
                <w:w w:val="90"/>
              </w:rPr>
              <w:t>/s/ Carl M. Eschenbach</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11"/>
          </w:tcPr>
          <w:p>
            <w:pPr>
              <w:jc w:val="center"/>
              <w:ind w:right="80"/>
              <w:spacing w:after="0"/>
              <w:rPr>
                <w:sz w:val="20"/>
                <w:szCs w:val="20"/>
                <w:color w:val="auto"/>
              </w:rPr>
            </w:pPr>
            <w:r>
              <w:rPr>
                <w:rFonts w:ascii="Arial" w:cs="Arial" w:eastAsia="Arial" w:hAnsi="Arial"/>
                <w:sz w:val="18"/>
                <w:szCs w:val="18"/>
                <w:color w:val="auto"/>
                <w:w w:val="91"/>
              </w:rPr>
              <w:t>Carl M. Eschenbach</w:t>
            </w:r>
          </w:p>
        </w:tc>
        <w:tc>
          <w:tcPr>
            <w:tcW w:w="1400" w:type="dxa"/>
            <w:vAlign w:val="bottom"/>
            <w:gridSpan w:val="4"/>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13"/>
          </w:tcPr>
          <w:p>
            <w:pPr>
              <w:jc w:val="center"/>
              <w:ind w:right="1620"/>
              <w:spacing w:after="0"/>
              <w:rPr>
                <w:sz w:val="20"/>
                <w:szCs w:val="20"/>
                <w:color w:val="auto"/>
              </w:rPr>
            </w:pPr>
            <w:r>
              <w:rPr>
                <w:rFonts w:ascii="Arial" w:cs="Arial" w:eastAsia="Arial" w:hAnsi="Arial"/>
                <w:sz w:val="18"/>
                <w:szCs w:val="18"/>
                <w:color w:val="auto"/>
                <w:w w:val="85"/>
              </w:rPr>
              <w:t>/s/ Peter Gassner</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6"/>
              </w:rPr>
              <w:t>Peter Gassner</w:t>
            </w:r>
          </w:p>
        </w:tc>
        <w:tc>
          <w:tcPr>
            <w:tcW w:w="1640" w:type="dxa"/>
            <w:vAlign w:val="bottom"/>
            <w:gridSpan w:val="9"/>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3240" w:type="dxa"/>
            <w:vAlign w:val="bottom"/>
            <w:gridSpan w:val="19"/>
          </w:tcPr>
          <w:p>
            <w:pPr>
              <w:jc w:val="center"/>
              <w:ind w:right="1260"/>
              <w:spacing w:after="0"/>
              <w:rPr>
                <w:sz w:val="20"/>
                <w:szCs w:val="20"/>
                <w:color w:val="auto"/>
              </w:rPr>
            </w:pPr>
            <w:r>
              <w:rPr>
                <w:rFonts w:ascii="Arial" w:cs="Arial" w:eastAsia="Arial" w:hAnsi="Arial"/>
                <w:sz w:val="18"/>
                <w:szCs w:val="18"/>
                <w:color w:val="auto"/>
                <w:w w:val="93"/>
              </w:rPr>
              <w:t>/s/ Kimberly L. Hammonds</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980" w:type="dxa"/>
            <w:vAlign w:val="bottom"/>
            <w:tcBorders>
              <w:top w:val="single" w:sz="8" w:color="auto"/>
            </w:tcBorders>
            <w:gridSpan w:val="17"/>
          </w:tcPr>
          <w:p>
            <w:pPr>
              <w:jc w:val="center"/>
              <w:spacing w:after="0"/>
              <w:rPr>
                <w:sz w:val="20"/>
                <w:szCs w:val="20"/>
                <w:color w:val="auto"/>
              </w:rPr>
            </w:pPr>
            <w:r>
              <w:rPr>
                <w:rFonts w:ascii="Arial" w:cs="Arial" w:eastAsia="Arial" w:hAnsi="Arial"/>
                <w:sz w:val="18"/>
                <w:szCs w:val="18"/>
                <w:color w:val="auto"/>
                <w:w w:val="94"/>
              </w:rPr>
              <w:t>Kimberly L. Hammonds</w:t>
            </w:r>
          </w:p>
        </w:tc>
        <w:tc>
          <w:tcPr>
            <w:tcW w:w="1260" w:type="dxa"/>
            <w:vAlign w:val="bottom"/>
            <w:gridSpan w:val="2"/>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00"/>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/s/ Dan Scheinman</w:t>
            </w:r>
          </w:p>
        </w:tc>
        <w:tc>
          <w:tcPr>
            <w:tcW w:w="1560" w:type="dxa"/>
            <w:vAlign w:val="bottom"/>
            <w:gridSpan w:val="7"/>
          </w:tcPr>
          <w:p>
            <w:pPr>
              <w:spacing w:after="0"/>
              <w:rPr>
                <w:sz w:val="24"/>
                <w:szCs w:val="24"/>
                <w:color w:val="auto"/>
              </w:rPr>
            </w:pP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12"/>
          </w:tcPr>
          <w:p>
            <w:pPr>
              <w:jc w:val="center"/>
              <w:ind w:right="1640"/>
              <w:spacing w:after="0"/>
              <w:rPr>
                <w:sz w:val="20"/>
                <w:szCs w:val="20"/>
                <w:color w:val="auto"/>
              </w:rPr>
            </w:pPr>
            <w:r>
              <w:rPr>
                <w:rFonts w:ascii="Arial" w:cs="Arial" w:eastAsia="Arial" w:hAnsi="Arial"/>
                <w:sz w:val="18"/>
                <w:szCs w:val="18"/>
                <w:color w:val="auto"/>
                <w:w w:val="90"/>
              </w:rPr>
              <w:t>Dan Scheinman</w:t>
            </w: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18"/>
          </w:tcPr>
          <w:p>
            <w:pPr>
              <w:jc w:val="center"/>
              <w:ind w:right="1380"/>
              <w:spacing w:after="0"/>
              <w:rPr>
                <w:sz w:val="20"/>
                <w:szCs w:val="20"/>
                <w:color w:val="auto"/>
              </w:rPr>
            </w:pPr>
            <w:r>
              <w:rPr>
                <w:rFonts w:ascii="Arial" w:cs="Arial" w:eastAsia="Arial" w:hAnsi="Arial"/>
                <w:sz w:val="18"/>
                <w:szCs w:val="18"/>
                <w:color w:val="auto"/>
                <w:w w:val="90"/>
              </w:rPr>
              <w:t>/s/ Santiago Subotovsky</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7"/>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13"/>
          </w:tcPr>
          <w:p>
            <w:pPr>
              <w:jc w:val="center"/>
              <w:ind w:right="40"/>
              <w:spacing w:after="0"/>
              <w:rPr>
                <w:sz w:val="20"/>
                <w:szCs w:val="20"/>
                <w:color w:val="auto"/>
              </w:rPr>
            </w:pPr>
            <w:r>
              <w:rPr>
                <w:rFonts w:ascii="Arial" w:cs="Arial" w:eastAsia="Arial" w:hAnsi="Arial"/>
                <w:sz w:val="18"/>
                <w:szCs w:val="18"/>
                <w:color w:val="auto"/>
                <w:w w:val="89"/>
              </w:rPr>
              <w:t>Santiago Subotovsky</w:t>
            </w:r>
          </w:p>
        </w:tc>
        <w:tc>
          <w:tcPr>
            <w:tcW w:w="1380" w:type="dxa"/>
            <w:vAlign w:val="bottom"/>
            <w:gridSpan w:val="3"/>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9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13"/>
          </w:tcPr>
          <w:p>
            <w:pPr>
              <w:jc w:val="center"/>
              <w:ind w:right="1640"/>
              <w:spacing w:after="0"/>
              <w:rPr>
                <w:sz w:val="20"/>
                <w:szCs w:val="20"/>
                <w:color w:val="auto"/>
              </w:rPr>
            </w:pPr>
            <w:r>
              <w:rPr>
                <w:rFonts w:ascii="Arial" w:cs="Arial" w:eastAsia="Arial" w:hAnsi="Arial"/>
                <w:sz w:val="18"/>
                <w:szCs w:val="18"/>
                <w:color w:val="auto"/>
                <w:w w:val="89"/>
              </w:rPr>
              <w:t>/s/ Bart Swanson</w:t>
            </w:r>
          </w:p>
        </w:tc>
        <w:tc>
          <w:tcPr>
            <w:tcW w:w="4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20, 2020</w:t>
            </w:r>
          </w:p>
        </w:tc>
      </w:tr>
      <w:tr>
        <w:trPr>
          <w:trHeight w:val="236"/>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Bart Swanson</w:t>
            </w:r>
          </w:p>
        </w:tc>
        <w:tc>
          <w:tcPr>
            <w:tcW w:w="1640" w:type="dxa"/>
            <w:vAlign w:val="bottom"/>
            <w:gridSpan w:val="9"/>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ectPr>
          <w:pgSz w:w="11900" w:h="16838" w:orient="portrait"/>
          <w:cols w:equalWidth="0" w:num="1">
            <w:col w:w="11240"/>
          </w:cols>
          <w:pgMar w:left="320" w:top="141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Calise Y. Cheng</w:t>
      </w:r>
    </w:p>
    <w:p>
      <w:pPr>
        <w:spacing w:after="0" w:line="230" w:lineRule="auto"/>
        <w:rPr>
          <w:sz w:val="20"/>
          <w:szCs w:val="20"/>
          <w:color w:val="auto"/>
        </w:rPr>
      </w:pPr>
      <w:r>
        <w:rPr>
          <w:rFonts w:ascii="Arial" w:cs="Arial" w:eastAsia="Arial" w:hAnsi="Arial"/>
          <w:sz w:val="22"/>
          <w:szCs w:val="22"/>
          <w:color w:val="auto"/>
        </w:rPr>
        <w:t>+1 650 843 5172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ccheng@cooley.com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March 20, 2020</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Zoom Video Communications, Inc.</w:t>
      </w:r>
    </w:p>
    <w:p>
      <w:pPr>
        <w:ind w:right="8140" w:firstLine="8"/>
        <w:spacing w:after="0" w:line="209" w:lineRule="auto"/>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Almaden Boulevard,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San Jose, CA 95113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Registration on Form S-8</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acted as counsel to Zoom Video Communications,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you have requested our opinion in connection with the filing of a registration statement on Form S-8 (the “</w:t>
      </w:r>
      <w:r>
        <w:rPr>
          <w:rFonts w:ascii="Arial" w:cs="Arial" w:eastAsia="Arial" w:hAnsi="Arial"/>
          <w:sz w:val="22"/>
          <w:szCs w:val="22"/>
          <w:b w:val="1"/>
          <w:bCs w:val="1"/>
          <w:i w:val="1"/>
          <w:iCs w:val="1"/>
          <w:color w:val="auto"/>
        </w:rPr>
        <w:t>Registration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Statement</w:t>
      </w:r>
      <w:r>
        <w:rPr>
          <w:rFonts w:ascii="Arial" w:cs="Arial" w:eastAsia="Arial" w:hAnsi="Arial"/>
          <w:sz w:val="22"/>
          <w:szCs w:val="22"/>
          <w:color w:val="auto"/>
        </w:rPr>
        <w:t>”) with the Securities and Exchange Commission covering the offering of up to 16,723,671 shares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Class A common stock, par value $0.001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consisting of (a) 13,936,393 shares of Common Stock issuable pursuant to the Company’s 2019 Equity Incentive Plan (the “</w:t>
      </w:r>
      <w:r>
        <w:rPr>
          <w:rFonts w:ascii="Arial" w:cs="Arial" w:eastAsia="Arial" w:hAnsi="Arial"/>
          <w:sz w:val="22"/>
          <w:szCs w:val="22"/>
          <w:b w:val="1"/>
          <w:bCs w:val="1"/>
          <w:i w:val="1"/>
          <w:iCs w:val="1"/>
          <w:color w:val="auto"/>
        </w:rPr>
        <w:t>2019 EIP</w:t>
      </w:r>
      <w:r>
        <w:rPr>
          <w:rFonts w:ascii="Arial" w:cs="Arial" w:eastAsia="Arial" w:hAnsi="Arial"/>
          <w:sz w:val="22"/>
          <w:szCs w:val="22"/>
          <w:color w:val="auto"/>
        </w:rPr>
        <w:t>”) and (b) 2,787,278 shares of Common Stock issuable pursuant to the Company’s 2019 Employee Stock Purchase Plan (together with the 2019 EIP, the “</w:t>
      </w:r>
      <w:r>
        <w:rPr>
          <w:rFonts w:ascii="Arial" w:cs="Arial" w:eastAsia="Arial" w:hAnsi="Arial"/>
          <w:sz w:val="22"/>
          <w:szCs w:val="22"/>
          <w:b w:val="1"/>
          <w:bCs w:val="1"/>
          <w:i w:val="1"/>
          <w:iCs w:val="1"/>
          <w:color w:val="auto"/>
        </w:rPr>
        <w:t>Plans</w:t>
      </w:r>
      <w:r>
        <w:rPr>
          <w:rFonts w:ascii="Arial" w:cs="Arial" w:eastAsia="Arial" w:hAnsi="Arial"/>
          <w:sz w:val="22"/>
          <w:szCs w:val="22"/>
          <w:color w:val="auto"/>
        </w:rPr>
        <w:t>”).</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connection with this opinion, we have examined and relied upon (a) the Registration Statement and related Prospectuses, (b) the Company’s Amended and Restated Certificate of Incorporation and Amended and Restated Bylaws, each as currently in effect, (c) the Plans, and (d) such other records, documents, certificates, memoranda, and other instruments as in our judgment are necessary or appropriate to enable us to render the opinion expressed below. We have assumed the genuineness and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 to the effectiveness thereof. As to certain factual matters, we have relied upon a certificate of an officer of the Company and have not independently verified such matters.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the basis of the foregoing, and in reliance thereon, we are of the opinion that the Shares, when sold and issued in accordance with the Plans, the Registration Statement and related Prospectuses, will be validly issued, fully paid, and nonassessable (except</w:t>
      </w:r>
    </w:p>
    <w:p>
      <w:pPr>
        <w:sectPr>
          <w:pgSz w:w="11900" w:h="16838" w:orient="portrait"/>
          <w:cols w:equalWidth="0" w:num="1">
            <w:col w:w="11240"/>
          </w:cols>
          <w:pgMar w:left="320" w:top="39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to shares issued pursuant to certain deferred payment arrangements, which will be fully paid and nonassessable when such deferred payments are made in full).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filing of this opinion as an exhibit to the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Cooley LLP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Calise Y. Cheng</w:t>
      </w:r>
    </w:p>
    <w:p>
      <w:pPr>
        <w:ind w:left="660"/>
        <w:spacing w:after="0"/>
        <w:rPr>
          <w:sz w:val="20"/>
          <w:szCs w:val="20"/>
          <w:color w:val="auto"/>
        </w:rPr>
      </w:pPr>
      <w:r>
        <w:rPr>
          <w:rFonts w:ascii="Arial" w:cs="Arial" w:eastAsia="Arial" w:hAnsi="Arial"/>
          <w:sz w:val="22"/>
          <w:szCs w:val="22"/>
          <w:color w:val="auto"/>
        </w:rPr>
        <w:t>Calise Y.Cheng</w:t>
      </w:r>
    </w:p>
    <w:p>
      <w:pPr>
        <w:sectPr>
          <w:pgSz w:w="11900" w:h="16838" w:orient="portrait"/>
          <w:cols w:equalWidth="0" w:num="1">
            <w:col w:w="11240"/>
          </w:cols>
          <w:pgMar w:left="320" w:top="39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Zoom Video Communications, Inc.:</w:t>
      </w:r>
    </w:p>
    <w:p>
      <w:pPr>
        <w:spacing w:after="0" w:line="215"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We consent to the use of our report dated March 20, 2020, with respect to the consolidated balance sheets of Zoom Video Communications, Inc. and subsidiaries as of January 31, 2020 and 2019, and the related consolidated statements of operations, comprehensive income (loss), convertible preferred stock and stockholders’ (deficit) equity, and cash flows for each of the years in the three-year period ended January 31, 2020 and the related financial statement schedule II: valuation and qualifying accounts, incorporated herein by reference.</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 xml:space="preserve">Our report on the consolidated financial statements refers to Zoom Video Communications, Inc.’s adoption of Financial Accounting Standards Board’s Accounting Standards Codification (ASC) Topic 842, </w:t>
      </w:r>
      <w:r>
        <w:rPr>
          <w:rFonts w:ascii="Arial" w:cs="Arial" w:eastAsia="Arial" w:hAnsi="Arial"/>
          <w:sz w:val="21"/>
          <w:szCs w:val="21"/>
          <w:i w:val="1"/>
          <w:iCs w:val="1"/>
          <w:color w:val="auto"/>
        </w:rPr>
        <w:t>Leases</w:t>
      </w:r>
      <w:r>
        <w:rPr>
          <w:rFonts w:ascii="Arial" w:cs="Arial" w:eastAsia="Arial" w:hAnsi="Arial"/>
          <w:sz w:val="21"/>
          <w:szCs w:val="21"/>
          <w:color w:val="auto"/>
        </w:rPr>
        <w:t>, as of February 1,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20, 2020</w:t>
      </w:r>
    </w:p>
    <w:sectPr>
      <w:pgSz w:w="11900" w:h="16838" w:orient="portrait"/>
      <w:cols w:equalWidth="0" w:num="1">
        <w:col w:w="11240"/>
      </w:cols>
      <w:pgMar w:left="320" w:top="6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5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1" Type="http://schemas.openxmlformats.org/officeDocument/2006/relationships/hyperlink" Target="http://www.sec.gov/Archives/edgar/data/1585521/000119312519115111/d736915dex31.htm" TargetMode="External"/><Relationship Id="rId12" Type="http://schemas.openxmlformats.org/officeDocument/2006/relationships/hyperlink" Target="http://www.sec.gov/Archives/edgar/data/1585521/000119312519099813/d642624dex34.htm" TargetMode="External"/><Relationship Id="rId13" Type="http://schemas.openxmlformats.org/officeDocument/2006/relationships/hyperlink" Target="http://www.sec.gov/Archives/edgar/data/1585521/000119312519099813/d642624dex41.htm" TargetMode="External"/><Relationship Id="rId14" Type="http://schemas.openxmlformats.org/officeDocument/2006/relationships/hyperlink" Target="http://www.sec.gov/Archives/edgar/data/1585521/000119312519099813/d642624dex102.htm" TargetMode="External"/><Relationship Id="rId15" Type="http://schemas.openxmlformats.org/officeDocument/2006/relationships/hyperlink" Target="http://www.sec.gov/Archives/edgar/data/1585521/000119312519099813/d64262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2020-03-23T15:43:50Z</dcterms:created>
  <dcterms:modified xsi:type="dcterms:W3CDTF">2020-03-23T15:43:50Z</dcterms:modified>
</cp:coreProperties>
</file>