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214292</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15465453.64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10/21/2024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Founder's Shares</w:t>
            </w:r>
          </w:p>
        </w:tc>
        <w:tc>
          <w:tcPr>
            <w:tcW w:w="14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20" w:type="dxa"/>
            <w:vAlign w:val="bottom"/>
            <w:gridSpan w:val="3"/>
            <w:vMerge w:val="restart"/>
          </w:tcPr>
          <w:p>
            <w:pPr>
              <w:ind w:left="40"/>
              <w:spacing w:after="0"/>
              <w:rPr>
                <w:sz w:val="20"/>
                <w:szCs w:val="20"/>
                <w:color w:val="auto"/>
              </w:rPr>
            </w:pPr>
            <w:r>
              <w:rPr>
                <w:rFonts w:ascii="Times New Roman" w:cs="Times New Roman" w:eastAsia="Times New Roman" w:hAnsi="Times New Roman"/>
                <w:sz w:val="22"/>
                <w:szCs w:val="22"/>
                <w:color w:val="auto"/>
              </w:rPr>
              <w:t>06/22/2011 Class B to Class A 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121199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06/22/2011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4120" w:type="dxa"/>
            <w:vAlign w:val="bottom"/>
            <w:gridSpan w:val="3"/>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Conversion</w:t>
            </w:r>
          </w:p>
        </w:tc>
        <w:tc>
          <w:tcPr>
            <w:tcW w:w="14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Acquired as</w:t>
            </w:r>
          </w:p>
        </w:tc>
        <w:tc>
          <w:tcPr>
            <w:tcW w:w="14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07/08/2023</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19007</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07/08/2023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10/08/2023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14859</w:t>
            </w:r>
          </w:p>
        </w:tc>
        <w:tc>
          <w:tcPr>
            <w:tcW w:w="2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10/08/2023 Compensation</w:t>
            </w:r>
          </w:p>
        </w:tc>
        <w:tc>
          <w:tcPr>
            <w:tcW w:w="0" w:type="dxa"/>
            <w:vAlign w:val="bottom"/>
          </w:tcPr>
          <w:p>
            <w:pPr>
              <w:spacing w:after="0"/>
              <w:rPr>
                <w:sz w:val="1"/>
                <w:szCs w:val="1"/>
                <w:color w:val="auto"/>
              </w:rPr>
            </w:pPr>
          </w:p>
        </w:tc>
      </w:tr>
      <w:tr>
        <w:trPr>
          <w:trHeight w:val="148"/>
        </w:trPr>
        <w:tc>
          <w:tcPr>
            <w:tcW w:w="142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Common Stock</w:t>
            </w:r>
          </w:p>
        </w:tc>
        <w:tc>
          <w:tcPr>
            <w:tcW w:w="106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Restricted Stock</w:t>
            </w:r>
          </w:p>
        </w:tc>
        <w:tc>
          <w:tcPr>
            <w:tcW w:w="1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01/08/2024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14994</w:t>
            </w:r>
          </w:p>
        </w:tc>
        <w:tc>
          <w:tcPr>
            <w:tcW w:w="2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01/08/2024 Compensation</w:t>
            </w:r>
          </w:p>
        </w:tc>
        <w:tc>
          <w:tcPr>
            <w:tcW w:w="0" w:type="dxa"/>
            <w:vAlign w:val="bottom"/>
          </w:tcPr>
          <w:p>
            <w:pPr>
              <w:spacing w:after="0"/>
              <w:rPr>
                <w:sz w:val="1"/>
                <w:szCs w:val="1"/>
                <w:color w:val="auto"/>
              </w:rPr>
            </w:pPr>
          </w:p>
        </w:tc>
      </w:tr>
      <w:tr>
        <w:trPr>
          <w:trHeight w:val="148"/>
        </w:trPr>
        <w:tc>
          <w:tcPr>
            <w:tcW w:w="142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Common Stock</w:t>
            </w:r>
          </w:p>
        </w:tc>
        <w:tc>
          <w:tcPr>
            <w:tcW w:w="106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Restricted Stock</w:t>
            </w:r>
          </w:p>
        </w:tc>
        <w:tc>
          <w:tcPr>
            <w:tcW w:w="1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04/08/2024</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14820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04/08/2024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07/08/2024</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14574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07/08/2024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10/08/2024</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14839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10/08/2024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-4051935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-3477895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-2826385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-2174875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-1523365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-871855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08/05/2024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135801.2</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08/06/2024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135660.6</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09/04/2024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165486.86</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09/05/2024 2420</w:t>
            </w:r>
          </w:p>
        </w:tc>
        <w:tc>
          <w:tcPr>
            <w:tcW w:w="800" w:type="dxa"/>
            <w:vAlign w:val="bottom"/>
          </w:tcPr>
          <w:p>
            <w:pPr>
              <w:spacing w:after="0"/>
              <w:rPr>
                <w:sz w:val="22"/>
                <w:szCs w:val="22"/>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163811.01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6th Floor</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S.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S.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10/09/2024 2420</w:t>
      </w:r>
      <w:r>
        <w:rPr>
          <w:sz w:val="20"/>
          <w:szCs w:val="20"/>
          <w:color w:val="auto"/>
        </w:rPr>
        <w:tab/>
      </w:r>
      <w:r>
        <w:rPr>
          <w:rFonts w:ascii="Times New Roman" w:cs="Times New Roman" w:eastAsia="Times New Roman" w:hAnsi="Times New Roman"/>
          <w:sz w:val="21"/>
          <w:szCs w:val="21"/>
          <w:color w:val="auto"/>
        </w:rPr>
        <w:t>167871.29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10/09/2024 15333</w:t>
      </w:r>
      <w:r>
        <w:rPr>
          <w:sz w:val="20"/>
          <w:szCs w:val="20"/>
          <w:color w:val="auto"/>
        </w:rPr>
        <w:tab/>
      </w:r>
      <w:r>
        <w:rPr>
          <w:rFonts w:ascii="Times New Roman" w:cs="Times New Roman" w:eastAsia="Times New Roman" w:hAnsi="Times New Roman"/>
          <w:sz w:val="21"/>
          <w:szCs w:val="21"/>
          <w:color w:val="auto"/>
        </w:rPr>
        <w:t>1044483.96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10/09/2024 19453</w:t>
      </w:r>
      <w:r>
        <w:rPr>
          <w:sz w:val="20"/>
          <w:szCs w:val="20"/>
          <w:color w:val="auto"/>
        </w:rPr>
        <w:tab/>
      </w:r>
      <w:r>
        <w:rPr>
          <w:rFonts w:ascii="Times New Roman" w:cs="Times New Roman" w:eastAsia="Times New Roman" w:hAnsi="Times New Roman"/>
          <w:sz w:val="21"/>
          <w:szCs w:val="21"/>
          <w:color w:val="auto"/>
        </w:rPr>
        <w:t>1325138.36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10/10/2024 2420</w:t>
      </w:r>
      <w:r>
        <w:rPr>
          <w:sz w:val="20"/>
          <w:szCs w:val="20"/>
          <w:color w:val="auto"/>
        </w:rPr>
        <w:tab/>
      </w:r>
      <w:r>
        <w:rPr>
          <w:rFonts w:ascii="Times New Roman" w:cs="Times New Roman" w:eastAsia="Times New Roman" w:hAnsi="Times New Roman"/>
          <w:sz w:val="21"/>
          <w:szCs w:val="21"/>
          <w:color w:val="auto"/>
        </w:rPr>
        <w:t>170941.54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10/10/2024 18828</w:t>
      </w:r>
      <w:r>
        <w:rPr>
          <w:sz w:val="20"/>
          <w:szCs w:val="20"/>
          <w:color w:val="auto"/>
        </w:rPr>
        <w:tab/>
      </w:r>
      <w:r>
        <w:rPr>
          <w:rFonts w:ascii="Times New Roman" w:cs="Times New Roman" w:eastAsia="Times New Roman" w:hAnsi="Times New Roman"/>
          <w:sz w:val="21"/>
          <w:szCs w:val="21"/>
          <w:color w:val="auto"/>
        </w:rPr>
        <w:t>1329111.82</w:t>
      </w:r>
    </w:p>
    <w:p>
      <w:pPr>
        <w:spacing w:after="0" w:line="710" w:lineRule="exact"/>
        <w:rPr>
          <w:sz w:val="20"/>
          <w:szCs w:val="20"/>
          <w:color w:val="auto"/>
        </w:rPr>
      </w:pPr>
    </w:p>
    <w:p>
      <w:pPr>
        <w:sectPr>
          <w:pgSz w:w="11900" w:h="16838" w:orient="portrait"/>
          <w:cols w:equalWidth="0" w:num="3">
            <w:col w:w="3300" w:space="360"/>
            <w:col w:w="2920" w:space="720"/>
            <w:col w:w="390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The sales of shares set forth herein are made in connection with a selling plan dated July 12th,</w:t>
      </w:r>
    </w:p>
    <w:p>
      <w:pPr>
        <w:spacing w:after="0" w:line="16"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2024 that is intended to comply with Rule 10b5-1(c). All shares to be sold by The 2018 Yuan</w:t>
      </w:r>
    </w:p>
    <w:p>
      <w:pPr>
        <w:ind w:left="2920"/>
        <w:spacing w:after="0"/>
        <w:rPr>
          <w:sz w:val="20"/>
          <w:szCs w:val="20"/>
          <w:color w:val="auto"/>
        </w:rPr>
      </w:pPr>
      <w:r>
        <w:rPr>
          <w:rFonts w:ascii="Times New Roman" w:cs="Times New Roman" w:eastAsia="Times New Roman" w:hAnsi="Times New Roman"/>
          <w:sz w:val="22"/>
          <w:szCs w:val="22"/>
          <w:color w:val="auto"/>
        </w:rPr>
        <w:t>and Zhang Revocable Trust.</w:t>
      </w:r>
    </w:p>
    <w:p>
      <w:pPr>
        <w:spacing w:after="0" w:line="20"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10/21/2024</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07/12/2024</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2024-10-21T15:44:09Z</dcterms:created>
  <dcterms:modified xsi:type="dcterms:W3CDTF">2024-10-21T15:44:09Z</dcterms:modified>
</cp:coreProperties>
</file>