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1421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14210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Bawa Aparna</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202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04/17/2019</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2">
        <w:r>
          <w:rPr>
            <w:rFonts w:ascii="Arial" w:cs="Arial" w:eastAsia="Arial" w:hAnsi="Arial"/>
            <w:sz w:val="19"/>
            <w:szCs w:val="19"/>
            <w:u w:val="single" w:color="auto"/>
            <w:color w:val="0000EE"/>
          </w:rPr>
          <w:t>Zoom Video Communications,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ZM</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432"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1194"/>
        <w:spacing w:after="0" w:line="268" w:lineRule="auto"/>
        <w:rPr>
          <w:sz w:val="20"/>
          <w:szCs w:val="20"/>
          <w:color w:val="auto"/>
        </w:rPr>
      </w:pPr>
      <w:r>
        <w:rPr>
          <w:rFonts w:ascii="Arial" w:cs="Arial" w:eastAsia="Arial" w:hAnsi="Arial"/>
          <w:sz w:val="18"/>
          <w:szCs w:val="18"/>
          <w:color w:val="0000FF"/>
        </w:rPr>
        <w:t>C/O ZOOM VIDEO COMMUNICATIONS, INC.</w:t>
      </w:r>
    </w:p>
    <w:p>
      <w:pPr>
        <w:spacing w:after="0" w:line="24" w:lineRule="exact"/>
        <w:rPr>
          <w:sz w:val="24"/>
          <w:szCs w:val="24"/>
          <w:color w:val="auto"/>
        </w:rPr>
      </w:pPr>
    </w:p>
    <w:p>
      <w:pPr>
        <w:ind w:left="120" w:right="1734"/>
        <w:spacing w:after="0" w:line="268" w:lineRule="auto"/>
        <w:rPr>
          <w:sz w:val="20"/>
          <w:szCs w:val="20"/>
          <w:color w:val="auto"/>
        </w:rPr>
      </w:pPr>
      <w:r>
        <w:rPr>
          <w:rFonts w:ascii="Arial" w:cs="Arial" w:eastAsia="Arial" w:hAnsi="Arial"/>
          <w:sz w:val="18"/>
          <w:szCs w:val="18"/>
          <w:color w:val="0000FF"/>
        </w:rPr>
        <w:t>55 ALMADEN BOULEVARD, 6TH FLOOR</w:t>
      </w:r>
    </w:p>
    <w:p>
      <w:pPr>
        <w:spacing w:after="0" w:line="261"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800" w:type="dxa"/>
            <w:vAlign w:val="bottom"/>
          </w:tcPr>
          <w:p>
            <w:pPr>
              <w:spacing w:after="0"/>
              <w:rPr>
                <w:sz w:val="20"/>
                <w:szCs w:val="20"/>
                <w:color w:val="auto"/>
              </w:rPr>
            </w:pPr>
            <w:r>
              <w:rPr>
                <w:rFonts w:ascii="Arial" w:cs="Arial" w:eastAsia="Arial" w:hAnsi="Arial"/>
                <w:sz w:val="14"/>
                <w:szCs w:val="14"/>
                <w:color w:val="auto"/>
              </w:rPr>
              <w:t>(Street)</w:t>
            </w:r>
          </w:p>
        </w:tc>
        <w:tc>
          <w:tcPr>
            <w:tcW w:w="840" w:type="dxa"/>
            <w:vAlign w:val="bottom"/>
          </w:tcPr>
          <w:p>
            <w:pPr>
              <w:spacing w:after="0"/>
              <w:rPr>
                <w:sz w:val="14"/>
                <w:szCs w:val="14"/>
                <w:color w:val="auto"/>
              </w:rPr>
            </w:pPr>
          </w:p>
        </w:tc>
      </w:tr>
      <w:tr>
        <w:trPr>
          <w:trHeight w:val="242"/>
        </w:trPr>
        <w:tc>
          <w:tcPr>
            <w:tcW w:w="1800" w:type="dxa"/>
            <w:vAlign w:val="bottom"/>
          </w:tcPr>
          <w:p>
            <w:pPr>
              <w:ind w:left="40"/>
              <w:spacing w:after="0"/>
              <w:rPr>
                <w:sz w:val="20"/>
                <w:szCs w:val="20"/>
                <w:color w:val="auto"/>
              </w:rPr>
            </w:pPr>
            <w:r>
              <w:rPr>
                <w:rFonts w:ascii="Arial" w:cs="Arial" w:eastAsia="Arial" w:hAnsi="Arial"/>
                <w:sz w:val="18"/>
                <w:szCs w:val="18"/>
                <w:color w:val="0000FF"/>
              </w:rPr>
              <w:t>SAN JOSE   CA</w:t>
            </w:r>
          </w:p>
        </w:tc>
        <w:tc>
          <w:tcPr>
            <w:tcW w:w="840" w:type="dxa"/>
            <w:vAlign w:val="bottom"/>
          </w:tcPr>
          <w:p>
            <w:pPr>
              <w:jc w:val="right"/>
              <w:spacing w:after="0"/>
              <w:rPr>
                <w:sz w:val="20"/>
                <w:szCs w:val="20"/>
                <w:color w:val="auto"/>
              </w:rPr>
            </w:pPr>
            <w:r>
              <w:rPr>
                <w:rFonts w:ascii="Arial" w:cs="Arial" w:eastAsia="Arial" w:hAnsi="Arial"/>
                <w:sz w:val="18"/>
                <w:szCs w:val="18"/>
                <w:color w:val="0000FF"/>
              </w:rPr>
              <w:t>95113</w:t>
            </w:r>
          </w:p>
        </w:tc>
      </w:tr>
    </w:tbl>
    <w:p>
      <w:pPr>
        <w:spacing w:after="0" w:line="20" w:lineRule="exact"/>
        <w:rPr>
          <w:sz w:val="24"/>
          <w:szCs w:val="24"/>
          <w:color w:val="auto"/>
        </w:rPr>
      </w:pPr>
      <w:r>
        <w:rPr>
          <w:sz w:val="24"/>
          <w:szCs w:val="24"/>
          <w:color w:val="auto"/>
        </w:rPr>
        <w:br w:type="column"/>
      </w:r>
    </w:p>
    <w:p>
      <w:pPr>
        <w:spacing w:after="0" w:line="20" w:lineRule="exact"/>
        <w:rPr>
          <w:sz w:val="24"/>
          <w:szCs w:val="24"/>
          <w:color w:val="auto"/>
        </w:rPr>
      </w:pP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46"/>
        <w:spacing w:after="0"/>
        <w:rPr>
          <w:sz w:val="20"/>
          <w:szCs w:val="20"/>
          <w:color w:val="auto"/>
        </w:rPr>
      </w:pPr>
      <w:r>
        <w:rPr>
          <w:rFonts w:ascii="Arial" w:cs="Arial" w:eastAsia="Arial" w:hAnsi="Arial"/>
          <w:sz w:val="18"/>
          <w:szCs w:val="18"/>
          <w:color w:val="0000FF"/>
        </w:rPr>
        <w:t>General Counsel</w:t>
      </w:r>
    </w:p>
    <w:p>
      <w:pPr>
        <w:spacing w:after="0" w:line="20" w:lineRule="exact"/>
        <w:rPr>
          <w:sz w:val="24"/>
          <w:szCs w:val="24"/>
          <w:color w:val="auto"/>
        </w:rPr>
      </w:pPr>
      <w:r>
        <w:rPr>
          <w:sz w:val="24"/>
          <w:szCs w:val="24"/>
          <w:color w:val="auto"/>
        </w:rPr>
        <w:br w:type="column"/>
      </w:r>
    </w:p>
    <w:p>
      <w:pPr>
        <w:spacing w:after="0" w:line="20" w:lineRule="exact"/>
        <w:rPr>
          <w:sz w:val="24"/>
          <w:szCs w:val="24"/>
          <w:color w:val="auto"/>
        </w:rPr>
      </w:pP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392"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374"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125"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6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88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5.</w:t>
            </w:r>
          </w:p>
        </w:tc>
        <w:tc>
          <w:tcPr>
            <w:tcW w:w="162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8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Ownership</w:t>
            </w:r>
          </w:p>
        </w:tc>
        <w:tc>
          <w:tcPr>
            <w:tcW w:w="16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9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Form:</w:t>
            </w:r>
          </w:p>
        </w:tc>
        <w:tc>
          <w:tcPr>
            <w:tcW w:w="16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46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Direct (D)</w:t>
            </w:r>
          </w:p>
        </w:tc>
        <w:tc>
          <w:tcPr>
            <w:tcW w:w="16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46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980" w:type="dxa"/>
            <w:vAlign w:val="bottom"/>
          </w:tcPr>
          <w:p>
            <w:pPr>
              <w:spacing w:after="0"/>
              <w:rPr>
                <w:sz w:val="4"/>
                <w:szCs w:val="4"/>
                <w:color w:val="auto"/>
              </w:rPr>
            </w:pPr>
          </w:p>
        </w:tc>
        <w:tc>
          <w:tcPr>
            <w:tcW w:w="90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Amount or</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or Indirect</w:t>
            </w: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98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Title</w:t>
            </w:r>
          </w:p>
        </w:tc>
        <w:tc>
          <w:tcPr>
            <w:tcW w:w="9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Number of</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(I) (Instr. 5)</w:t>
            </w: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980" w:type="dxa"/>
            <w:vAlign w:val="bottom"/>
            <w:vMerge w:val="continue"/>
          </w:tcPr>
          <w:p>
            <w:pPr>
              <w:spacing w:after="0"/>
              <w:rPr>
                <w:sz w:val="15"/>
                <w:szCs w:val="15"/>
                <w:color w:val="auto"/>
              </w:rPr>
            </w:pPr>
          </w:p>
        </w:tc>
        <w:tc>
          <w:tcPr>
            <w:tcW w:w="900" w:type="dxa"/>
            <w:vAlign w:val="bottom"/>
          </w:tcPr>
          <w:p>
            <w:pPr>
              <w:ind w:left="12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34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31"/>
        </w:trPr>
        <w:tc>
          <w:tcPr>
            <w:tcW w:w="20" w:type="dxa"/>
            <w:vAlign w:val="bottom"/>
            <w:tcBorders>
              <w:bottom w:val="single" w:sz="8" w:color="2C2C2C"/>
            </w:tcBorders>
          </w:tcPr>
          <w:p>
            <w:pPr>
              <w:spacing w:after="0"/>
              <w:rPr>
                <w:sz w:val="24"/>
                <w:szCs w:val="24"/>
                <w:color w:val="auto"/>
              </w:rPr>
            </w:pPr>
          </w:p>
        </w:tc>
        <w:tc>
          <w:tcPr>
            <w:tcW w:w="34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Class B Common Stock</w:t>
            </w:r>
          </w:p>
        </w:tc>
        <w:tc>
          <w:tcPr>
            <w:tcW w:w="880" w:type="dxa"/>
            <w:vAlign w:val="bottom"/>
            <w:tcBorders>
              <w:bottom w:val="single" w:sz="8" w:color="2C2C2C"/>
            </w:tcBorders>
          </w:tcPr>
          <w:p>
            <w:pPr>
              <w:ind w:left="380"/>
              <w:spacing w:after="0"/>
              <w:rPr>
                <w:sz w:val="20"/>
                <w:szCs w:val="20"/>
                <w:color w:val="auto"/>
              </w:rPr>
            </w:pPr>
            <w:r>
              <w:rPr>
                <w:rFonts w:ascii="Arial" w:cs="Arial" w:eastAsia="Arial" w:hAnsi="Arial"/>
                <w:sz w:val="11"/>
                <w:szCs w:val="11"/>
                <w:color w:val="008000"/>
              </w:rPr>
              <w:t>(1)</w:t>
            </w:r>
          </w:p>
        </w:tc>
        <w:tc>
          <w:tcPr>
            <w:tcW w:w="800" w:type="dxa"/>
            <w:vAlign w:val="bottom"/>
            <w:tcBorders>
              <w:bottom w:val="single" w:sz="8" w:color="2C2C2C"/>
            </w:tcBorders>
          </w:tcPr>
          <w:p>
            <w:pPr>
              <w:jc w:val="right"/>
              <w:ind w:right="256"/>
              <w:spacing w:after="0"/>
              <w:rPr>
                <w:sz w:val="20"/>
                <w:szCs w:val="20"/>
                <w:color w:val="auto"/>
              </w:rPr>
            </w:pPr>
            <w:r>
              <w:rPr>
                <w:rFonts w:ascii="Arial" w:cs="Arial" w:eastAsia="Arial" w:hAnsi="Arial"/>
                <w:sz w:val="11"/>
                <w:szCs w:val="11"/>
                <w:color w:val="008000"/>
              </w:rPr>
              <w:t>(1)</w:t>
            </w:r>
          </w:p>
        </w:tc>
        <w:tc>
          <w:tcPr>
            <w:tcW w:w="198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w w:val="93"/>
              </w:rPr>
              <w:t>Class A Common Stock</w:t>
            </w:r>
          </w:p>
        </w:tc>
        <w:tc>
          <w:tcPr>
            <w:tcW w:w="900" w:type="dxa"/>
            <w:vAlign w:val="bottom"/>
            <w:tcBorders>
              <w:bottom w:val="single" w:sz="8" w:color="2C2C2C"/>
            </w:tcBorders>
          </w:tcPr>
          <w:p>
            <w:pPr>
              <w:ind w:left="120"/>
              <w:spacing w:after="0"/>
              <w:rPr>
                <w:sz w:val="20"/>
                <w:szCs w:val="20"/>
                <w:color w:val="auto"/>
              </w:rPr>
            </w:pPr>
            <w:r>
              <w:rPr>
                <w:rFonts w:ascii="Arial" w:cs="Arial" w:eastAsia="Arial" w:hAnsi="Arial"/>
                <w:sz w:val="18"/>
                <w:szCs w:val="18"/>
                <w:color w:val="0000FF"/>
                <w:w w:val="91"/>
              </w:rPr>
              <w:t>360,000</w:t>
            </w:r>
            <w:r>
              <w:rPr>
                <w:rFonts w:ascii="Arial" w:cs="Arial" w:eastAsia="Arial" w:hAnsi="Arial"/>
                <w:sz w:val="22"/>
                <w:szCs w:val="22"/>
                <w:color w:val="008000"/>
                <w:w w:val="91"/>
                <w:vertAlign w:val="superscript"/>
              </w:rPr>
              <w:t>(2)</w:t>
            </w:r>
          </w:p>
        </w:tc>
        <w:tc>
          <w:tcPr>
            <w:tcW w:w="88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0.00</w:t>
            </w:r>
          </w:p>
        </w:tc>
        <w:tc>
          <w:tcPr>
            <w:tcW w:w="88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I</w:t>
            </w:r>
          </w:p>
        </w:tc>
        <w:tc>
          <w:tcPr>
            <w:tcW w:w="1620" w:type="dxa"/>
            <w:vAlign w:val="bottom"/>
            <w:tcBorders>
              <w:bottom w:val="single" w:sz="8" w:color="2C2C2C"/>
            </w:tcBorders>
            <w:gridSpan w:val="2"/>
          </w:tcPr>
          <w:p>
            <w:pPr>
              <w:ind w:left="100"/>
              <w:spacing w:after="0"/>
              <w:rPr>
                <w:sz w:val="20"/>
                <w:szCs w:val="20"/>
                <w:color w:val="auto"/>
              </w:rPr>
            </w:pPr>
            <w:r>
              <w:rPr>
                <w:rFonts w:ascii="Arial" w:cs="Arial" w:eastAsia="Arial" w:hAnsi="Arial"/>
                <w:sz w:val="18"/>
                <w:szCs w:val="18"/>
                <w:color w:val="0000FF"/>
              </w:rPr>
              <w:t>See footnote</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6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right="60" w:firstLine="9"/>
        <w:spacing w:after="0" w:line="273" w:lineRule="auto"/>
        <w:tabs>
          <w:tab w:leader="none" w:pos="175" w:val="left"/>
        </w:tabs>
        <w:numPr>
          <w:ilvl w:val="0"/>
          <w:numId w:val="4"/>
        </w:numPr>
        <w:rPr>
          <w:rFonts w:ascii="Arial" w:cs="Arial" w:eastAsia="Arial" w:hAnsi="Arial"/>
          <w:sz w:val="12"/>
          <w:szCs w:val="12"/>
          <w:color w:val="008000"/>
        </w:rPr>
      </w:pPr>
      <w:r>
        <w:rPr>
          <w:rFonts w:ascii="Arial" w:cs="Arial" w:eastAsia="Arial" w:hAnsi="Arial"/>
          <w:sz w:val="12"/>
          <w:szCs w:val="12"/>
          <w:color w:val="008000"/>
        </w:rPr>
        <w:t>Each share of Class B Common Stock is convertible at the option of the Reporting Person into one share of Class A Common Stock and has no expiration date. Following the closing of the Issuer's IPO, each share of Class B Common Stock held by the Reporting Person will convert automatically into one share of Class A Common Stock upon (a) other than Eric S. Yuan, the death of the Reporting Person, or (b) any transfer by the Reporting Person except certain "Permitted Transfers" described in the Issuer's certificate of incorporation. Following the closing of the IPO,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IPO.</w:t>
      </w:r>
    </w:p>
    <w:p>
      <w:pPr>
        <w:spacing w:after="0" w:line="11" w:lineRule="exact"/>
        <w:rPr>
          <w:rFonts w:ascii="Arial" w:cs="Arial" w:eastAsia="Arial" w:hAnsi="Arial"/>
          <w:sz w:val="12"/>
          <w:szCs w:val="12"/>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360,000 of the shares are subject to repurchase by the Issuer.</w:t>
      </w:r>
    </w:p>
    <w:p>
      <w:pPr>
        <w:spacing w:after="0" w:line="41" w:lineRule="exact"/>
        <w:rPr>
          <w:rFonts w:ascii="Arial" w:cs="Arial" w:eastAsia="Arial" w:hAnsi="Arial"/>
          <w:sz w:val="14"/>
          <w:szCs w:val="14"/>
          <w:color w:val="008000"/>
        </w:rPr>
      </w:pPr>
    </w:p>
    <w:p>
      <w:pPr>
        <w:ind w:left="40" w:right="12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shares are held of record by Rafik Bawa and Aparna Bawa, as Trustees of the Bawa Family Trust under agreement dated November 12, 2013, for which the Reporting Person and the Reporting Person's spouse serve as trustees.</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180" w:type="dxa"/>
            <w:vAlign w:val="bottom"/>
          </w:tcPr>
          <w:p>
            <w:pPr>
              <w:spacing w:after="0"/>
              <w:rPr>
                <w:sz w:val="20"/>
                <w:szCs w:val="20"/>
                <w:color w:val="auto"/>
              </w:rPr>
            </w:pPr>
            <w:r>
              <w:rPr>
                <w:rFonts w:ascii="Arial" w:cs="Arial" w:eastAsia="Arial" w:hAnsi="Arial"/>
                <w:sz w:val="18"/>
                <w:szCs w:val="18"/>
                <w:color w:val="0000FF"/>
                <w:w w:val="87"/>
              </w:rPr>
              <w:t>/s/ Aparna Bawa</w:t>
            </w:r>
          </w:p>
        </w:tc>
        <w:tc>
          <w:tcPr>
            <w:tcW w:w="94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04/17/2019</w:t>
            </w:r>
          </w:p>
        </w:tc>
      </w:tr>
      <w:tr>
        <w:trPr>
          <w:trHeight w:val="20"/>
        </w:trPr>
        <w:tc>
          <w:tcPr>
            <w:tcW w:w="118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773301" TargetMode="External"/><Relationship Id="rId12"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2019-12-24T04:38:02Z</dcterms:created>
  <dcterms:modified xsi:type="dcterms:W3CDTF">2019-12-24T04:38:02Z</dcterms:modified>
</cp:coreProperties>
</file>