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0001364713</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Kelley Steckelberg</w:t>
      </w:r>
    </w:p>
    <w:p>
      <w:pPr>
        <w:spacing w:after="0" w:line="44" w:lineRule="exact"/>
        <w:rPr>
          <w:sz w:val="24"/>
          <w:szCs w:val="24"/>
          <w:color w:val="auto"/>
        </w:rPr>
      </w:pPr>
    </w:p>
    <w:p>
      <w:pPr>
        <w:sectPr>
          <w:pgSz w:w="11900" w:h="16838" w:orient="portrait"/>
          <w:cols w:equalWidth="0" w:num="2">
            <w:col w:w="6140" w:space="720"/>
            <w:col w:w="438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ectPr>
          <w:pgSz w:w="11900" w:h="16838" w:orient="portrait"/>
          <w:cols w:equalWidth="0" w:num="1">
            <w:col w:w="11240"/>
          </w:cols>
          <w:pgMar w:left="320" w:top="267" w:right="339" w:bottom="0" w:gutter="0" w:footer="0" w:header="0"/>
          <w:type w:val="continuous"/>
        </w:sectPr>
      </w:pP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pacing w:after="0" w:line="358" w:lineRule="exact"/>
        <w:rPr>
          <w:sz w:val="24"/>
          <w:szCs w:val="24"/>
          <w:color w:val="auto"/>
        </w:rPr>
      </w:pPr>
    </w:p>
    <w:p>
      <w:pPr>
        <w:ind w:left="4960"/>
        <w:spacing w:after="0"/>
        <w:tabs>
          <w:tab w:leader="none" w:pos="7480" w:val="left"/>
        </w:tabs>
        <w:rPr>
          <w:sz w:val="20"/>
          <w:szCs w:val="20"/>
          <w:color w:val="auto"/>
        </w:rPr>
      </w:pPr>
      <w:r>
        <w:rPr>
          <w:rFonts w:ascii="Arial" w:cs="Arial" w:eastAsia="Arial" w:hAnsi="Arial"/>
          <w:sz w:val="22"/>
          <w:szCs w:val="22"/>
          <w:b w:val="1"/>
          <w:bCs w:val="1"/>
          <w:color w:val="auto"/>
        </w:rPr>
        <w:t>Number of</w:t>
      </w:r>
      <w:r>
        <w:rPr>
          <w:sz w:val="20"/>
          <w:szCs w:val="20"/>
          <w:color w:val="auto"/>
        </w:rPr>
        <w:tab/>
      </w:r>
      <w:r>
        <w:rPr>
          <w:rFonts w:ascii="Arial" w:cs="Arial" w:eastAsia="Arial" w:hAnsi="Arial"/>
          <w:sz w:val="19"/>
          <w:szCs w:val="19"/>
          <w:b w:val="1"/>
          <w:bCs w:val="1"/>
          <w:color w:val="auto"/>
        </w:rPr>
        <w:t>Number of</w:t>
      </w:r>
    </w:p>
    <w:p>
      <w:pPr>
        <w:spacing w:after="0" w:line="4" w:lineRule="exact"/>
        <w:rPr>
          <w:sz w:val="24"/>
          <w:szCs w:val="24"/>
          <w:color w:val="auto"/>
        </w:rPr>
      </w:pPr>
    </w:p>
    <w:p>
      <w:pPr>
        <w:ind w:left="360"/>
        <w:spacing w:after="0"/>
        <w:tabs>
          <w:tab w:leader="none" w:pos="2660" w:val="left"/>
          <w:tab w:leader="none" w:pos="5000" w:val="left"/>
          <w:tab w:leader="none" w:pos="6240" w:val="left"/>
          <w:tab w:leader="none" w:pos="7540" w:val="left"/>
          <w:tab w:leader="none" w:pos="864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22"/>
          <w:szCs w:val="22"/>
          <w:b w:val="1"/>
          <w:bCs w:val="1"/>
          <w:color w:val="auto"/>
        </w:rPr>
        <w:t>Name and Address of</w:t>
        <w:tab/>
        <w:t>Shares or</w:t>
      </w:r>
      <w:r>
        <w:rPr>
          <w:sz w:val="20"/>
          <w:szCs w:val="20"/>
          <w:color w:val="auto"/>
        </w:rPr>
        <w:tab/>
      </w:r>
      <w:r>
        <w:rPr>
          <w:rFonts w:ascii="Arial" w:cs="Arial" w:eastAsia="Arial" w:hAnsi="Arial"/>
          <w:sz w:val="22"/>
          <w:szCs w:val="22"/>
          <w:b w:val="1"/>
          <w:bCs w:val="1"/>
          <w:color w:val="auto"/>
        </w:rPr>
        <w:t>Aggregate</w:t>
        <w:tab/>
        <w:t>Shares or</w:t>
      </w:r>
      <w:r>
        <w:rPr>
          <w:sz w:val="20"/>
          <w:szCs w:val="20"/>
          <w:color w:val="auto"/>
        </w:rPr>
        <w:tab/>
      </w:r>
      <w:r>
        <w:rPr>
          <w:rFonts w:ascii="Arial" w:cs="Arial" w:eastAsia="Arial" w:hAnsi="Arial"/>
          <w:sz w:val="19"/>
          <w:szCs w:val="19"/>
          <w:b w:val="1"/>
          <w:bCs w:val="1"/>
          <w:color w:val="auto"/>
        </w:rPr>
        <w:t>Approximate</w:t>
      </w:r>
    </w:p>
    <w:p>
      <w:pPr>
        <w:ind w:left="280"/>
        <w:spacing w:after="0"/>
        <w:tabs>
          <w:tab w:leader="none" w:pos="3140" w:val="left"/>
          <w:tab w:leader="none" w:pos="488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22"/>
          <w:szCs w:val="22"/>
          <w:b w:val="1"/>
          <w:bCs w:val="1"/>
          <w:color w:val="auto"/>
        </w:rPr>
        <w:t>the Broker</w:t>
      </w:r>
      <w:r>
        <w:rPr>
          <w:sz w:val="20"/>
          <w:szCs w:val="20"/>
          <w:color w:val="auto"/>
        </w:rPr>
        <w:tab/>
      </w:r>
      <w:r>
        <w:rPr>
          <w:rFonts w:ascii="Arial" w:cs="Arial" w:eastAsia="Arial" w:hAnsi="Arial"/>
          <w:sz w:val="19"/>
          <w:szCs w:val="19"/>
          <w:b w:val="1"/>
          <w:bCs w:val="1"/>
          <w:color w:val="auto"/>
        </w:rPr>
        <w:t>Other Units Market Value Other Units  Date of Sale</w:t>
      </w:r>
    </w:p>
    <w:p>
      <w:pPr>
        <w:spacing w:after="0" w:line="1" w:lineRule="exact"/>
        <w:rPr>
          <w:sz w:val="24"/>
          <w:szCs w:val="24"/>
          <w:color w:val="auto"/>
        </w:rPr>
      </w:pPr>
    </w:p>
    <w:p>
      <w:pPr>
        <w:ind w:left="4960"/>
        <w:spacing w:after="0"/>
        <w:tabs>
          <w:tab w:leader="none" w:pos="7420" w:val="left"/>
        </w:tabs>
        <w:rPr>
          <w:sz w:val="20"/>
          <w:szCs w:val="20"/>
          <w:color w:val="auto"/>
        </w:rPr>
      </w:pPr>
      <w:r>
        <w:rPr>
          <w:rFonts w:ascii="Arial" w:cs="Arial" w:eastAsia="Arial" w:hAnsi="Arial"/>
          <w:sz w:val="22"/>
          <w:szCs w:val="22"/>
          <w:b w:val="1"/>
          <w:bCs w:val="1"/>
          <w:color w:val="auto"/>
        </w:rPr>
        <w:t>To Be Sold</w:t>
      </w:r>
      <w:r>
        <w:rPr>
          <w:sz w:val="20"/>
          <w:szCs w:val="20"/>
          <w:color w:val="auto"/>
        </w:rPr>
        <w:tab/>
      </w:r>
      <w:r>
        <w:rPr>
          <w:rFonts w:ascii="Arial" w:cs="Arial" w:eastAsia="Arial" w:hAnsi="Arial"/>
          <w:sz w:val="19"/>
          <w:szCs w:val="19"/>
          <w:b w:val="1"/>
          <w:bCs w:val="1"/>
          <w:color w:val="auto"/>
        </w:rPr>
        <w:t>Outstanding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Name the</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36"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Exchange</w:t>
      </w:r>
    </w:p>
    <w:p>
      <w:pPr>
        <w:spacing w:after="0" w:line="171" w:lineRule="exact"/>
        <w:rPr>
          <w:sz w:val="24"/>
          <w:szCs w:val="24"/>
          <w:color w:val="auto"/>
        </w:rPr>
      </w:pPr>
    </w:p>
    <w:p>
      <w:pPr>
        <w:sectPr>
          <w:pgSz w:w="11900" w:h="16838" w:orient="portrait"/>
          <w:cols w:equalWidth="0" w:num="2">
            <w:col w:w="9880" w:space="240"/>
            <w:col w:w="1120"/>
          </w:cols>
          <w:pgMar w:left="320" w:top="267" w:right="339" w:bottom="0" w:gutter="0" w:footer="0" w:header="0"/>
          <w:type w:val="continuous"/>
        </w:sect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1"/>
                <w:szCs w:val="21"/>
                <w:color w:val="auto"/>
              </w:rPr>
            </w:pPr>
          </w:p>
        </w:tc>
        <w:tc>
          <w:tcPr>
            <w:tcW w:w="2800" w:type="dxa"/>
            <w:vAlign w:val="bottom"/>
            <w:gridSpan w:val="2"/>
          </w:tcPr>
          <w:p>
            <w:pPr>
              <w:ind w:left="480"/>
              <w:spacing w:after="0"/>
              <w:rPr>
                <w:sz w:val="20"/>
                <w:szCs w:val="20"/>
                <w:color w:val="auto"/>
              </w:rPr>
            </w:pPr>
            <w:r>
              <w:rPr>
                <w:rFonts w:ascii="Arial" w:cs="Arial" w:eastAsia="Arial" w:hAnsi="Arial"/>
                <w:sz w:val="22"/>
                <w:szCs w:val="22"/>
                <w:color w:val="auto"/>
                <w:w w:val="89"/>
              </w:rPr>
              <w:t>JP Morgan Securities LLC</w:t>
            </w:r>
          </w:p>
        </w:tc>
        <w:tc>
          <w:tcPr>
            <w:tcW w:w="90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0" w:type="dxa"/>
            <w:vAlign w:val="bottom"/>
            <w:vMerge w:val="restart"/>
          </w:tcPr>
          <w:p>
            <w:pPr>
              <w:spacing w:after="0"/>
              <w:rPr>
                <w:sz w:val="20"/>
                <w:szCs w:val="20"/>
                <w:color w:val="auto"/>
              </w:rPr>
            </w:pPr>
            <w:r>
              <w:rPr>
                <w:rFonts w:ascii="Arial" w:cs="Arial" w:eastAsia="Arial" w:hAnsi="Arial"/>
                <w:sz w:val="22"/>
                <w:szCs w:val="22"/>
                <w:color w:val="auto"/>
              </w:rPr>
              <w:t>Class A Common</w:t>
            </w:r>
          </w:p>
        </w:tc>
        <w:tc>
          <w:tcPr>
            <w:tcW w:w="2800" w:type="dxa"/>
            <w:vAlign w:val="bottom"/>
            <w:gridSpan w:val="2"/>
          </w:tcPr>
          <w:p>
            <w:pPr>
              <w:ind w:left="480"/>
              <w:spacing w:after="0" w:line="243" w:lineRule="exact"/>
              <w:rPr>
                <w:sz w:val="20"/>
                <w:szCs w:val="20"/>
                <w:color w:val="auto"/>
              </w:rPr>
            </w:pPr>
            <w:r>
              <w:rPr>
                <w:rFonts w:ascii="Arial" w:cs="Arial" w:eastAsia="Arial" w:hAnsi="Arial"/>
                <w:sz w:val="22"/>
                <w:szCs w:val="22"/>
                <w:color w:val="auto"/>
              </w:rPr>
              <w:t>390 Madison Avenue</w:t>
            </w:r>
          </w:p>
        </w:tc>
        <w:tc>
          <w:tcPr>
            <w:tcW w:w="900" w:type="dxa"/>
            <w:vAlign w:val="bottom"/>
            <w:vMerge w:val="restart"/>
          </w:tcPr>
          <w:p>
            <w:pPr>
              <w:jc w:val="right"/>
              <w:ind w:right="212"/>
              <w:spacing w:after="0"/>
              <w:rPr>
                <w:sz w:val="20"/>
                <w:szCs w:val="20"/>
                <w:color w:val="auto"/>
              </w:rPr>
            </w:pPr>
            <w:r>
              <w:rPr>
                <w:rFonts w:ascii="Arial" w:cs="Arial" w:eastAsia="Arial" w:hAnsi="Arial"/>
                <w:sz w:val="22"/>
                <w:szCs w:val="22"/>
                <w:color w:val="auto"/>
                <w:w w:val="91"/>
              </w:rPr>
              <w:t>19344</w:t>
            </w:r>
          </w:p>
        </w:tc>
        <w:tc>
          <w:tcPr>
            <w:tcW w:w="5080" w:type="dxa"/>
            <w:vAlign w:val="bottom"/>
            <w:vMerge w:val="restart"/>
          </w:tcPr>
          <w:p>
            <w:pPr>
              <w:ind w:left="340"/>
              <w:spacing w:after="0"/>
              <w:rPr>
                <w:sz w:val="20"/>
                <w:szCs w:val="20"/>
                <w:color w:val="auto"/>
              </w:rPr>
            </w:pPr>
            <w:r>
              <w:rPr>
                <w:rFonts w:ascii="Arial" w:cs="Arial" w:eastAsia="Arial" w:hAnsi="Arial"/>
                <w:sz w:val="22"/>
                <w:szCs w:val="22"/>
                <w:color w:val="auto"/>
                <w:w w:val="97"/>
              </w:rPr>
              <w:t>1326224.64   250875006   06/13/2023   NASDAQ</w:t>
            </w:r>
          </w:p>
        </w:tc>
        <w:tc>
          <w:tcPr>
            <w:tcW w:w="0" w:type="dxa"/>
            <w:vAlign w:val="bottom"/>
          </w:tcPr>
          <w:p>
            <w:pPr>
              <w:spacing w:after="0"/>
              <w:rPr>
                <w:sz w:val="1"/>
                <w:szCs w:val="1"/>
                <w:color w:val="auto"/>
              </w:rPr>
            </w:pPr>
          </w:p>
        </w:tc>
      </w:tr>
      <w:tr>
        <w:trPr>
          <w:trHeight w:val="153"/>
        </w:trPr>
        <w:tc>
          <w:tcPr>
            <w:tcW w:w="2000" w:type="dxa"/>
            <w:vAlign w:val="bottom"/>
            <w:vMerge w:val="continue"/>
          </w:tcPr>
          <w:p>
            <w:pPr>
              <w:spacing w:after="0"/>
              <w:rPr>
                <w:sz w:val="13"/>
                <w:szCs w:val="13"/>
                <w:color w:val="auto"/>
              </w:rPr>
            </w:pPr>
          </w:p>
        </w:tc>
        <w:tc>
          <w:tcPr>
            <w:tcW w:w="1440" w:type="dxa"/>
            <w:vAlign w:val="bottom"/>
            <w:vMerge w:val="restart"/>
          </w:tcPr>
          <w:p>
            <w:pPr>
              <w:ind w:left="480"/>
              <w:spacing w:after="0" w:line="243" w:lineRule="exact"/>
              <w:rPr>
                <w:sz w:val="20"/>
                <w:szCs w:val="20"/>
                <w:color w:val="auto"/>
              </w:rPr>
            </w:pPr>
            <w:r>
              <w:rPr>
                <w:rFonts w:ascii="Arial" w:cs="Arial" w:eastAsia="Arial" w:hAnsi="Arial"/>
                <w:sz w:val="22"/>
                <w:szCs w:val="22"/>
                <w:color w:val="auto"/>
              </w:rPr>
              <w:t>6th Floor</w:t>
            </w:r>
          </w:p>
        </w:tc>
        <w:tc>
          <w:tcPr>
            <w:tcW w:w="13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5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5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000" w:type="dxa"/>
            <w:vAlign w:val="bottom"/>
          </w:tcPr>
          <w:p>
            <w:pPr>
              <w:spacing w:after="0"/>
              <w:rPr>
                <w:sz w:val="23"/>
                <w:szCs w:val="23"/>
                <w:color w:val="auto"/>
              </w:rPr>
            </w:pPr>
          </w:p>
        </w:tc>
        <w:tc>
          <w:tcPr>
            <w:tcW w:w="1440" w:type="dxa"/>
            <w:vAlign w:val="bottom"/>
          </w:tcPr>
          <w:p>
            <w:pPr>
              <w:ind w:left="480"/>
              <w:spacing w:after="0"/>
              <w:rPr>
                <w:sz w:val="20"/>
                <w:szCs w:val="20"/>
                <w:color w:val="auto"/>
              </w:rPr>
            </w:pPr>
            <w:r>
              <w:rPr>
                <w:rFonts w:ascii="Arial" w:cs="Arial" w:eastAsia="Arial" w:hAnsi="Arial"/>
                <w:sz w:val="22"/>
                <w:szCs w:val="22"/>
                <w:color w:val="auto"/>
                <w:w w:val="98"/>
              </w:rPr>
              <w:t>New York</w:t>
            </w:r>
          </w:p>
        </w:tc>
        <w:tc>
          <w:tcPr>
            <w:tcW w:w="1360" w:type="dxa"/>
            <w:vAlign w:val="bottom"/>
          </w:tcPr>
          <w:p>
            <w:pPr>
              <w:ind w:left="80"/>
              <w:spacing w:after="0"/>
              <w:rPr>
                <w:sz w:val="20"/>
                <w:szCs w:val="20"/>
                <w:color w:val="auto"/>
              </w:rPr>
            </w:pPr>
            <w:r>
              <w:rPr>
                <w:rFonts w:ascii="Arial" w:cs="Arial" w:eastAsia="Arial" w:hAnsi="Arial"/>
                <w:sz w:val="22"/>
                <w:szCs w:val="22"/>
                <w:color w:val="auto"/>
              </w:rPr>
              <w:t>NY  10017</w:t>
            </w:r>
          </w:p>
        </w:tc>
        <w:tc>
          <w:tcPr>
            <w:tcW w:w="90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0"/>
                <w:szCs w:val="20"/>
                <w:color w:val="auto"/>
              </w:rPr>
            </w:pPr>
            <w:r>
              <w:rPr>
                <w:rFonts w:ascii="Arial" w:cs="Arial" w:eastAsia="Arial" w:hAnsi="Arial"/>
                <w:sz w:val="22"/>
                <w:szCs w:val="22"/>
                <w:color w:val="auto"/>
              </w:rPr>
              <w:t>Class A</w:t>
            </w:r>
          </w:p>
        </w:tc>
        <w:tc>
          <w:tcPr>
            <w:tcW w:w="4820" w:type="dxa"/>
            <w:vAlign w:val="bottom"/>
            <w:vMerge w:val="restart"/>
          </w:tcPr>
          <w:p>
            <w:pPr>
              <w:ind w:left="340"/>
              <w:spacing w:after="0"/>
              <w:rPr>
                <w:sz w:val="20"/>
                <w:szCs w:val="20"/>
                <w:color w:val="auto"/>
              </w:rPr>
            </w:pPr>
            <w:r>
              <w:rPr>
                <w:rFonts w:ascii="Arial" w:cs="Arial" w:eastAsia="Arial" w:hAnsi="Arial"/>
                <w:sz w:val="22"/>
                <w:szCs w:val="22"/>
                <w:color w:val="auto"/>
              </w:rPr>
              <w:t>06/13/2023 Option Exercise   Issuer</w:t>
            </w:r>
          </w:p>
        </w:tc>
        <w:tc>
          <w:tcPr>
            <w:tcW w:w="2120" w:type="dxa"/>
            <w:vAlign w:val="bottom"/>
            <w:vMerge w:val="restart"/>
          </w:tcPr>
          <w:p>
            <w:pPr>
              <w:jc w:val="right"/>
              <w:ind w:right="272"/>
              <w:spacing w:after="0"/>
              <w:rPr>
                <w:sz w:val="20"/>
                <w:szCs w:val="20"/>
                <w:color w:val="auto"/>
              </w:rPr>
            </w:pPr>
            <w:r>
              <w:rPr>
                <w:rFonts w:ascii="Arial" w:cs="Arial" w:eastAsia="Arial" w:hAnsi="Arial"/>
                <w:sz w:val="22"/>
                <w:szCs w:val="22"/>
                <w:color w:val="auto"/>
              </w:rPr>
              <w:t>19344</w:t>
            </w:r>
          </w:p>
        </w:tc>
        <w:tc>
          <w:tcPr>
            <w:tcW w:w="1860" w:type="dxa"/>
            <w:vAlign w:val="bottom"/>
            <w:vMerge w:val="restart"/>
          </w:tcPr>
          <w:p>
            <w:pPr>
              <w:ind w:left="400"/>
              <w:spacing w:after="0"/>
              <w:rPr>
                <w:sz w:val="20"/>
                <w:szCs w:val="20"/>
                <w:color w:val="auto"/>
              </w:rPr>
            </w:pPr>
            <w:r>
              <w:rPr>
                <w:rFonts w:ascii="Arial" w:cs="Arial" w:eastAsia="Arial" w:hAnsi="Arial"/>
                <w:sz w:val="22"/>
                <w:szCs w:val="22"/>
                <w:color w:val="auto"/>
                <w:w w:val="85"/>
              </w:rPr>
              <w:t>06/13/2023 Cash</w:t>
            </w:r>
          </w:p>
        </w:tc>
        <w:tc>
          <w:tcPr>
            <w:tcW w:w="0" w:type="dxa"/>
            <w:vAlign w:val="bottom"/>
          </w:tcPr>
          <w:p>
            <w:pPr>
              <w:spacing w:after="0"/>
              <w:rPr>
                <w:sz w:val="1"/>
                <w:szCs w:val="1"/>
                <w:color w:val="auto"/>
              </w:rPr>
            </w:pPr>
          </w:p>
        </w:tc>
      </w:tr>
      <w:tr>
        <w:trPr>
          <w:trHeight w:val="153"/>
        </w:trPr>
        <w:tc>
          <w:tcPr>
            <w:tcW w:w="11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482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1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48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Kelly Steckelberg</w:t>
      </w:r>
    </w:p>
    <w:p>
      <w:pPr>
        <w:spacing w:after="0" w:line="8" w:lineRule="exact"/>
        <w:rPr>
          <w:sz w:val="20"/>
          <w:szCs w:val="20"/>
          <w:color w:val="auto"/>
        </w:rPr>
      </w:pPr>
    </w:p>
    <w:p>
      <w:pPr>
        <w:ind w:left="40"/>
        <w:spacing w:after="0" w:line="234" w:lineRule="auto"/>
        <w:rPr>
          <w:sz w:val="20"/>
          <w:szCs w:val="20"/>
          <w:color w:val="auto"/>
        </w:rPr>
      </w:pPr>
      <w:r>
        <w:rPr>
          <w:rFonts w:ascii="Arial" w:cs="Arial" w:eastAsia="Arial" w:hAnsi="Arial"/>
          <w:sz w:val="22"/>
          <w:szCs w:val="22"/>
          <w:color w:val="auto"/>
        </w:rPr>
        <w:t>C/o Zoom Video Communications, Inc. 55 Almaden Boulevard, 6th Floor San Jose CA 95113</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2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20" w:type="dxa"/>
            <w:vAlign w:val="bottom"/>
            <w:vMerge w:val="restart"/>
          </w:tcPr>
          <w:p>
            <w:pPr>
              <w:ind w:left="7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22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20" w:type="dxa"/>
            <w:vAlign w:val="bottom"/>
          </w:tcPr>
          <w:p>
            <w:pPr>
              <w:spacing w:after="0"/>
              <w:rPr>
                <w:sz w:val="20"/>
                <w:szCs w:val="20"/>
                <w:color w:val="auto"/>
              </w:rPr>
            </w:pPr>
            <w:r>
              <w:rPr>
                <w:rFonts w:ascii="Arial" w:cs="Arial" w:eastAsia="Arial" w:hAnsi="Arial"/>
                <w:sz w:val="22"/>
                <w:szCs w:val="22"/>
                <w:color w:val="auto"/>
              </w:rPr>
              <w:t>Class A Common</w:t>
            </w:r>
          </w:p>
        </w:tc>
        <w:tc>
          <w:tcPr>
            <w:tcW w:w="2680" w:type="dxa"/>
            <w:vAlign w:val="bottom"/>
            <w:gridSpan w:val="2"/>
          </w:tcPr>
          <w:p>
            <w:pPr>
              <w:jc w:val="right"/>
              <w:ind w:right="692"/>
              <w:spacing w:after="0"/>
              <w:rPr>
                <w:sz w:val="20"/>
                <w:szCs w:val="20"/>
                <w:color w:val="auto"/>
              </w:rPr>
            </w:pPr>
            <w:r>
              <w:rPr>
                <w:rFonts w:ascii="Arial" w:cs="Arial" w:eastAsia="Arial" w:hAnsi="Arial"/>
                <w:sz w:val="22"/>
                <w:szCs w:val="22"/>
                <w:color w:val="auto"/>
              </w:rPr>
              <w:t>03/13/2023 3224</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220271.23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03/28/2023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219479.85</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04/12/2023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222882.25</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04/27/2023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198920.09</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05/12/2023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205948.57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Pr>
          <w:p>
            <w:pPr>
              <w:spacing w:after="0"/>
              <w:rPr>
                <w:sz w:val="20"/>
                <w:szCs w:val="20"/>
                <w:color w:val="auto"/>
              </w:rPr>
            </w:pPr>
            <w:r>
              <w:rPr>
                <w:rFonts w:ascii="Arial" w:cs="Arial" w:eastAsia="Arial" w:hAnsi="Arial"/>
                <w:sz w:val="22"/>
                <w:szCs w:val="22"/>
                <w:color w:val="auto"/>
              </w:rPr>
              <w:t>Class A Common</w:t>
            </w:r>
          </w:p>
        </w:tc>
        <w:tc>
          <w:tcPr>
            <w:tcW w:w="2980" w:type="dxa"/>
            <w:vAlign w:val="bottom"/>
          </w:tcPr>
          <w:p>
            <w:pPr>
              <w:jc w:val="right"/>
              <w:ind w:right="352"/>
              <w:spacing w:after="0"/>
              <w:rPr>
                <w:sz w:val="20"/>
                <w:szCs w:val="20"/>
                <w:color w:val="auto"/>
              </w:rPr>
            </w:pPr>
            <w:r>
              <w:rPr>
                <w:rFonts w:ascii="Arial" w:cs="Arial" w:eastAsia="Arial" w:hAnsi="Arial"/>
                <w:sz w:val="22"/>
                <w:szCs w:val="22"/>
                <w:color w:val="auto"/>
              </w:rPr>
              <w:t>05/30/2023 3224</w:t>
            </w:r>
          </w:p>
        </w:tc>
        <w:tc>
          <w:tcPr>
            <w:tcW w:w="1360" w:type="dxa"/>
            <w:vAlign w:val="bottom"/>
          </w:tcPr>
          <w:p>
            <w:pPr>
              <w:jc w:val="right"/>
              <w:spacing w:after="0"/>
              <w:rPr>
                <w:sz w:val="20"/>
                <w:szCs w:val="20"/>
                <w:color w:val="auto"/>
              </w:rPr>
            </w:pPr>
            <w:r>
              <w:rPr>
                <w:rFonts w:ascii="Arial" w:cs="Arial" w:eastAsia="Arial" w:hAnsi="Arial"/>
                <w:sz w:val="22"/>
                <w:szCs w:val="22"/>
                <w:color w:val="auto"/>
              </w:rPr>
              <w:t>210128.68</w:t>
            </w:r>
          </w:p>
        </w:tc>
      </w:tr>
    </w:tbl>
    <w:p>
      <w:pPr>
        <w:spacing w:after="0" w:line="561" w:lineRule="exact"/>
        <w:rPr>
          <w:sz w:val="20"/>
          <w:szCs w:val="20"/>
          <w:color w:val="auto"/>
        </w:rPr>
      </w:pPr>
    </w:p>
    <w:p>
      <w:pPr>
        <w:sectPr>
          <w:pgSz w:w="11900" w:h="16838" w:orient="portrait"/>
          <w:cols w:equalWidth="0" w:num="2">
            <w:col w:w="3460" w:space="220"/>
            <w:col w:w="7560"/>
          </w:cols>
          <w:pgMar w:left="320" w:top="111" w:right="339" w:bottom="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320" w:type="dxa"/>
            <w:vAlign w:val="bottom"/>
          </w:tcPr>
          <w:p>
            <w:pPr>
              <w:spacing w:after="0"/>
              <w:rPr>
                <w:sz w:val="20"/>
                <w:szCs w:val="20"/>
                <w:color w:val="auto"/>
              </w:rPr>
            </w:pPr>
            <w:r>
              <w:rPr>
                <w:rFonts w:ascii="Arial" w:cs="Arial" w:eastAsia="Arial" w:hAnsi="Arial"/>
                <w:sz w:val="22"/>
                <w:szCs w:val="22"/>
                <w:color w:val="auto"/>
              </w:rPr>
              <w:t>Remarks</w:t>
            </w:r>
          </w:p>
        </w:tc>
        <w:tc>
          <w:tcPr>
            <w:tcW w:w="3040" w:type="dxa"/>
            <w:vAlign w:val="bottom"/>
          </w:tcPr>
          <w:p>
            <w:pPr>
              <w:spacing w:after="0"/>
              <w:rPr>
                <w:sz w:val="23"/>
                <w:szCs w:val="23"/>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22"/>
                <w:szCs w:val="22"/>
                <w:color w:val="auto"/>
              </w:rPr>
              <w:t>Date of Notice</w:t>
            </w:r>
          </w:p>
        </w:tc>
        <w:tc>
          <w:tcPr>
            <w:tcW w:w="3040" w:type="dxa"/>
            <w:vAlign w:val="bottom"/>
          </w:tcPr>
          <w:p>
            <w:pPr>
              <w:jc w:val="right"/>
              <w:spacing w:after="0"/>
              <w:rPr>
                <w:sz w:val="20"/>
                <w:szCs w:val="20"/>
                <w:color w:val="auto"/>
              </w:rPr>
            </w:pPr>
            <w:r>
              <w:rPr>
                <w:rFonts w:ascii="Arial" w:cs="Arial" w:eastAsia="Arial" w:hAnsi="Arial"/>
                <w:sz w:val="22"/>
                <w:szCs w:val="22"/>
                <w:color w:val="auto"/>
              </w:rPr>
              <w:t>06/13/2023</w:t>
            </w:r>
          </w:p>
        </w:tc>
      </w:tr>
    </w:tbl>
    <w:p>
      <w:pPr>
        <w:ind w:left="40" w:right="4840"/>
        <w:spacing w:after="0" w:line="181" w:lineRule="auto"/>
        <w:rPr>
          <w:sz w:val="20"/>
          <w:szCs w:val="20"/>
          <w:color w:val="auto"/>
        </w:rPr>
      </w:pPr>
      <w:r>
        <w:rPr>
          <w:rFonts w:ascii="Arial" w:cs="Arial" w:eastAsia="Arial" w:hAnsi="Arial"/>
          <w:sz w:val="21"/>
          <w:szCs w:val="21"/>
          <w:color w:val="auto"/>
        </w:rPr>
        <w:t xml:space="preserve">Date of Plan Adoption or Giving of Instruction, If Relying on </w:t>
      </w:r>
      <w:r>
        <w:rPr>
          <w:rFonts w:ascii="Arial" w:cs="Arial" w:eastAsia="Arial" w:hAnsi="Arial"/>
          <w:sz w:val="41"/>
          <w:szCs w:val="41"/>
          <w:color w:val="auto"/>
          <w:vertAlign w:val="subscript"/>
        </w:rPr>
        <w:t>10/22/2022</w:t>
      </w:r>
      <w:r>
        <w:rPr>
          <w:rFonts w:ascii="Arial" w:cs="Arial" w:eastAsia="Arial" w:hAnsi="Arial"/>
          <w:sz w:val="21"/>
          <w:szCs w:val="21"/>
          <w:color w:val="auto"/>
        </w:rPr>
        <w:t xml:space="preserve"> Rule 10b5-1</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1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760" w:type="dxa"/>
            <w:vAlign w:val="bottom"/>
          </w:tcPr>
          <w:p>
            <w:pPr>
              <w:ind w:left="2280"/>
              <w:spacing w:after="0" w:line="246" w:lineRule="exact"/>
              <w:rPr>
                <w:sz w:val="20"/>
                <w:szCs w:val="20"/>
                <w:color w:val="auto"/>
              </w:rPr>
            </w:pPr>
            <w:r>
              <w:rPr>
                <w:rFonts w:ascii="Arial" w:cs="Arial" w:eastAsia="Arial" w:hAnsi="Arial"/>
                <w:sz w:val="22"/>
                <w:szCs w:val="22"/>
                <w:color w:val="auto"/>
                <w:w w:val="88"/>
              </w:rPr>
              <w:t>/s/ J.P. Morgan Securities LLC as agent and attorney-in-fact for</w:t>
            </w:r>
          </w:p>
        </w:tc>
        <w:tc>
          <w:tcPr>
            <w:tcW w:w="0" w:type="dxa"/>
            <w:vAlign w:val="bottom"/>
          </w:tcPr>
          <w:p>
            <w:pPr>
              <w:spacing w:after="0"/>
              <w:rPr>
                <w:sz w:val="1"/>
                <w:szCs w:val="1"/>
                <w:color w:val="auto"/>
              </w:rPr>
            </w:pPr>
          </w:p>
        </w:tc>
      </w:tr>
      <w:tr>
        <w:trPr>
          <w:trHeight w:val="153"/>
        </w:trPr>
        <w:tc>
          <w:tcPr>
            <w:tcW w:w="3100" w:type="dxa"/>
            <w:vAlign w:val="bottom"/>
            <w:vMerge w:val="continue"/>
          </w:tcPr>
          <w:p>
            <w:pPr>
              <w:spacing w:after="0"/>
              <w:rPr>
                <w:sz w:val="13"/>
                <w:szCs w:val="13"/>
                <w:color w:val="auto"/>
              </w:rPr>
            </w:pPr>
          </w:p>
        </w:tc>
        <w:tc>
          <w:tcPr>
            <w:tcW w:w="7760" w:type="dxa"/>
            <w:vAlign w:val="bottom"/>
            <w:vMerge w:val="restart"/>
          </w:tcPr>
          <w:p>
            <w:pPr>
              <w:ind w:left="2280"/>
              <w:spacing w:after="0"/>
              <w:rPr>
                <w:sz w:val="20"/>
                <w:szCs w:val="20"/>
                <w:color w:val="auto"/>
              </w:rPr>
            </w:pPr>
            <w:r>
              <w:rPr>
                <w:rFonts w:ascii="Arial" w:cs="Arial" w:eastAsia="Arial" w:hAnsi="Arial"/>
                <w:sz w:val="22"/>
                <w:szCs w:val="22"/>
                <w:color w:val="auto"/>
              </w:rPr>
              <w:t>Kelly Steckelberg</w:t>
            </w:r>
          </w:p>
        </w:tc>
        <w:tc>
          <w:tcPr>
            <w:tcW w:w="0" w:type="dxa"/>
            <w:vAlign w:val="bottom"/>
          </w:tcPr>
          <w:p>
            <w:pPr>
              <w:spacing w:after="0"/>
              <w:rPr>
                <w:sz w:val="1"/>
                <w:szCs w:val="1"/>
                <w:color w:val="auto"/>
              </w:rPr>
            </w:pPr>
          </w:p>
        </w:tc>
      </w:tr>
      <w:tr>
        <w:trPr>
          <w:trHeight w:val="122"/>
        </w:trPr>
        <w:tc>
          <w:tcPr>
            <w:tcW w:w="310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11"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2023-06-13T16:24:28Z</dcterms:created>
  <dcterms:modified xsi:type="dcterms:W3CDTF">2023-06-13T16:24:28Z</dcterms:modified>
</cp:coreProperties>
</file>