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23, 2022</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60" w:firstLine="620"/>
        <w:spacing w:after="0" w:line="283" w:lineRule="auto"/>
        <w:rPr>
          <w:sz w:val="20"/>
          <w:szCs w:val="20"/>
          <w:color w:val="auto"/>
        </w:rPr>
      </w:pPr>
      <w:r>
        <w:rPr>
          <w:rFonts w:ascii="Arial" w:cs="Arial" w:eastAsia="Arial" w:hAnsi="Arial"/>
          <w:sz w:val="17"/>
          <w:szCs w:val="17"/>
          <w:color w:val="auto"/>
        </w:rPr>
        <w:t>On May 23, 2022, Zoom Video Communications, Inc. (the “Company”) issued a press release announcing its financial results for the three months ended April 30, 2022. A copy of the press release is furnished as Exhibit 99.1 to this report and is incorporated by reference.</w:t>
      </w:r>
    </w:p>
    <w:p>
      <w:pPr>
        <w:spacing w:after="0" w:line="159"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auto"/>
              </w:rPr>
              <w:t>Exhibit No.</w:t>
            </w:r>
          </w:p>
        </w:tc>
        <w:tc>
          <w:tcPr>
            <w:tcW w:w="9460" w:type="dxa"/>
            <w:vAlign w:val="bottom"/>
            <w:gridSpan w:val="4"/>
          </w:tcPr>
          <w:p>
            <w:pPr>
              <w:spacing w:after="0"/>
              <w:rPr>
                <w:sz w:val="20"/>
                <w:szCs w:val="20"/>
                <w:color w:val="auto"/>
              </w:rPr>
            </w:pPr>
            <w:r>
              <w:rPr>
                <w:rFonts w:ascii="Arial" w:cs="Arial" w:eastAsia="Arial" w:hAnsi="Arial"/>
                <w:sz w:val="17"/>
                <w:szCs w:val="17"/>
                <w:color w:val="auto"/>
              </w:rPr>
              <w:t>Description</w:t>
            </w:r>
          </w:p>
        </w:tc>
      </w:tr>
      <w:tr>
        <w:trPr>
          <w:trHeight w:val="20"/>
        </w:trPr>
        <w:tc>
          <w:tcPr>
            <w:tcW w:w="46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460" w:type="dxa"/>
            <w:vAlign w:val="bottom"/>
          </w:tcPr>
          <w:p>
            <w:pPr>
              <w:spacing w:after="0"/>
              <w:rPr>
                <w:sz w:val="15"/>
                <w:szCs w:val="15"/>
                <w:color w:val="auto"/>
              </w:rPr>
            </w:pPr>
          </w:p>
        </w:tc>
        <w:tc>
          <w:tcPr>
            <w:tcW w:w="1320" w:type="dxa"/>
            <w:vAlign w:val="bottom"/>
          </w:tcPr>
          <w:p>
            <w:pPr>
              <w:jc w:val="right"/>
              <w:ind w:right="654"/>
              <w:spacing w:after="0" w:line="174" w:lineRule="exact"/>
              <w:rPr>
                <w:sz w:val="20"/>
                <w:szCs w:val="20"/>
                <w:color w:val="auto"/>
              </w:rPr>
            </w:pPr>
            <w:r>
              <w:rPr>
                <w:rFonts w:ascii="Arial" w:cs="Arial" w:eastAsia="Arial" w:hAnsi="Arial"/>
                <w:sz w:val="17"/>
                <w:szCs w:val="17"/>
                <w:color w:val="auto"/>
              </w:rPr>
              <w:t>99.1</w:t>
            </w:r>
          </w:p>
        </w:tc>
        <w:tc>
          <w:tcPr>
            <w:tcW w:w="4960" w:type="dxa"/>
            <w:vAlign w:val="bottom"/>
            <w:tcBorders>
              <w:bottom w:val="single" w:sz="8" w:color="0000FF"/>
            </w:tcBorders>
            <w:gridSpan w:val="2"/>
          </w:tcPr>
          <w:p>
            <w:pPr>
              <w:spacing w:after="0" w:line="174" w:lineRule="exact"/>
              <w:rPr>
                <w:rFonts w:ascii="Arial" w:cs="Arial" w:eastAsia="Arial" w:hAnsi="Arial"/>
                <w:sz w:val="17"/>
                <w:szCs w:val="17"/>
                <w:color w:val="0000FF"/>
                <w:w w:val="91"/>
              </w:rPr>
            </w:pPr>
            <w:hyperlink w:anchor="page4">
              <w:r>
                <w:rPr>
                  <w:rFonts w:ascii="Arial" w:cs="Arial" w:eastAsia="Arial" w:hAnsi="Arial"/>
                  <w:sz w:val="17"/>
                  <w:szCs w:val="17"/>
                  <w:color w:val="0000FF"/>
                  <w:w w:val="91"/>
                </w:rPr>
                <w:t>Press release dated May 23, 2022 of Zoom Video Communications, Inc.</w:t>
              </w:r>
            </w:hyperlink>
          </w:p>
        </w:tc>
        <w:tc>
          <w:tcPr>
            <w:tcW w:w="4500" w:type="dxa"/>
            <w:vAlign w:val="bottom"/>
            <w:gridSpan w:val="2"/>
          </w:tcPr>
          <w:p>
            <w:pPr>
              <w:spacing w:after="0"/>
              <w:rPr>
                <w:sz w:val="15"/>
                <w:szCs w:val="15"/>
                <w:color w:val="auto"/>
              </w:rPr>
            </w:pPr>
          </w:p>
        </w:tc>
      </w:tr>
      <w:tr>
        <w:trPr>
          <w:trHeight w:val="239"/>
        </w:trPr>
        <w:tc>
          <w:tcPr>
            <w:tcW w:w="1780" w:type="dxa"/>
            <w:vAlign w:val="bottom"/>
            <w:gridSpan w:val="2"/>
          </w:tcPr>
          <w:p>
            <w:pPr>
              <w:jc w:val="right"/>
              <w:ind w:right="674"/>
              <w:spacing w:after="0"/>
              <w:rPr>
                <w:sz w:val="20"/>
                <w:szCs w:val="20"/>
                <w:color w:val="auto"/>
              </w:rPr>
            </w:pPr>
            <w:r>
              <w:rPr>
                <w:rFonts w:ascii="Arial" w:cs="Arial" w:eastAsia="Arial" w:hAnsi="Arial"/>
                <w:sz w:val="17"/>
                <w:szCs w:val="17"/>
                <w:color w:val="auto"/>
              </w:rPr>
              <w:t>104</w:t>
            </w:r>
          </w:p>
        </w:tc>
        <w:tc>
          <w:tcPr>
            <w:tcW w:w="9460" w:type="dxa"/>
            <w:vAlign w:val="bottom"/>
            <w:gridSpan w:val="4"/>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6780" w:type="dxa"/>
            <w:vAlign w:val="bottom"/>
            <w:gridSpan w:val="2"/>
          </w:tcPr>
          <w:p>
            <w:pPr>
              <w:ind w:left="184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300" w:type="dxa"/>
            <w:vAlign w:val="bottom"/>
          </w:tcPr>
          <w:p>
            <w:pPr>
              <w:spacing w:after="0"/>
              <w:rPr>
                <w:sz w:val="20"/>
                <w:szCs w:val="20"/>
                <w:color w:val="auto"/>
              </w:rPr>
            </w:pPr>
            <w:r>
              <w:rPr>
                <w:rFonts w:ascii="Arial" w:cs="Arial" w:eastAsia="Arial" w:hAnsi="Arial"/>
                <w:sz w:val="17"/>
                <w:szCs w:val="17"/>
                <w:color w:val="auto"/>
              </w:rPr>
              <w:t>Dated: May 23, 2022</w:t>
            </w:r>
          </w:p>
        </w:tc>
        <w:tc>
          <w:tcPr>
            <w:tcW w:w="2120" w:type="dxa"/>
            <w:vAlign w:val="bottom"/>
          </w:tcPr>
          <w:p>
            <w:pPr>
              <w:ind w:left="184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Kelly Steckelberg</w:t>
            </w:r>
          </w:p>
        </w:tc>
      </w:tr>
      <w:tr>
        <w:trPr>
          <w:trHeight w:val="213"/>
        </w:trPr>
        <w:tc>
          <w:tcPr>
            <w:tcW w:w="3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Arial" w:cs="Arial" w:eastAsia="Arial" w:hAnsi="Arial"/>
                <w:sz w:val="17"/>
                <w:szCs w:val="17"/>
                <w:color w:val="auto"/>
              </w:rPr>
              <w:t>Kelly Steckelberg</w:t>
            </w:r>
          </w:p>
        </w:tc>
      </w:tr>
      <w:tr>
        <w:trPr>
          <w:trHeight w:val="220"/>
        </w:trPr>
        <w:tc>
          <w:tcPr>
            <w:tcW w:w="3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60" w:type="dxa"/>
            <w:vAlign w:val="bottom"/>
          </w:tcPr>
          <w:p>
            <w:pPr>
              <w:ind w:left="6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Video Communications Reports Financial Results for the First Quarter of Fiscal Year 2023</w:t>
      </w:r>
    </w:p>
    <w:p>
      <w:pPr>
        <w:spacing w:after="0" w:line="121" w:lineRule="exact"/>
        <w:rPr>
          <w:sz w:val="20"/>
          <w:szCs w:val="20"/>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total revenue of $1,073.8 million, up 12%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GAAP operating margin of 17.4% and non-GAAP operating margin of 37.2%</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net cash provided by operating activities of $526.2 million, a 49.0% margin</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trailing 12 months revenue up 46% year over year</w:t>
      </w:r>
    </w:p>
    <w:p>
      <w:pPr>
        <w:spacing w:after="0" w:line="21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May 23, 2022 – Zoom Video Communications, Inc. (NASDAQ: ZM), today announced financial results for the first fiscal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April 30, 2022.</w:t>
      </w:r>
    </w:p>
    <w:p>
      <w:pPr>
        <w:spacing w:after="0" w:line="1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Q1, we launched Zoom Contact Center, Zoom Whiteboard and Zoom IQ for Sales, demonstrating our continued focus on enhancing the customer experience and promoting hybrid work. We believe these innovative solutions will further expand our market opportunity for future growth and expansion with customers,” said Zoom founder and CEO, Eric S. Yuan. “Additionally in Q1, we delivered revenue of over one billion dollars driven by ongoing success in Enterprise, Zoom Rooms, and Zoom Phone, which reached 3 million seats during the quarter. We also maintained strong profitability and cash flow, including 17% in GAAP operating margin, approximately 37% non-GAAP operating margin, approximately 49% operating cash flow margin, and over 46% adjusted free cash flow margin.”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Fiscal Year 2023 Financial Highlights:</w:t>
      </w:r>
    </w:p>
    <w:p>
      <w:pPr>
        <w:spacing w:after="0" w:line="218" w:lineRule="exact"/>
        <w:rPr>
          <w:sz w:val="20"/>
          <w:szCs w:val="20"/>
          <w:color w:val="auto"/>
        </w:rPr>
      </w:pPr>
    </w:p>
    <w:p>
      <w:pPr>
        <w:ind w:left="920" w:hanging="296"/>
        <w:spacing w:after="0"/>
        <w:tabs>
          <w:tab w:leader="none" w:pos="9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first quarter was $1,073.8 million, up 12% year over year.</w:t>
      </w:r>
    </w:p>
    <w:p>
      <w:pPr>
        <w:spacing w:after="0" w:line="114" w:lineRule="exact"/>
        <w:rPr>
          <w:rFonts w:ascii="Arial" w:cs="Arial" w:eastAsia="Arial" w:hAnsi="Arial"/>
          <w:sz w:val="17"/>
          <w:szCs w:val="17"/>
          <w:b w:val="1"/>
          <w:bCs w:val="1"/>
          <w:color w:val="auto"/>
        </w:rPr>
      </w:pPr>
    </w:p>
    <w:p>
      <w:pPr>
        <w:ind w:left="940" w:right="180" w:hanging="316"/>
        <w:spacing w:after="0" w:line="263"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from Operations and Operating Margin: </w:t>
      </w:r>
      <w:r>
        <w:rPr>
          <w:rFonts w:ascii="Arial" w:cs="Arial" w:eastAsia="Arial" w:hAnsi="Arial"/>
          <w:sz w:val="17"/>
          <w:szCs w:val="17"/>
          <w:color w:val="auto"/>
        </w:rPr>
        <w:t>GAAP income from operations for the first quarter was $187.1 million, compared to GAAP</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operations of $226.3 million in the first quarter of fiscal year 2022. After adjusting for stock-based compensation expense and related payroll taxes, litigation settlements, net, and acquisition-related expenses, non-GAAP income from operations for the first quarter was $399.6 million, compared to non-GAAP income from operations of $400.9 million in the first quarter of fiscal year 2022. For the first quarter, GAAP operating margin was 17.4% and non-GAAP operating margin was 37.2%.</w:t>
      </w:r>
    </w:p>
    <w:p>
      <w:pPr>
        <w:spacing w:after="0" w:line="169" w:lineRule="exact"/>
        <w:rPr>
          <w:rFonts w:ascii="Arial" w:cs="Arial" w:eastAsia="Arial" w:hAnsi="Arial"/>
          <w:sz w:val="17"/>
          <w:szCs w:val="17"/>
          <w:b w:val="1"/>
          <w:bCs w:val="1"/>
          <w:color w:val="auto"/>
        </w:rPr>
      </w:pPr>
    </w:p>
    <w:p>
      <w:pPr>
        <w:ind w:left="940" w:right="20" w:hanging="316"/>
        <w:spacing w:after="0" w:line="272"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first quarter was $113.6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$0.37 per share, compared to GAAP net income attributable to common stockholders of $227.4 million, or $0.74 per share in the first quarter of fiscal year 2022.</w:t>
      </w:r>
    </w:p>
    <w:p>
      <w:pPr>
        <w:spacing w:after="0" w:line="64" w:lineRule="exact"/>
        <w:rPr>
          <w:rFonts w:ascii="Arial" w:cs="Arial" w:eastAsia="Arial" w:hAnsi="Arial"/>
          <w:sz w:val="17"/>
          <w:szCs w:val="17"/>
          <w:b w:val="1"/>
          <w:bCs w:val="1"/>
          <w:color w:val="auto"/>
        </w:rPr>
      </w:pPr>
    </w:p>
    <w:p>
      <w:pPr>
        <w:ind w:left="940" w:right="22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Non-GAAP net income for the first quarter was $315.8 million, after adjusting for stock-based compensation expense and related payroll taxes, litigation settlements, net, losses on strategic investments, net, acquisition-related expenses, undistributed earnings attributable to participating securities, and the tax effects on non-GAAP adjustments. Non-GAAP net income per share was $1.03. In the first quarter of fiscal year 2022, non-GAAP net income was $402.1 million, or $1.32 per share.</w:t>
      </w:r>
    </w:p>
    <w:p>
      <w:pPr>
        <w:spacing w:after="0" w:line="170" w:lineRule="exact"/>
        <w:rPr>
          <w:rFonts w:ascii="Arial" w:cs="Arial" w:eastAsia="Arial" w:hAnsi="Arial"/>
          <w:sz w:val="17"/>
          <w:szCs w:val="17"/>
          <w:b w:val="1"/>
          <w:bCs w:val="1"/>
          <w:color w:val="auto"/>
        </w:rPr>
      </w:pPr>
    </w:p>
    <w:p>
      <w:pPr>
        <w:ind w:left="940" w:right="18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April 30, 2022 was $5.7</w:t>
      </w:r>
      <w:r>
        <w:rPr>
          <w:rFonts w:ascii="Arial" w:cs="Arial" w:eastAsia="Arial" w:hAnsi="Arial"/>
          <w:sz w:val="17"/>
          <w:szCs w:val="17"/>
          <w:b w:val="1"/>
          <w:bCs w:val="1"/>
          <w:color w:val="auto"/>
        </w:rPr>
        <w:t xml:space="preserve"> </w:t>
      </w:r>
      <w:r>
        <w:rPr>
          <w:rFonts w:ascii="Arial" w:cs="Arial" w:eastAsia="Arial" w:hAnsi="Arial"/>
          <w:sz w:val="17"/>
          <w:szCs w:val="17"/>
          <w:color w:val="auto"/>
        </w:rPr>
        <w:t>billion.</w:t>
      </w:r>
    </w:p>
    <w:p>
      <w:pPr>
        <w:spacing w:after="0" w:line="44" w:lineRule="exact"/>
        <w:rPr>
          <w:rFonts w:ascii="Arial" w:cs="Arial" w:eastAsia="Arial" w:hAnsi="Arial"/>
          <w:sz w:val="17"/>
          <w:szCs w:val="17"/>
          <w:b w:val="1"/>
          <w:bCs w:val="1"/>
          <w:color w:val="auto"/>
        </w:rPr>
      </w:pPr>
    </w:p>
    <w:p>
      <w:pPr>
        <w:ind w:left="940" w:right="20" w:hanging="316"/>
        <w:spacing w:after="0" w:line="296"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Cash Flow: </w:t>
      </w:r>
      <w:r>
        <w:rPr>
          <w:rFonts w:ascii="Arial" w:cs="Arial" w:eastAsia="Arial" w:hAnsi="Arial"/>
          <w:sz w:val="16"/>
          <w:szCs w:val="16"/>
          <w:color w:val="auto"/>
        </w:rPr>
        <w:t>Net cash provided by operating activities was $526.2 million for the first quarter, compared to $533.3 million in the first quarter of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2022. Adjusted free cash flow, which is net cash provided by operating activities less purchases of property and equipment, plus litigation settlement payments, net, was $501.1 million, compared to $454.2 million in the first quarter of fiscal year 2022.</w:t>
      </w:r>
    </w:p>
    <w:p>
      <w:pPr>
        <w:spacing w:after="0" w:line="146"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first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2023, Zoom had:</w:t>
      </w:r>
    </w:p>
    <w:p>
      <w:pPr>
        <w:spacing w:after="0" w:line="50" w:lineRule="exact"/>
        <w:rPr>
          <w:sz w:val="20"/>
          <w:szCs w:val="20"/>
          <w:color w:val="auto"/>
        </w:rPr>
      </w:pPr>
    </w:p>
    <w:p>
      <w:pPr>
        <w:ind w:left="920" w:hanging="296"/>
        <w:spacing w:after="0"/>
        <w:tabs>
          <w:tab w:leader="none" w:pos="9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Approximately 198,900 Enterprise customers, up 24% from the same quarter last fiscal year.</w:t>
      </w:r>
    </w:p>
    <w:p>
      <w:pPr>
        <w:spacing w:after="0" w:line="114" w:lineRule="exact"/>
        <w:rPr>
          <w:rFonts w:ascii="Arial" w:cs="Arial" w:eastAsia="Arial" w:hAnsi="Arial"/>
          <w:sz w:val="17"/>
          <w:szCs w:val="17"/>
          <w:b w:val="1"/>
          <w:bCs w:val="1"/>
          <w:color w:val="auto"/>
        </w:rPr>
      </w:pPr>
    </w:p>
    <w:p>
      <w:pPr>
        <w:ind w:left="920" w:hanging="29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trailing 12-month net dollar expansion rate for Enterprise customers of 123%.</w:t>
      </w:r>
    </w:p>
    <w:p>
      <w:pPr>
        <w:spacing w:after="0" w:line="114" w:lineRule="exact"/>
        <w:rPr>
          <w:rFonts w:ascii="Arial" w:cs="Arial" w:eastAsia="Arial" w:hAnsi="Arial"/>
          <w:sz w:val="17"/>
          <w:szCs w:val="17"/>
          <w:color w:val="auto"/>
        </w:rPr>
      </w:pPr>
    </w:p>
    <w:p>
      <w:pPr>
        <w:ind w:left="920" w:hanging="296"/>
        <w:spacing w:after="0"/>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2,916 customers contributing more than $100,000 in trailing 12 months revenue, up approximately 46% from the same quarter last fiscal year.</w:t>
      </w:r>
    </w:p>
    <w:p>
      <w:pPr>
        <w:sectPr>
          <w:pgSz w:w="11900" w:h="16838" w:orient="portrait"/>
          <w:cols w:equalWidth="0" w:num="1">
            <w:col w:w="11240"/>
          </w:cols>
          <w:pgMar w:left="320" w:top="109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second quarter fiscal year 2023 and its full fiscal year 2023.</w:t>
      </w:r>
    </w:p>
    <w:p>
      <w:pPr>
        <w:spacing w:after="0" w:line="121" w:lineRule="exact"/>
        <w:rPr>
          <w:sz w:val="20"/>
          <w:szCs w:val="20"/>
          <w:color w:val="auto"/>
        </w:rPr>
      </w:pPr>
    </w:p>
    <w:p>
      <w:pPr>
        <w:ind w:left="940" w:hanging="316"/>
        <w:spacing w:after="0" w:line="268" w:lineRule="auto"/>
        <w:tabs>
          <w:tab w:leader="none" w:pos="936"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Second Quarter Fiscal Year 2023: Total revenue is expected to be between $1.115 billion and $1.120 billion and non-GAAP income from operations is expected to be between $360.0 million and $365.0 million. Non-GAAP diluted EPS is expected to be between $0.90 and $0.92 with approximately 308 million non-GAAP weighted average shares outstanding.</w:t>
      </w:r>
    </w:p>
    <w:p>
      <w:pPr>
        <w:spacing w:after="0" w:line="68" w:lineRule="exact"/>
        <w:rPr>
          <w:rFonts w:ascii="Arial" w:cs="Arial" w:eastAsia="Arial" w:hAnsi="Arial"/>
          <w:sz w:val="17"/>
          <w:szCs w:val="17"/>
          <w:b w:val="1"/>
          <w:bCs w:val="1"/>
          <w:color w:val="auto"/>
        </w:rPr>
      </w:pPr>
    </w:p>
    <w:p>
      <w:pPr>
        <w:ind w:left="940" w:right="40" w:hanging="316"/>
        <w:spacing w:after="0" w:line="26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Full Fiscal Year 2023: Total revenue is expected to be between $4.530 billion and $4.550 billion. Full fiscal year non-GAAP income from operations is expected to be between $1.480 billion and $1.500 billion. Full fiscal year non-GAAP diluted EPS is expected to be between $3.70 and $3.77 with approximately 309 million non-GAAP weighted average shares outstanding.</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21" w:lineRule="exact"/>
        <w:rPr>
          <w:sz w:val="20"/>
          <w:szCs w:val="20"/>
          <w:color w:val="auto"/>
        </w:rPr>
      </w:pPr>
    </w:p>
    <w:p>
      <w:pPr>
        <w:ind w:right="460"/>
        <w:spacing w:after="0" w:line="315" w:lineRule="auto"/>
        <w:rPr>
          <w:sz w:val="20"/>
          <w:szCs w:val="20"/>
          <w:color w:val="auto"/>
        </w:rPr>
      </w:pPr>
      <w:r>
        <w:rPr>
          <w:rFonts w:ascii="Arial" w:cs="Arial" w:eastAsia="Arial" w:hAnsi="Arial"/>
          <w:sz w:val="16"/>
          <w:szCs w:val="16"/>
          <w:color w:val="auto"/>
        </w:rPr>
        <w:t>Zoom will host a Zoom Video Webinar for investors on May 23, 2022 at 2:00 p.m. Pacific Time / 5:00 p.m. Eastern Time to discuss the company’s financial results, business highlights and financial outlook. Investors are invited to join the Zoom Video Webinar by visiting: https://investors.zoom.us/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Zoom is for you. Zoom is a space where you can connect to others, share ideas, make plans,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Zoom's financial outlook for the second quarter of fiscal year 2023 and full fiscal year 2023, Zoom’s market position, opportunities, and growth strategy, product initiatives and go-to 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users return to work or school or are otherwise no longer subject to limitations on in-person meetings,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fiscal year ended January 31, 2022.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240"/>
          </w:cols>
          <w:pgMar w:left="320" w:top="106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7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gains/losses on strategic investments, net, litigation settlements, net, income tax benefits from discrete activities, and undistributed earnings attributable to participating securities.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income tax benefits from discrete activities, including the income tax benefit related to the release of the US federal and state valuation allowance, because of their nonrecurring nature.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Free Cash Flow, Adjusted Free Cash Flow and Adjusted Free Cash Flow Margin. Zoom defines free cash flow as GAAP net cash provided by operating activities less purchases of property and equipment. Zoom defines adjusted free cash flow as free cash flow plus litigation settlement payments, net. Zoom adds back litigation settlement payments, net because they are not part of Zoom's ongoing operating activities, and the consideration of measures that exclude such payments can assist in the comparison of cash generated from operations in different periods which may or may not include such payments and assist in the comparison with the results of other companies in the industry. Zoom considers free cash flow and adjusted free cash flow to be liquidity measures that provide useful information to management and investors regarding net cash provided by operating activities and cash used for investments in property and equipment required to maintain and grow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Metrics</w:t>
      </w:r>
    </w:p>
    <w:p>
      <w:pPr>
        <w:spacing w:after="0" w:line="121" w:lineRule="exact"/>
        <w:rPr>
          <w:sz w:val="20"/>
          <w:szCs w:val="20"/>
          <w:color w:val="auto"/>
        </w:rPr>
      </w:pPr>
    </w:p>
    <w:p>
      <w:pPr>
        <w:jc w:val="both"/>
        <w:ind w:right="320"/>
        <w:spacing w:after="0" w:line="268" w:lineRule="auto"/>
        <w:rPr>
          <w:sz w:val="20"/>
          <w:szCs w:val="20"/>
          <w:color w:val="auto"/>
        </w:rPr>
      </w:pPr>
      <w:r>
        <w:rPr>
          <w:rFonts w:ascii="Arial" w:cs="Arial" w:eastAsia="Arial" w:hAnsi="Arial"/>
          <w:sz w:val="17"/>
          <w:szCs w:val="17"/>
          <w:color w:val="auto"/>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Zoom’s direct sales team, channel partners or independent software vendor partners.</w:t>
      </w:r>
    </w:p>
    <w:p>
      <w:pPr>
        <w:spacing w:after="0" w:line="69"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Enterprise customers as of 12 months prior (“Prior Period ARR”). Zoom defines ARR as the annualized revenue run rate of</w:t>
      </w:r>
    </w:p>
    <w:p>
      <w:pPr>
        <w:sectPr>
          <w:pgSz w:w="11900" w:h="16838" w:orient="portrait"/>
          <w:cols w:equalWidth="0" w:num="1">
            <w:col w:w="11220"/>
          </w:cols>
          <w:pgMar w:left="320" w:top="1064" w:right="35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7"/>
          <w:szCs w:val="17"/>
          <w:color w:val="auto"/>
        </w:rPr>
        <w:t>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Contacts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Global Public Relations and Executive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240"/>
          </w:cols>
          <w:pgMar w:left="320" w:top="96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r>
      <w:tr>
        <w:trPr>
          <w:trHeight w:val="128"/>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1"/>
                <w:szCs w:val="11"/>
                <w:color w:val="auto"/>
              </w:rPr>
            </w:pPr>
          </w:p>
        </w:tc>
        <w:tc>
          <w:tcPr>
            <w:tcW w:w="1200" w:type="dxa"/>
            <w:vAlign w:val="bottom"/>
          </w:tcPr>
          <w:p>
            <w:pPr>
              <w:jc w:val="right"/>
              <w:ind w:right="275"/>
              <w:spacing w:after="0" w:line="128" w:lineRule="exact"/>
              <w:rPr>
                <w:sz w:val="20"/>
                <w:szCs w:val="20"/>
                <w:color w:val="auto"/>
              </w:rPr>
            </w:pPr>
            <w:r>
              <w:rPr>
                <w:rFonts w:ascii="Arial" w:cs="Arial" w:eastAsia="Arial" w:hAnsi="Arial"/>
                <w:sz w:val="14"/>
                <w:szCs w:val="14"/>
                <w:b w:val="1"/>
                <w:bCs w:val="1"/>
                <w:color w:val="auto"/>
              </w:rPr>
              <w:t>January 31,</w:t>
            </w:r>
          </w:p>
        </w:tc>
      </w:tr>
      <w:tr>
        <w:trPr>
          <w:trHeight w:val="180"/>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0"/>
              </w:rPr>
              <w:t>(unaudited)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1,407,305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1,062,820</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4,318,974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4,356,446</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483,879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419,673</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211,575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199,266</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142,545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145,602</w:t>
            </w: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6,564,278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6,183,807</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164,714</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240,611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222,354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95,965</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343,160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367,814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27,607</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419,979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382,296</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106,761</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7,956,713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7,551,318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7,841</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500,101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430,415</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1,286,403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1,141,435</w:t>
            </w: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1,809,010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1,579,691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38,481</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85,018</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68,110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2,008,826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1,771,300</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3,749,514</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(17,902)</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2,161,765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2,048,107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5,947,887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5,780,018</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7,956,713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7,551,318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$68.6 million and $59.7 million as of April 30, 2022 and January 31, 2022, respectively.</w:t>
      </w:r>
    </w:p>
    <w:p>
      <w:pPr>
        <w:sectPr>
          <w:pgSz w:w="11900" w:h="16838" w:orient="portrait"/>
          <w:cols w:equalWidth="0" w:num="1">
            <w:col w:w="11240"/>
          </w:cols>
          <w:pgMar w:left="320" w:top="8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April 30,</w:t>
            </w:r>
          </w:p>
        </w:tc>
      </w:tr>
      <w:tr>
        <w:trPr>
          <w:trHeight w:val="179"/>
        </w:trPr>
        <w:tc>
          <w:tcPr>
            <w:tcW w:w="8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1,073,800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956,237</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261,821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264,994</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811,979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691,243</w:t>
            </w:r>
          </w:p>
        </w:tc>
      </w:tr>
      <w:tr>
        <w:trPr>
          <w:trHeight w:val="200"/>
        </w:trPr>
        <w:tc>
          <w:tcPr>
            <w:tcW w:w="8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65,175</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362,783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245,667</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154,089</w:t>
            </w:r>
          </w:p>
        </w:tc>
      </w:tr>
      <w:tr>
        <w:trPr>
          <w:trHeight w:val="213"/>
        </w:trPr>
        <w:tc>
          <w:tcPr>
            <w:tcW w:w="82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624,914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464,931</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226,312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Losses on strategic investments,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143,672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228,931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113,658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227,531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113,640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227,383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80" w:type="dxa"/>
            <w:vAlign w:val="bottom"/>
          </w:tcPr>
          <w:p>
            <w:pPr>
              <w:ind w:left="20"/>
              <w:spacing w:after="0" w:line="191" w:lineRule="exact"/>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Weighted-average shares used in computing net income per share attributable to common stockholders: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299,147,105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293,794,778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306,614,220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305,412,419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5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 April 30,</w:t>
            </w:r>
          </w:p>
        </w:tc>
      </w:tr>
      <w:tr>
        <w:trPr>
          <w:trHeight w:val="179"/>
        </w:trPr>
        <w:tc>
          <w:tcPr>
            <w:tcW w:w="8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4"/>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113,658</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227,531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98,969</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37,766</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Losses on strategic investments,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4,055</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Amortization on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5,596</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(75,665)</w:t>
            </w:r>
          </w:p>
        </w:tc>
      </w:tr>
      <w:tr>
        <w:trPr>
          <w:trHeight w:val="204"/>
        </w:trPr>
        <w:tc>
          <w:tcPr>
            <w:tcW w:w="822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(29,975)</w:t>
            </w:r>
          </w:p>
        </w:tc>
      </w:tr>
      <w:tr>
        <w:trPr>
          <w:trHeight w:val="210"/>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(47,813)</w:t>
            </w:r>
          </w:p>
        </w:tc>
      </w:tr>
      <w:tr>
        <w:trPr>
          <w:trHeight w:val="204"/>
        </w:trPr>
        <w:tc>
          <w:tcPr>
            <w:tcW w:w="822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10"/>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88,656</w:t>
            </w:r>
          </w:p>
        </w:tc>
      </w:tr>
      <w:tr>
        <w:trPr>
          <w:trHeight w:val="204"/>
        </w:trPr>
        <w:tc>
          <w:tcPr>
            <w:tcW w:w="822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152,974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210,896</w:t>
            </w:r>
          </w:p>
        </w:tc>
      </w:tr>
      <w:tr>
        <w:trPr>
          <w:trHeight w:val="210"/>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197"/>
        </w:trPr>
        <w:tc>
          <w:tcPr>
            <w:tcW w:w="8220" w:type="dxa"/>
            <w:vAlign w:val="bottom"/>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533,302</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(611,662)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(1,425,451)</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291,047</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(79,074)</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r>
      <w:tr>
        <w:trPr>
          <w:trHeight w:val="204"/>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Purchases of intangible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(1,219,978)</w:t>
            </w:r>
          </w:p>
        </w:tc>
      </w:tr>
      <w:tr>
        <w:trPr>
          <w:trHeight w:val="204"/>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repurchases of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Proceeds from employee equity transactions remitted to employees and tax authorities,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(9,984)</w:t>
            </w: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w:t>
            </w:r>
          </w:p>
        </w:tc>
      </w:tr>
      <w:tr>
        <w:trPr>
          <w:trHeight w:val="204"/>
        </w:trPr>
        <w:tc>
          <w:tcPr>
            <w:tcW w:w="822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02"/>
        </w:trPr>
        <w:tc>
          <w:tcPr>
            <w:tcW w:w="822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(133,243)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(6,279)</w:t>
            </w: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(692,955)</w:t>
            </w:r>
          </w:p>
        </w:tc>
      </w:tr>
      <w:tr>
        <w:trPr>
          <w:trHeight w:val="20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1,073,353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r>
      <w:tr>
        <w:trPr>
          <w:trHeight w:val="22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1,414,502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1,600,161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79"/>
        </w:trPr>
        <w:tc>
          <w:tcPr>
            <w:tcW w:w="80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187,065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226,312</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212,862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104,375</w:t>
            </w:r>
          </w:p>
        </w:tc>
        <w:tc>
          <w:tcPr>
            <w:tcW w:w="0" w:type="dxa"/>
            <w:vAlign w:val="bottom"/>
          </w:tcPr>
          <w:p>
            <w:pPr>
              <w:spacing w:after="0"/>
              <w:rPr>
                <w:sz w:val="1"/>
                <w:szCs w:val="1"/>
                <w:color w:val="auto"/>
              </w:rPr>
            </w:pPr>
          </w:p>
        </w:tc>
      </w:tr>
      <w:tr>
        <w:trPr>
          <w:trHeight w:val="220"/>
        </w:trPr>
        <w:tc>
          <w:tcPr>
            <w:tcW w:w="808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28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(4,226)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66,916</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3,934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color w:val="auto"/>
              </w:rPr>
              <w:t>Non-GAAP income from operations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399,635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400,887</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operating margin</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23.7 %</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Non-GAAP operating margin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41.9 %</w:t>
            </w:r>
          </w:p>
        </w:tc>
        <w:tc>
          <w:tcPr>
            <w:tcW w:w="0" w:type="dxa"/>
            <w:vAlign w:val="bottom"/>
          </w:tcPr>
          <w:p>
            <w:pPr>
              <w:spacing w:after="0"/>
              <w:rPr>
                <w:sz w:val="1"/>
                <w:szCs w:val="1"/>
                <w:color w:val="auto"/>
              </w:rPr>
            </w:pPr>
          </w:p>
        </w:tc>
      </w:tr>
      <w:tr>
        <w:trPr>
          <w:trHeight w:val="155"/>
        </w:trPr>
        <w:tc>
          <w:tcPr>
            <w:tcW w:w="8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5"/>
              <w:spacing w:after="0"/>
              <w:rPr>
                <w:sz w:val="20"/>
                <w:szCs w:val="20"/>
                <w:color w:val="auto"/>
              </w:rPr>
            </w:pPr>
            <w:r>
              <w:rPr>
                <w:rFonts w:ascii="Arial" w:cs="Arial" w:eastAsia="Arial" w:hAnsi="Arial"/>
                <w:sz w:val="17"/>
                <w:szCs w:val="17"/>
                <w:color w:val="auto"/>
              </w:rPr>
              <w:t>113,640</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227,383</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7"/>
                <w:szCs w:val="17"/>
                <w:color w:val="auto"/>
              </w:rPr>
              <w:t>212,862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104,375</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Litigation settlements,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66,916</w:t>
            </w:r>
          </w:p>
        </w:tc>
        <w:tc>
          <w:tcPr>
            <w:tcW w:w="0" w:type="dxa"/>
            <w:vAlign w:val="bottom"/>
          </w:tcPr>
          <w:p>
            <w:pPr>
              <w:spacing w:after="0"/>
              <w:rPr>
                <w:sz w:val="1"/>
                <w:szCs w:val="1"/>
                <w:color w:val="auto"/>
              </w:rPr>
            </w:pPr>
          </w:p>
        </w:tc>
      </w:tr>
      <w:tr>
        <w:trPr>
          <w:trHeight w:val="220"/>
        </w:trPr>
        <w:tc>
          <w:tcPr>
            <w:tcW w:w="8080" w:type="dxa"/>
            <w:vAlign w:val="bottom"/>
          </w:tcPr>
          <w:p>
            <w:pPr>
              <w:ind w:left="220"/>
              <w:spacing w:after="0"/>
              <w:rPr>
                <w:sz w:val="20"/>
                <w:szCs w:val="20"/>
                <w:color w:val="auto"/>
              </w:rPr>
            </w:pPr>
            <w:r>
              <w:rPr>
                <w:rFonts w:ascii="Arial" w:cs="Arial" w:eastAsia="Arial" w:hAnsi="Arial"/>
                <w:sz w:val="17"/>
                <w:szCs w:val="17"/>
                <w:color w:val="auto"/>
              </w:rPr>
              <w:t>Losses on strategic investments, net</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7"/>
                <w:szCs w:val="17"/>
                <w:color w:val="auto"/>
              </w:rPr>
              <w:t>36,404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3,934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20"/>
        </w:trPr>
        <w:tc>
          <w:tcPr>
            <w:tcW w:w="8080" w:type="dxa"/>
            <w:vAlign w:val="bottom"/>
          </w:tcPr>
          <w:p>
            <w:pPr>
              <w:ind w:left="220"/>
              <w:spacing w:after="0"/>
              <w:rPr>
                <w:sz w:val="20"/>
                <w:szCs w:val="20"/>
                <w:color w:val="auto"/>
              </w:rPr>
            </w:pPr>
            <w:r>
              <w:rPr>
                <w:rFonts w:ascii="Arial" w:cs="Arial" w:eastAsia="Arial" w:hAnsi="Arial"/>
                <w:sz w:val="17"/>
                <w:szCs w:val="17"/>
                <w:color w:val="auto"/>
              </w:rPr>
              <w:t>Undistributed earnings attributable to participating securities</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effects on non-GAAP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(46,846)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color w:val="auto"/>
              </w:rPr>
              <w:t>Non-GAAP net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315,786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402,106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0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0.38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80" w:type="dxa"/>
            <w:vAlign w:val="bottom"/>
          </w:tcPr>
          <w:p>
            <w:pPr>
              <w:ind w:left="220"/>
              <w:spacing w:after="0" w:line="191" w:lineRule="exact"/>
              <w:rPr>
                <w:sz w:val="20"/>
                <w:szCs w:val="20"/>
                <w:color w:val="auto"/>
              </w:rPr>
            </w:pPr>
            <w:r>
              <w:rPr>
                <w:rFonts w:ascii="Arial" w:cs="Arial" w:eastAsia="Arial" w:hAnsi="Arial"/>
                <w:sz w:val="17"/>
                <w:szCs w:val="17"/>
                <w:color w:val="auto"/>
              </w:rPr>
              <w:t>Non-GAAP net income per share - basic</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5"/>
              <w:spacing w:after="0" w:line="191" w:lineRule="exact"/>
              <w:rPr>
                <w:sz w:val="20"/>
                <w:szCs w:val="20"/>
                <w:color w:val="auto"/>
              </w:rPr>
            </w:pPr>
            <w:r>
              <w:rPr>
                <w:rFonts w:ascii="Arial" w:cs="Arial" w:eastAsia="Arial" w:hAnsi="Arial"/>
                <w:sz w:val="17"/>
                <w:szCs w:val="17"/>
                <w:color w:val="auto"/>
              </w:rPr>
              <w:t>1.06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0.37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0.74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80" w:type="dxa"/>
            <w:vAlign w:val="bottom"/>
          </w:tcPr>
          <w:p>
            <w:pPr>
              <w:ind w:left="220"/>
              <w:spacing w:after="0" w:line="191" w:lineRule="exact"/>
              <w:rPr>
                <w:sz w:val="20"/>
                <w:szCs w:val="20"/>
                <w:color w:val="auto"/>
              </w:rPr>
            </w:pPr>
            <w:r>
              <w:rPr>
                <w:rFonts w:ascii="Arial" w:cs="Arial" w:eastAsia="Arial" w:hAnsi="Arial"/>
                <w:sz w:val="17"/>
                <w:szCs w:val="17"/>
                <w:color w:val="auto"/>
              </w:rPr>
              <w:t>Non-GAAP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5"/>
              <w:spacing w:after="0" w:line="191" w:lineRule="exact"/>
              <w:rPr>
                <w:sz w:val="20"/>
                <w:szCs w:val="20"/>
                <w:color w:val="auto"/>
              </w:rPr>
            </w:pPr>
            <w:r>
              <w:rPr>
                <w:rFonts w:ascii="Arial" w:cs="Arial" w:eastAsia="Arial" w:hAnsi="Arial"/>
                <w:sz w:val="17"/>
                <w:szCs w:val="17"/>
                <w:color w:val="auto"/>
              </w:rPr>
              <w:t>1.03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0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GAAP and non-GAAP weighted-average shares used to compute net income per share - basic</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7"/>
                <w:szCs w:val="17"/>
                <w:color w:val="auto"/>
              </w:rPr>
              <w:t>299,147,105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293,794,778</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and non-GAAP weighted-average shares used to compute net income per share - diluted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306,614,220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305,412,419</w:t>
            </w:r>
          </w:p>
        </w:tc>
        <w:tc>
          <w:tcPr>
            <w:tcW w:w="0" w:type="dxa"/>
            <w:vAlign w:val="bottom"/>
          </w:tcPr>
          <w:p>
            <w:pPr>
              <w:spacing w:after="0"/>
              <w:rPr>
                <w:sz w:val="1"/>
                <w:szCs w:val="1"/>
                <w:color w:val="auto"/>
              </w:rPr>
            </w:pPr>
          </w:p>
        </w:tc>
      </w:tr>
      <w:tr>
        <w:trPr>
          <w:trHeight w:val="155"/>
        </w:trPr>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526,151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533,302</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Purchases of property and equipment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(25,038)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(79,074)</w:t>
            </w:r>
          </w:p>
        </w:tc>
        <w:tc>
          <w:tcPr>
            <w:tcW w:w="0" w:type="dxa"/>
            <w:vAlign w:val="bottom"/>
          </w:tcPr>
          <w:p>
            <w:pPr>
              <w:spacing w:after="0"/>
              <w:rPr>
                <w:sz w:val="1"/>
                <w:szCs w:val="1"/>
                <w:color w:val="auto"/>
              </w:rPr>
            </w:pP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501,113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454,228</w:t>
            </w:r>
          </w:p>
        </w:tc>
        <w:tc>
          <w:tcPr>
            <w:tcW w:w="0" w:type="dxa"/>
            <w:vAlign w:val="bottom"/>
          </w:tcPr>
          <w:p>
            <w:pPr>
              <w:spacing w:after="0"/>
              <w:rPr>
                <w:sz w:val="1"/>
                <w:szCs w:val="1"/>
                <w:color w:val="auto"/>
              </w:rPr>
            </w:pPr>
          </w:p>
        </w:tc>
      </w:tr>
      <w:tr>
        <w:trPr>
          <w:trHeight w:val="220"/>
        </w:trPr>
        <w:tc>
          <w:tcPr>
            <w:tcW w:w="8080" w:type="dxa"/>
            <w:vAlign w:val="bottom"/>
          </w:tcPr>
          <w:p>
            <w:pPr>
              <w:ind w:left="220"/>
              <w:spacing w:after="0"/>
              <w:rPr>
                <w:sz w:val="20"/>
                <w:szCs w:val="20"/>
                <w:color w:val="auto"/>
              </w:rPr>
            </w:pPr>
            <w:r>
              <w:rPr>
                <w:rFonts w:ascii="Arial" w:cs="Arial" w:eastAsia="Arial" w:hAnsi="Arial"/>
                <w:sz w:val="17"/>
                <w:szCs w:val="17"/>
                <w:color w:val="auto"/>
              </w:rPr>
              <w:t>Add: Litigation settlement payments, net</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free cash flow (non-GAAP)</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501,113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454,228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80" w:type="dxa"/>
            <w:vAlign w:val="bottom"/>
          </w:tcPr>
          <w:p>
            <w:pPr>
              <w:ind w:left="20"/>
              <w:spacing w:after="0" w:line="191"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95"/>
              <w:spacing w:after="0" w:line="191" w:lineRule="exact"/>
              <w:rPr>
                <w:sz w:val="20"/>
                <w:szCs w:val="20"/>
                <w:color w:val="auto"/>
              </w:rPr>
            </w:pPr>
            <w:r>
              <w:rPr>
                <w:rFonts w:ascii="Arial" w:cs="Arial" w:eastAsia="Arial" w:hAnsi="Arial"/>
                <w:sz w:val="17"/>
                <w:szCs w:val="17"/>
                <w:color w:val="auto"/>
              </w:rPr>
              <w:t>(42,334)</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rPr>
              <w:t>(1,219,978)</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(133,243)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(6,279)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cash flow margin (GAAP)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Arial" w:cs="Arial" w:eastAsia="Arial" w:hAnsi="Arial"/>
                <w:sz w:val="17"/>
                <w:szCs w:val="17"/>
                <w:color w:val="auto"/>
              </w:rPr>
              <w:t>49.0 %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55.8 %</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free cash flow margin (non-GAAP)</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2022-05-23T15:15:05Z</dcterms:created>
  <dcterms:modified xsi:type="dcterms:W3CDTF">2022-05-23T15:15:05Z</dcterms:modified>
</cp:coreProperties>
</file>