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Global Business Travel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37890B 10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May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280" w:right="9500" w:firstLine="7"/>
        <w:spacing w:after="0" w:line="273" w:lineRule="exact"/>
        <w:tabs>
          <w:tab w:leader="none" w:pos="67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spacing w:after="0" w:line="48" w:lineRule="exact"/>
        <w:rPr>
          <w:rFonts w:ascii="MS PGothic" w:cs="MS PGothic" w:eastAsia="MS PGothic" w:hAnsi="MS PGothic"/>
          <w:sz w:val="16"/>
          <w:szCs w:val="16"/>
          <w:color w:val="auto"/>
        </w:rPr>
      </w:pPr>
    </w:p>
    <w:p>
      <w:pPr>
        <w:ind w:left="680" w:hanging="393"/>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 w:name="page2"/>
    <w:bookmarkEnd w:id="1"/>
    <w:p>
      <w:pPr>
        <w:ind w:left="100"/>
        <w:spacing w:after="0"/>
        <w:rPr>
          <w:sz w:val="20"/>
          <w:szCs w:val="20"/>
          <w:color w:val="auto"/>
        </w:rPr>
      </w:pPr>
      <w:r>
        <w:rPr>
          <w:rFonts w:ascii="Arial" w:cs="Arial" w:eastAsia="Arial" w:hAnsi="Arial"/>
          <w:sz w:val="18"/>
          <w:szCs w:val="18"/>
          <w:color w:val="auto"/>
        </w:rPr>
        <w:t>CUSIP No.  37890B 10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780" w:right="7920" w:hanging="502"/>
        <w:spacing w:after="0" w:line="457"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Zoom Video Communications, Inc.</w:t>
      </w:r>
    </w:p>
    <w:p>
      <w:pPr>
        <w:spacing w:after="0" w:line="14" w:lineRule="exact"/>
        <w:rPr>
          <w:rFonts w:ascii="Arial" w:cs="Arial" w:eastAsia="Arial" w:hAnsi="Arial"/>
          <w:sz w:val="16"/>
          <w:szCs w:val="16"/>
          <w:color w:val="auto"/>
        </w:rPr>
      </w:pPr>
    </w:p>
    <w:p>
      <w:pPr>
        <w:ind w:left="780" w:hanging="502"/>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340" w:hanging="560"/>
        <w:spacing w:after="0" w:line="207" w:lineRule="exact"/>
        <w:tabs>
          <w:tab w:leader="none" w:pos="13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1340" w:hanging="560"/>
        <w:spacing w:after="0" w:line="207" w:lineRule="exact"/>
        <w:tabs>
          <w:tab w:leader="none" w:pos="13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5" w:lineRule="exact"/>
        <w:rPr>
          <w:rFonts w:ascii="Arial" w:cs="Arial" w:eastAsia="Arial" w:hAnsi="Arial"/>
          <w:sz w:val="18"/>
          <w:szCs w:val="18"/>
          <w:color w:val="auto"/>
        </w:rPr>
      </w:pPr>
    </w:p>
    <w:p>
      <w:pPr>
        <w:ind w:left="780" w:hanging="502"/>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780" w:right="7840" w:hanging="502"/>
        <w:spacing w:after="0" w:line="414"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60" w:hanging="556"/>
        <w:spacing w:after="0"/>
        <w:tabs>
          <w:tab w:leader="none" w:pos="22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-147320</wp:posOffset>
            </wp:positionV>
            <wp:extent cx="6703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-601980</wp:posOffset>
            </wp:positionV>
            <wp:extent cx="6703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-773430</wp:posOffset>
            </wp:positionV>
            <wp:extent cx="63436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-1398905</wp:posOffset>
            </wp:positionV>
            <wp:extent cx="6703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0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55"/>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9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2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0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00" w:type="dxa"/>
            <w:vAlign w:val="bottom"/>
            <w:vMerge w:val="continue"/>
          </w:tcPr>
          <w:p>
            <w:pPr>
              <w:spacing w:after="0"/>
              <w:rPr>
                <w:sz w:val="8"/>
                <w:szCs w:val="8"/>
                <w:color w:val="auto"/>
              </w:rPr>
            </w:pPr>
          </w:p>
        </w:tc>
        <w:tc>
          <w:tcPr>
            <w:tcW w:w="9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240" w:type="dxa"/>
            <w:vAlign w:val="bottom"/>
            <w:vMerge w:val="restart"/>
          </w:tcPr>
          <w:p>
            <w:pPr>
              <w:spacing w:after="0"/>
              <w:rPr>
                <w:sz w:val="20"/>
                <w:szCs w:val="20"/>
                <w:color w:val="auto"/>
              </w:rPr>
            </w:pPr>
            <w:r>
              <w:rPr>
                <w:rFonts w:ascii="Arial" w:cs="Arial" w:eastAsia="Arial" w:hAnsi="Arial"/>
                <w:sz w:val="18"/>
                <w:szCs w:val="18"/>
                <w:color w:val="auto"/>
              </w:rPr>
              <w:t>Each</w:t>
            </w:r>
          </w:p>
        </w:tc>
        <w:tc>
          <w:tcPr>
            <w:tcW w:w="80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Reporting</w:t>
            </w:r>
          </w:p>
        </w:tc>
        <w:tc>
          <w:tcPr>
            <w:tcW w:w="9080" w:type="dxa"/>
            <w:vAlign w:val="bottom"/>
            <w:vMerge w:val="restart"/>
          </w:tcPr>
          <w:p>
            <w:pPr>
              <w:jc w:val="right"/>
              <w:ind w:right="8170"/>
              <w:spacing w:after="0"/>
              <w:rPr>
                <w:sz w:val="20"/>
                <w:szCs w:val="20"/>
                <w:color w:val="auto"/>
              </w:rPr>
            </w:pPr>
            <w:r>
              <w:rPr>
                <w:rFonts w:ascii="Arial" w:cs="Arial" w:eastAsia="Arial" w:hAnsi="Arial"/>
                <w:sz w:val="18"/>
                <w:szCs w:val="18"/>
                <w:color w:val="auto"/>
                <w:w w:val="99"/>
              </w:rPr>
              <w:t>4,000,000</w:t>
            </w:r>
          </w:p>
        </w:tc>
        <w:tc>
          <w:tcPr>
            <w:tcW w:w="0" w:type="dxa"/>
            <w:vAlign w:val="bottom"/>
          </w:tcPr>
          <w:p>
            <w:pPr>
              <w:spacing w:after="0"/>
              <w:rPr>
                <w:sz w:val="1"/>
                <w:szCs w:val="1"/>
                <w:color w:val="auto"/>
              </w:rPr>
            </w:pPr>
          </w:p>
        </w:tc>
      </w:tr>
      <w:tr>
        <w:trPr>
          <w:trHeight w:val="163"/>
        </w:trPr>
        <w:tc>
          <w:tcPr>
            <w:tcW w:w="2040" w:type="dxa"/>
            <w:vAlign w:val="bottom"/>
            <w:vMerge w:val="restart"/>
          </w:tcPr>
          <w:p>
            <w:pPr>
              <w:spacing w:after="0" w:line="190" w:lineRule="exact"/>
              <w:rPr>
                <w:sz w:val="20"/>
                <w:szCs w:val="20"/>
                <w:color w:val="auto"/>
              </w:rPr>
            </w:pPr>
            <w:r>
              <w:rPr>
                <w:rFonts w:ascii="Arial" w:cs="Arial" w:eastAsia="Arial" w:hAnsi="Arial"/>
                <w:sz w:val="18"/>
                <w:szCs w:val="18"/>
                <w:color w:val="auto"/>
              </w:rPr>
              <w:t>Person With</w:t>
            </w:r>
          </w:p>
        </w:tc>
        <w:tc>
          <w:tcPr>
            <w:tcW w:w="9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40" w:type="dxa"/>
            <w:vAlign w:val="bottom"/>
            <w:vMerge w:val="continue"/>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260" w:hanging="556"/>
        <w:spacing w:after="0"/>
        <w:tabs>
          <w:tab w:leader="none" w:pos="2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79" w:lineRule="exact"/>
        <w:rPr>
          <w:rFonts w:ascii="Arial" w:cs="Arial" w:eastAsia="Arial" w:hAnsi="Arial"/>
          <w:sz w:val="18"/>
          <w:szCs w:val="18"/>
          <w:color w:val="auto"/>
        </w:rPr>
      </w:pPr>
    </w:p>
    <w:p>
      <w:pPr>
        <w:ind w:left="780" w:right="5660" w:hanging="502"/>
        <w:spacing w:after="0" w:line="395"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-440055</wp:posOffset>
            </wp:positionV>
            <wp:extent cx="57689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ind w:left="280"/>
        <w:spacing w:after="0" w:line="178" w:lineRule="exact"/>
        <w:tabs>
          <w:tab w:leader="none" w:pos="760" w:val="left"/>
          <w:tab w:leader="none" w:pos="720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60325</wp:posOffset>
            </wp:positionV>
            <wp:extent cx="6703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-119380</wp:posOffset>
            </wp:positionV>
            <wp:extent cx="6703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101" w:lineRule="exact"/>
        <w:rPr>
          <w:sz w:val="20"/>
          <w:szCs w:val="20"/>
          <w:color w:val="auto"/>
        </w:rPr>
      </w:pPr>
    </w:p>
    <w:p>
      <w:pPr>
        <w:ind w:left="780" w:hanging="502"/>
        <w:spacing w:after="0"/>
        <w:tabs>
          <w:tab w:leader="none" w:pos="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5.9% (1)</w:t>
      </w:r>
    </w:p>
    <w:p>
      <w:pPr>
        <w:spacing w:after="0" w:line="76" w:lineRule="exact"/>
        <w:rPr>
          <w:rFonts w:ascii="Arial" w:cs="Arial" w:eastAsia="Arial" w:hAnsi="Arial"/>
          <w:sz w:val="18"/>
          <w:szCs w:val="18"/>
          <w:color w:val="auto"/>
        </w:rPr>
      </w:pPr>
    </w:p>
    <w:p>
      <w:pPr>
        <w:ind w:left="780" w:hanging="502"/>
        <w:spacing w:after="0"/>
        <w:tabs>
          <w:tab w:leader="none" w:pos="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65" w:lineRule="exact"/>
        <w:rPr>
          <w:rFonts w:ascii="Arial" w:cs="Arial" w:eastAsia="Arial" w:hAnsi="Arial"/>
          <w:sz w:val="18"/>
          <w:szCs w:val="18"/>
          <w:color w:val="auto"/>
        </w:rPr>
      </w:pPr>
    </w:p>
    <w:p>
      <w:pPr>
        <w:ind w:left="420" w:right="260" w:hanging="412"/>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is based on a total of 67,753,543 shares of Class A Common Stock outstanding as of December 9, 2022, as reported in the Issuer’s definitive proxy statement, filed with the SEC on 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-439420</wp:posOffset>
            </wp:positionV>
            <wp:extent cx="6703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-893445</wp:posOffset>
            </wp:positionV>
            <wp:extent cx="6703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560" w:hanging="540"/>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Global Business Travel Group, Inc.</w:t>
      </w:r>
    </w:p>
    <w:p>
      <w:pPr>
        <w:spacing w:after="0" w:line="9" w:lineRule="exact"/>
        <w:rPr>
          <w:rFonts w:ascii="Arial" w:cs="Arial" w:eastAsia="Arial" w:hAnsi="Arial"/>
          <w:sz w:val="18"/>
          <w:szCs w:val="18"/>
          <w:color w:val="auto"/>
        </w:rPr>
      </w:pPr>
    </w:p>
    <w:p>
      <w:pPr>
        <w:ind w:left="1560" w:right="5780" w:hanging="540"/>
        <w:spacing w:after="0" w:line="258" w:lineRule="auto"/>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666 3rd Avenue, 4th Floor</w:t>
      </w:r>
    </w:p>
    <w:p>
      <w:pPr>
        <w:ind w:left="156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5715</wp:posOffset>
            </wp:positionV>
            <wp:extent cx="6197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-413385</wp:posOffset>
            </wp:positionV>
            <wp:extent cx="6197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560" w:hanging="540"/>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Zoom Video Communications, Inc.</w:t>
      </w:r>
    </w:p>
    <w:p>
      <w:pPr>
        <w:spacing w:after="0" w:line="9" w:lineRule="exact"/>
        <w:rPr>
          <w:rFonts w:ascii="Arial" w:cs="Arial" w:eastAsia="Arial" w:hAnsi="Arial"/>
          <w:sz w:val="18"/>
          <w:szCs w:val="18"/>
          <w:color w:val="auto"/>
        </w:rPr>
      </w:pPr>
    </w:p>
    <w:p>
      <w:pPr>
        <w:ind w:left="1560" w:right="4920" w:hanging="540"/>
        <w:spacing w:after="0" w:line="258" w:lineRule="auto"/>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55 Almaden Boulevard, 6th Floor</w:t>
      </w:r>
    </w:p>
    <w:p>
      <w:pPr>
        <w:ind w:left="1560"/>
        <w:spacing w:after="0"/>
        <w:rPr>
          <w:rFonts w:ascii="Arial" w:cs="Arial" w:eastAsia="Arial" w:hAnsi="Arial"/>
          <w:sz w:val="18"/>
          <w:szCs w:val="18"/>
          <w:color w:val="auto"/>
        </w:rPr>
      </w:pPr>
      <w:r>
        <w:rPr>
          <w:rFonts w:ascii="Arial" w:cs="Arial" w:eastAsia="Arial" w:hAnsi="Arial"/>
          <w:sz w:val="18"/>
          <w:szCs w:val="18"/>
          <w:color w:val="auto"/>
        </w:rPr>
        <w:t>San Jose, California 95113</w:t>
      </w:r>
    </w:p>
    <w:p>
      <w:pPr>
        <w:spacing w:after="0" w:line="9" w:lineRule="exact"/>
        <w:rPr>
          <w:rFonts w:ascii="Arial" w:cs="Arial" w:eastAsia="Arial" w:hAnsi="Arial"/>
          <w:sz w:val="18"/>
          <w:szCs w:val="18"/>
          <w:color w:val="auto"/>
        </w:rPr>
      </w:pPr>
    </w:p>
    <w:p>
      <w:pPr>
        <w:ind w:left="1560" w:right="8380" w:hanging="540"/>
        <w:spacing w:after="0" w:line="290" w:lineRule="auto"/>
        <w:tabs>
          <w:tab w:leader="none" w:pos="1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Citizenship Delaware</w:t>
      </w:r>
    </w:p>
    <w:p>
      <w:pPr>
        <w:ind w:left="1560" w:hanging="540"/>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Class A Common Stock, $0.0001 par value</w:t>
      </w:r>
    </w:p>
    <w:p>
      <w:pPr>
        <w:spacing w:after="0" w:line="9" w:lineRule="exact"/>
        <w:rPr>
          <w:rFonts w:ascii="Arial" w:cs="Arial" w:eastAsia="Arial" w:hAnsi="Arial"/>
          <w:sz w:val="18"/>
          <w:szCs w:val="18"/>
          <w:color w:val="auto"/>
        </w:rPr>
      </w:pPr>
    </w:p>
    <w:p>
      <w:pPr>
        <w:ind w:left="1560" w:right="8040" w:hanging="540"/>
        <w:spacing w:after="0" w:line="341" w:lineRule="auto"/>
        <w:tabs>
          <w:tab w:leader="none" w:pos="1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37890B 10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-48260</wp:posOffset>
            </wp:positionV>
            <wp:extent cx="61976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-331470</wp:posOffset>
            </wp:positionV>
            <wp:extent cx="6197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-614045</wp:posOffset>
            </wp:positionV>
            <wp:extent cx="6197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-897255</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-1316990</wp:posOffset>
            </wp:positionV>
            <wp:extent cx="6197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1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regarding the aggregate number and percentage of the class of securities of the issuer identified in Item 1 is provided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11" w:lineRule="exact"/>
        <w:rPr>
          <w:sz w:val="20"/>
          <w:szCs w:val="20"/>
          <w:color w:val="auto"/>
        </w:rPr>
      </w:pPr>
    </w:p>
    <w:p>
      <w:pPr>
        <w:ind w:left="1560" w:right="7140" w:hanging="540"/>
        <w:spacing w:after="0" w:line="258" w:lineRule="auto"/>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4,000,000</w:t>
      </w:r>
    </w:p>
    <w:p>
      <w:pPr>
        <w:spacing w:after="0" w:line="1" w:lineRule="exact"/>
        <w:rPr>
          <w:rFonts w:ascii="Arial" w:cs="Arial" w:eastAsia="Arial" w:hAnsi="Arial"/>
          <w:sz w:val="18"/>
          <w:szCs w:val="18"/>
          <w:color w:val="auto"/>
        </w:rPr>
      </w:pPr>
    </w:p>
    <w:p>
      <w:pPr>
        <w:ind w:left="1560" w:right="8020" w:hanging="540"/>
        <w:spacing w:after="0" w:line="290" w:lineRule="auto"/>
        <w:tabs>
          <w:tab w:leader="none" w:pos="1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 of class: 4,000,000</w:t>
      </w:r>
    </w:p>
    <w:p>
      <w:pPr>
        <w:ind w:left="1560" w:hanging="540"/>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 w:lineRule="exact"/>
        <w:rPr>
          <w:rFonts w:ascii="Arial" w:cs="Arial" w:eastAsia="Arial" w:hAnsi="Arial"/>
          <w:sz w:val="18"/>
          <w:szCs w:val="18"/>
          <w:color w:val="auto"/>
        </w:rPr>
      </w:pPr>
    </w:p>
    <w:p>
      <w:pPr>
        <w:ind w:left="2020" w:right="5880" w:hanging="541"/>
        <w:spacing w:after="0" w:line="250" w:lineRule="auto"/>
        <w:tabs>
          <w:tab w:leader="none" w:pos="2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4,000,000</w:t>
      </w:r>
    </w:p>
    <w:p>
      <w:pPr>
        <w:ind w:left="2020" w:right="5700" w:hanging="541"/>
        <w:spacing w:after="0" w:line="258" w:lineRule="auto"/>
        <w:tabs>
          <w:tab w:leader="none" w:pos="2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2020" w:right="4980" w:hanging="541"/>
        <w:spacing w:after="0" w:line="258" w:lineRule="auto"/>
        <w:tabs>
          <w:tab w:leader="none" w:pos="2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4,000,000</w:t>
      </w:r>
    </w:p>
    <w:p>
      <w:pPr>
        <w:ind w:left="2020" w:right="4800" w:hanging="541"/>
        <w:spacing w:after="0" w:line="276" w:lineRule="auto"/>
        <w:tabs>
          <w:tab w:leader="none" w:pos="2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-19050</wp:posOffset>
            </wp:positionV>
            <wp:extent cx="5915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-301625</wp:posOffset>
            </wp:positionV>
            <wp:extent cx="5915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-584835</wp:posOffset>
            </wp:positionV>
            <wp:extent cx="5915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-867410</wp:posOffset>
            </wp:positionV>
            <wp:extent cx="5915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-1287780</wp:posOffset>
            </wp:positionV>
            <wp:extent cx="6197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-1570355</wp:posOffset>
            </wp:positionV>
            <wp:extent cx="6197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60"/>
          </w:cols>
          <w:pgMar w:left="320" w:top="904" w:right="819" w:bottom="1440" w:gutter="0" w:footer="0" w:header="0"/>
        </w:sectPr>
      </w:pPr>
    </w:p>
    <w:bookmarkStart w:id="3" w:name="page4"/>
    <w:bookmarkEnd w:id="3"/>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20" w:right="2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8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Kelly Steckelberg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507ED7AB"/>
    <w:multiLevelType w:val="hybridMultilevel"/>
    <w:lvl w:ilvl="0">
      <w:lvlJc w:val="left"/>
      <w:lvlText w:val="%1"/>
      <w:numFmt w:val="decimal"/>
      <w:start w:val="1"/>
    </w:lvl>
    <w:lvl w:ilvl="1">
      <w:lvlJc w:val="left"/>
      <w:lvlText w:val="%2."/>
      <w:numFmt w:val="decimal"/>
      <w:start w:val="8"/>
    </w:lvl>
  </w:abstractNum>
  <w:abstractNum w:abstractNumId="3">
    <w:nsid w:val="2EB141F2"/>
    <w:multiLevelType w:val="hybridMultilevel"/>
    <w:lvl w:ilvl="0">
      <w:lvlJc w:val="left"/>
      <w:lvlText w:val="%1."/>
      <w:numFmt w:val="decimal"/>
      <w:start w:val="9"/>
    </w:lvl>
    <w:lvl w:ilvl="1">
      <w:lvlJc w:val="left"/>
      <w:lvlText w:val="%2"/>
      <w:numFmt w:val="decimal"/>
      <w:start w:val="1"/>
    </w:lvl>
  </w:abstractNum>
  <w:abstractNum w:abstractNumId="4">
    <w:nsid w:val="41B71EFB"/>
    <w:multiLevelType w:val="hybridMultilevel"/>
    <w:lvl w:ilvl="0">
      <w:lvlJc w:val="left"/>
      <w:lvlText w:val="%1"/>
      <w:numFmt w:val="decimal"/>
      <w:start w:val="1"/>
    </w:lvl>
    <w:lvl w:ilvl="1">
      <w:lvlJc w:val="left"/>
      <w:lvlText w:val="%2."/>
      <w:numFmt w:val="decimal"/>
      <w:start w:val="11"/>
    </w:lvl>
  </w:abstractNum>
  <w:abstractNum w:abstractNumId="5">
    <w:nsid w:val="79E2A9E3"/>
    <w:multiLevelType w:val="hybridMultilevel"/>
    <w:lvl w:ilvl="0">
      <w:lvlJc w:val="left"/>
      <w:lvlText w:val="(%1)"/>
      <w:numFmt w:val="decimal"/>
      <w:start w:val="1"/>
    </w:lvl>
    <w:lvl w:ilvl="1">
      <w:lvlJc w:val="left"/>
      <w:lvlText w:val="%2"/>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2023-02-14T05:40:29Z</dcterms:created>
  <dcterms:modified xsi:type="dcterms:W3CDTF">2023-02-14T05:40:29Z</dcterms:modified>
</cp:coreProperties>
</file>