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90170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118110</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97155</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Zoom Video Communications,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86360</wp:posOffset>
            </wp:positionV>
            <wp:extent cx="883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09" w:lineRule="exact"/>
        <w:rPr>
          <w:sz w:val="24"/>
          <w:szCs w:val="24"/>
          <w:color w:val="auto"/>
        </w:rPr>
      </w:pPr>
    </w:p>
    <w:tbl>
      <w:tblPr>
        <w:tblLayout w:type="fixed"/>
        <w:tblInd w:w="500" w:type="dxa"/>
        <w:tblCellMar>
          <w:top w:w="0" w:type="dxa"/>
          <w:left w:w="0" w:type="dxa"/>
          <w:bottom w:w="0" w:type="dxa"/>
          <w:right w:w="0" w:type="dxa"/>
        </w:tblCellMar>
      </w:tblPr>
      <w:tr>
        <w:trPr>
          <w:trHeight w:val="240"/>
        </w:trPr>
        <w:tc>
          <w:tcPr>
            <w:tcW w:w="3060" w:type="dxa"/>
            <w:vAlign w:val="bottom"/>
          </w:tcPr>
          <w:p>
            <w:pPr>
              <w:jc w:val="center"/>
              <w:ind w:right="137"/>
              <w:spacing w:after="0"/>
              <w:rPr>
                <w:sz w:val="20"/>
                <w:szCs w:val="20"/>
                <w:color w:val="auto"/>
              </w:rPr>
            </w:pPr>
            <w:r>
              <w:rPr>
                <w:rFonts w:ascii="Arial" w:cs="Arial" w:eastAsia="Arial" w:hAnsi="Arial"/>
                <w:sz w:val="20"/>
                <w:szCs w:val="20"/>
                <w:b w:val="1"/>
                <w:bCs w:val="1"/>
                <w:color w:val="auto"/>
                <w:w w:val="91"/>
              </w:rPr>
              <w:t>Delaware</w:t>
            </w:r>
          </w:p>
        </w:tc>
        <w:tc>
          <w:tcPr>
            <w:tcW w:w="4740" w:type="dxa"/>
            <w:vAlign w:val="bottom"/>
          </w:tcPr>
          <w:p>
            <w:pPr>
              <w:jc w:val="center"/>
              <w:ind w:right="337"/>
              <w:spacing w:after="0"/>
              <w:rPr>
                <w:sz w:val="20"/>
                <w:szCs w:val="20"/>
                <w:color w:val="auto"/>
              </w:rPr>
            </w:pPr>
            <w:r>
              <w:rPr>
                <w:rFonts w:ascii="Arial" w:cs="Arial" w:eastAsia="Arial" w:hAnsi="Arial"/>
                <w:sz w:val="20"/>
                <w:szCs w:val="20"/>
                <w:b w:val="1"/>
                <w:bCs w:val="1"/>
                <w:color w:val="auto"/>
                <w:w w:val="87"/>
              </w:rPr>
              <w:t>001-38865</w:t>
            </w:r>
          </w:p>
        </w:tc>
        <w:tc>
          <w:tcPr>
            <w:tcW w:w="176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r>
      <w:tr>
        <w:trPr>
          <w:trHeight w:val="149"/>
        </w:trPr>
        <w:tc>
          <w:tcPr>
            <w:tcW w:w="30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4740" w:type="dxa"/>
            <w:vAlign w:val="bottom"/>
          </w:tcPr>
          <w:p>
            <w:pPr>
              <w:spacing w:after="0"/>
              <w:rPr>
                <w:sz w:val="12"/>
                <w:szCs w:val="12"/>
                <w:color w:val="auto"/>
              </w:rPr>
            </w:pPr>
          </w:p>
        </w:tc>
        <w:tc>
          <w:tcPr>
            <w:tcW w:w="1760" w:type="dxa"/>
            <w:vAlign w:val="bottom"/>
          </w:tcPr>
          <w:p>
            <w:pPr>
              <w:jc w:val="center"/>
              <w:ind w:left="60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of Incorporation)</w:t>
            </w:r>
          </w:p>
        </w:tc>
        <w:tc>
          <w:tcPr>
            <w:tcW w:w="4740" w:type="dxa"/>
            <w:vAlign w:val="bottom"/>
          </w:tcPr>
          <w:p>
            <w:pPr>
              <w:jc w:val="center"/>
              <w:ind w:right="337"/>
              <w:spacing w:after="0"/>
              <w:rPr>
                <w:sz w:val="20"/>
                <w:szCs w:val="20"/>
                <w:color w:val="auto"/>
              </w:rPr>
            </w:pPr>
            <w:r>
              <w:rPr>
                <w:rFonts w:ascii="Arial" w:cs="Arial" w:eastAsia="Arial" w:hAnsi="Arial"/>
                <w:sz w:val="14"/>
                <w:szCs w:val="14"/>
                <w:b w:val="1"/>
                <w:bCs w:val="1"/>
                <w:color w:val="auto"/>
                <w:w w:val="87"/>
              </w:rPr>
              <w:t>(Commission File Number)</w:t>
            </w:r>
          </w:p>
        </w:tc>
        <w:tc>
          <w:tcPr>
            <w:tcW w:w="1760" w:type="dxa"/>
            <w:vAlign w:val="bottom"/>
          </w:tcPr>
          <w:p>
            <w:pPr>
              <w:jc w:val="center"/>
              <w:ind w:left="620"/>
              <w:spacing w:after="0"/>
              <w:rPr>
                <w:sz w:val="20"/>
                <w:szCs w:val="20"/>
                <w:color w:val="auto"/>
              </w:rPr>
            </w:pPr>
            <w:r>
              <w:rPr>
                <w:rFonts w:ascii="Arial" w:cs="Arial" w:eastAsia="Arial" w:hAnsi="Arial"/>
                <w:sz w:val="14"/>
                <w:szCs w:val="14"/>
                <w:b w:val="1"/>
                <w:bCs w:val="1"/>
                <w:color w:val="auto"/>
                <w:w w:val="89"/>
              </w:rPr>
              <w:t>Identification No.)</w:t>
            </w:r>
          </w:p>
        </w:tc>
      </w:tr>
      <w:tr>
        <w:trPr>
          <w:trHeight w:val="329"/>
        </w:trPr>
        <w:tc>
          <w:tcPr>
            <w:tcW w:w="3060" w:type="dxa"/>
            <w:vAlign w:val="bottom"/>
          </w:tcPr>
          <w:p>
            <w:pPr>
              <w:jc w:val="center"/>
              <w:ind w:right="157"/>
              <w:spacing w:after="0"/>
              <w:rPr>
                <w:sz w:val="20"/>
                <w:szCs w:val="20"/>
                <w:color w:val="auto"/>
              </w:rPr>
            </w:pPr>
            <w:r>
              <w:rPr>
                <w:rFonts w:ascii="Arial" w:cs="Arial" w:eastAsia="Arial" w:hAnsi="Arial"/>
                <w:sz w:val="20"/>
                <w:szCs w:val="20"/>
                <w:b w:val="1"/>
                <w:bCs w:val="1"/>
                <w:color w:val="auto"/>
                <w:w w:val="91"/>
              </w:rPr>
              <w:t>55 Almaden Boulevard, 6</w:t>
            </w:r>
            <w:r>
              <w:rPr>
                <w:rFonts w:ascii="Arial" w:cs="Arial" w:eastAsia="Arial" w:hAnsi="Arial"/>
                <w:sz w:val="16"/>
                <w:szCs w:val="16"/>
                <w:b w:val="1"/>
                <w:bCs w:val="1"/>
                <w:color w:val="auto"/>
                <w:w w:val="91"/>
              </w:rPr>
              <w:t>th</w:t>
            </w:r>
            <w:r>
              <w:rPr>
                <w:rFonts w:ascii="Arial" w:cs="Arial" w:eastAsia="Arial" w:hAnsi="Arial"/>
                <w:sz w:val="20"/>
                <w:szCs w:val="20"/>
                <w:b w:val="1"/>
                <w:bCs w:val="1"/>
                <w:color w:val="auto"/>
                <w:w w:val="91"/>
              </w:rPr>
              <w:t xml:space="preserve"> Floor</w:t>
            </w:r>
          </w:p>
        </w:tc>
        <w:tc>
          <w:tcPr>
            <w:tcW w:w="4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0"/>
        </w:trPr>
        <w:tc>
          <w:tcPr>
            <w:tcW w:w="3060" w:type="dxa"/>
            <w:vAlign w:val="bottom"/>
          </w:tcPr>
          <w:p>
            <w:pPr>
              <w:jc w:val="center"/>
              <w:ind w:right="157"/>
              <w:spacing w:after="0"/>
              <w:rPr>
                <w:sz w:val="20"/>
                <w:szCs w:val="20"/>
                <w:color w:val="auto"/>
              </w:rPr>
            </w:pPr>
            <w:r>
              <w:rPr>
                <w:rFonts w:ascii="Arial" w:cs="Arial" w:eastAsia="Arial" w:hAnsi="Arial"/>
                <w:sz w:val="20"/>
                <w:szCs w:val="20"/>
                <w:b w:val="1"/>
                <w:bCs w:val="1"/>
                <w:color w:val="auto"/>
                <w:w w:val="88"/>
              </w:rPr>
              <w:t>San Jose, California</w:t>
            </w:r>
          </w:p>
        </w:tc>
        <w:tc>
          <w:tcPr>
            <w:tcW w:w="4740" w:type="dxa"/>
            <w:vAlign w:val="bottom"/>
          </w:tcPr>
          <w:p>
            <w:pPr>
              <w:spacing w:after="0"/>
              <w:rPr>
                <w:sz w:val="20"/>
                <w:szCs w:val="20"/>
                <w:color w:val="auto"/>
              </w:rPr>
            </w:pPr>
          </w:p>
        </w:tc>
        <w:tc>
          <w:tcPr>
            <w:tcW w:w="1760" w:type="dxa"/>
            <w:vAlign w:val="bottom"/>
          </w:tcPr>
          <w:p>
            <w:pPr>
              <w:jc w:val="right"/>
              <w:ind w:right="220"/>
              <w:spacing w:after="0"/>
              <w:rPr>
                <w:sz w:val="20"/>
                <w:szCs w:val="20"/>
                <w:color w:val="auto"/>
              </w:rPr>
            </w:pPr>
            <w:r>
              <w:rPr>
                <w:rFonts w:ascii="Arial" w:cs="Arial" w:eastAsia="Arial" w:hAnsi="Arial"/>
                <w:sz w:val="20"/>
                <w:szCs w:val="20"/>
                <w:b w:val="1"/>
                <w:bCs w:val="1"/>
                <w:color w:val="auto"/>
              </w:rPr>
              <w:t>95113</w:t>
            </w:r>
          </w:p>
        </w:tc>
      </w:tr>
      <w:tr>
        <w:trPr>
          <w:trHeight w:val="174"/>
        </w:trPr>
        <w:tc>
          <w:tcPr>
            <w:tcW w:w="3060" w:type="dxa"/>
            <w:vAlign w:val="bottom"/>
          </w:tcPr>
          <w:p>
            <w:pPr>
              <w:jc w:val="center"/>
              <w:ind w:right="157"/>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740" w:type="dxa"/>
            <w:vAlign w:val="bottom"/>
          </w:tcPr>
          <w:p>
            <w:pPr>
              <w:spacing w:after="0"/>
              <w:rPr>
                <w:sz w:val="15"/>
                <w:szCs w:val="15"/>
                <w:color w:val="auto"/>
              </w:rPr>
            </w:pPr>
          </w:p>
        </w:tc>
        <w:tc>
          <w:tcPr>
            <w:tcW w:w="1760" w:type="dxa"/>
            <w:vAlign w:val="bottom"/>
          </w:tcPr>
          <w:p>
            <w:pPr>
              <w:jc w:val="center"/>
              <w:ind w:left="600"/>
              <w:spacing w:after="0"/>
              <w:rPr>
                <w:sz w:val="20"/>
                <w:szCs w:val="20"/>
                <w:color w:val="auto"/>
              </w:rPr>
            </w:pPr>
            <w:r>
              <w:rPr>
                <w:rFonts w:ascii="Arial" w:cs="Arial" w:eastAsia="Arial" w:hAnsi="Arial"/>
                <w:sz w:val="14"/>
                <w:szCs w:val="14"/>
                <w:b w:val="1"/>
                <w:bCs w:val="1"/>
                <w:color w:val="auto"/>
                <w:w w:val="92"/>
              </w:rPr>
              <w:t>(Zip Code)</w:t>
            </w:r>
          </w:p>
        </w:tc>
      </w:tr>
      <w:tr>
        <w:trPr>
          <w:trHeight w:val="312"/>
        </w:trPr>
        <w:tc>
          <w:tcPr>
            <w:tcW w:w="3060" w:type="dxa"/>
            <w:vAlign w:val="bottom"/>
          </w:tcPr>
          <w:p>
            <w:pPr>
              <w:spacing w:after="0"/>
              <w:rPr>
                <w:sz w:val="24"/>
                <w:szCs w:val="24"/>
                <w:color w:val="auto"/>
              </w:rPr>
            </w:pPr>
          </w:p>
        </w:tc>
        <w:tc>
          <w:tcPr>
            <w:tcW w:w="4740" w:type="dxa"/>
            <w:vAlign w:val="bottom"/>
          </w:tcPr>
          <w:p>
            <w:pPr>
              <w:jc w:val="center"/>
              <w:ind w:right="337"/>
              <w:spacing w:after="0"/>
              <w:rPr>
                <w:sz w:val="20"/>
                <w:szCs w:val="20"/>
                <w:color w:val="auto"/>
              </w:rPr>
            </w:pPr>
            <w:r>
              <w:rPr>
                <w:rFonts w:ascii="Arial" w:cs="Arial" w:eastAsia="Arial" w:hAnsi="Arial"/>
                <w:sz w:val="20"/>
                <w:szCs w:val="20"/>
                <w:b w:val="1"/>
                <w:bCs w:val="1"/>
                <w:color w:val="auto"/>
                <w:w w:val="90"/>
              </w:rPr>
              <w:t>(888) 799-9666</w:t>
            </w:r>
          </w:p>
        </w:tc>
        <w:tc>
          <w:tcPr>
            <w:tcW w:w="1760" w:type="dxa"/>
            <w:vAlign w:val="bottom"/>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4740" w:type="dxa"/>
            <w:vAlign w:val="bottom"/>
          </w:tcPr>
          <w:p>
            <w:pPr>
              <w:jc w:val="center"/>
              <w:ind w:right="35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60" w:type="dxa"/>
            <w:vAlign w:val="bottom"/>
          </w:tcPr>
          <w:p>
            <w:pPr>
              <w:spacing w:after="0"/>
              <w:rPr>
                <w:sz w:val="15"/>
                <w:szCs w:val="15"/>
                <w:color w:val="auto"/>
              </w:rPr>
            </w:pPr>
          </w:p>
        </w:tc>
      </w:tr>
      <w:tr>
        <w:trPr>
          <w:trHeight w:val="312"/>
        </w:trPr>
        <w:tc>
          <w:tcPr>
            <w:tcW w:w="3060" w:type="dxa"/>
            <w:vAlign w:val="bottom"/>
          </w:tcPr>
          <w:p>
            <w:pPr>
              <w:spacing w:after="0"/>
              <w:rPr>
                <w:sz w:val="24"/>
                <w:szCs w:val="24"/>
                <w:color w:val="auto"/>
              </w:rPr>
            </w:pPr>
          </w:p>
        </w:tc>
        <w:tc>
          <w:tcPr>
            <w:tcW w:w="4740" w:type="dxa"/>
            <w:vAlign w:val="bottom"/>
          </w:tcPr>
          <w:p>
            <w:pPr>
              <w:jc w:val="center"/>
              <w:ind w:right="357"/>
              <w:spacing w:after="0"/>
              <w:rPr>
                <w:sz w:val="20"/>
                <w:szCs w:val="20"/>
                <w:color w:val="auto"/>
              </w:rPr>
            </w:pPr>
            <w:r>
              <w:rPr>
                <w:rFonts w:ascii="Arial" w:cs="Arial" w:eastAsia="Arial" w:hAnsi="Arial"/>
                <w:sz w:val="20"/>
                <w:szCs w:val="20"/>
                <w:b w:val="1"/>
                <w:bCs w:val="1"/>
                <w:color w:val="auto"/>
                <w:w w:val="89"/>
              </w:rPr>
              <w:t>Not Applicable</w:t>
            </w:r>
          </w:p>
        </w:tc>
        <w:tc>
          <w:tcPr>
            <w:tcW w:w="1760" w:type="dxa"/>
            <w:vAlign w:val="bottom"/>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4740" w:type="dxa"/>
            <w:vAlign w:val="bottom"/>
          </w:tcPr>
          <w:p>
            <w:pPr>
              <w:jc w:val="center"/>
              <w:ind w:right="357"/>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7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86360</wp:posOffset>
            </wp:positionV>
            <wp:extent cx="883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2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217"/>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r>
        <w:trPr>
          <w:trHeight w:val="60"/>
        </w:trPr>
        <w:tc>
          <w:tcPr>
            <w:tcW w:w="4600" w:type="dxa"/>
            <w:vAlign w:val="bottom"/>
            <w:tcBorders>
              <w:left w:val="single" w:sz="8" w:color="auto"/>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 w:name="page2"/>
    <w:bookmarkEnd w:id="1"/>
    <w:p>
      <w:pPr>
        <w:spacing w:after="0"/>
        <w:tabs>
          <w:tab w:leader="none" w:pos="16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0" w:firstLine="568"/>
        <w:spacing w:after="0" w:line="277" w:lineRule="auto"/>
        <w:rPr>
          <w:sz w:val="20"/>
          <w:szCs w:val="20"/>
          <w:color w:val="auto"/>
        </w:rPr>
      </w:pPr>
      <w:r>
        <w:rPr>
          <w:rFonts w:ascii="Arial" w:cs="Arial" w:eastAsia="Arial" w:hAnsi="Arial"/>
          <w:sz w:val="18"/>
          <w:szCs w:val="18"/>
          <w:color w:val="auto"/>
        </w:rPr>
        <w:t>On June 6, 2019, Zoom Video Communications, Inc. (the “Company”) issued a press release announcing its financial results for the three months ended April 30, 2019. A copy of the press release is furnished as Exhibit 99.1 to this report and is incorporated by reference.</w:t>
      </w:r>
    </w:p>
    <w:p>
      <w:pPr>
        <w:spacing w:after="0" w:line="170" w:lineRule="exact"/>
        <w:rPr>
          <w:sz w:val="20"/>
          <w:szCs w:val="20"/>
          <w:color w:val="auto"/>
        </w:rPr>
      </w:pPr>
    </w:p>
    <w:p>
      <w:pPr>
        <w:ind w:right="100" w:firstLine="568"/>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29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20" w:firstLine="568"/>
        <w:spacing w:after="0" w:line="255"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(www.zoom.com) and the investor relations section of its website (investors.zoom.us). The Company uses these channels, as well as social media, including its blog (blog.zoom.us), its Twitter account (@zoom_us), its LinkedIn page (linkedin.com/company/zoom-video-communications) and its Facebook page (facebook.com/zoomvideocommunications), to communicate with investors and the public about the Company, its products and services and other matters. Therefore, the Company encourages investors, the media and others interested in the Company to review the information it makes public in these locations, as such information could be deemed to be material information.</w:t>
      </w:r>
    </w:p>
    <w:p>
      <w:pPr>
        <w:spacing w:after="0" w:line="29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60" w:hanging="8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169"/>
        </w:trPr>
        <w:tc>
          <w:tcPr>
            <w:tcW w:w="1260" w:type="dxa"/>
            <w:vAlign w:val="bottom"/>
            <w:tcBorders>
              <w:top w:val="single" w:sz="8" w:color="auto"/>
            </w:tcBorders>
          </w:tcPr>
          <w:p>
            <w:pPr>
              <w:jc w:val="right"/>
              <w:ind w:right="370"/>
              <w:spacing w:after="0" w:line="170"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6, 2019 of Zoom Video Communications, Inc.</w:t>
              </w:r>
            </w:hyperlink>
          </w:p>
        </w:tc>
        <w:tc>
          <w:tcPr>
            <w:tcW w:w="20" w:type="dxa"/>
            <w:vAlign w:val="bottom"/>
          </w:tcPr>
          <w:p>
            <w:pPr>
              <w:spacing w:after="0"/>
              <w:rPr>
                <w:sz w:val="14"/>
                <w:szCs w:val="14"/>
                <w:color w:val="auto"/>
              </w:rPr>
            </w:pPr>
          </w:p>
        </w:tc>
      </w:tr>
      <w:tr>
        <w:trPr>
          <w:trHeight w:val="527"/>
        </w:trPr>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120" w:type="dxa"/>
            <w:vAlign w:val="bottom"/>
            <w:tcBorders>
              <w:top w:val="single" w:sz="8" w:color="0000EE"/>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56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242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June 6, 2019</w:t>
            </w:r>
          </w:p>
        </w:tc>
        <w:tc>
          <w:tcPr>
            <w:tcW w:w="3000" w:type="dxa"/>
            <w:vAlign w:val="bottom"/>
          </w:tcPr>
          <w:p>
            <w:pPr>
              <w:ind w:left="24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Steckelberg</w:t>
            </w:r>
          </w:p>
        </w:tc>
      </w:tr>
      <w:tr>
        <w:trPr>
          <w:trHeight w:val="195"/>
        </w:trPr>
        <w:tc>
          <w:tcPr>
            <w:tcW w:w="38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Kelly Steckelberg</w:t>
            </w:r>
          </w:p>
        </w:tc>
      </w:tr>
      <w:tr>
        <w:trPr>
          <w:trHeight w:val="230"/>
        </w:trPr>
        <w:tc>
          <w:tcPr>
            <w:tcW w:w="38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Zoom Video Communications Reports First Quarter Results for Fiscal Year 2020</w:t>
      </w:r>
    </w:p>
    <w:p>
      <w:pPr>
        <w:spacing w:after="0" w:line="199" w:lineRule="exact"/>
        <w:rPr>
          <w:sz w:val="20"/>
          <w:szCs w:val="20"/>
          <w:color w:val="auto"/>
        </w:rPr>
      </w:pPr>
    </w:p>
    <w:p>
      <w:pPr>
        <w:ind w:left="880" w:hanging="440"/>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First quarter total revenue of $122 million, up 103% year-over-year</w:t>
      </w:r>
    </w:p>
    <w:p>
      <w:pPr>
        <w:spacing w:after="0" w:line="84" w:lineRule="exact"/>
        <w:rPr>
          <w:rFonts w:ascii="Arial" w:cs="Arial" w:eastAsia="Arial" w:hAnsi="Arial"/>
          <w:sz w:val="22"/>
          <w:szCs w:val="22"/>
          <w:color w:val="auto"/>
        </w:rPr>
      </w:pPr>
    </w:p>
    <w:p>
      <w:pPr>
        <w:ind w:left="880" w:hanging="440"/>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Customers contributing more than $100,000 in TTM revenue, up 120% year-over-year</w:t>
      </w:r>
    </w:p>
    <w:p>
      <w:pPr>
        <w:spacing w:after="0" w:line="187" w:lineRule="exact"/>
        <w:rPr>
          <w:sz w:val="20"/>
          <w:szCs w:val="20"/>
          <w:color w:val="auto"/>
        </w:rPr>
      </w:pPr>
    </w:p>
    <w:p>
      <w:pPr>
        <w:ind w:right="600"/>
        <w:spacing w:after="0" w:line="256" w:lineRule="auto"/>
        <w:rPr>
          <w:sz w:val="20"/>
          <w:szCs w:val="20"/>
          <w:color w:val="auto"/>
        </w:rPr>
      </w:pPr>
      <w:r>
        <w:rPr>
          <w:rFonts w:ascii="Arial" w:cs="Arial" w:eastAsia="Arial" w:hAnsi="Arial"/>
          <w:sz w:val="22"/>
          <w:szCs w:val="22"/>
          <w:b w:val="1"/>
          <w:bCs w:val="1"/>
          <w:color w:val="auto"/>
        </w:rPr>
        <w:t xml:space="preserve">San Jose, California </w:t>
      </w:r>
      <w:r>
        <w:rPr>
          <w:rFonts w:ascii="Arial" w:cs="Arial" w:eastAsia="Arial" w:hAnsi="Arial"/>
          <w:sz w:val="22"/>
          <w:szCs w:val="22"/>
          <w:color w:val="auto"/>
        </w:rPr>
        <w:t>– June 6, 2019 – Zoom Video Communications, Inc. (NASDAQ: ZM), a provider of video-first unified</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today announced financial results for the three months ended April 30, 2019.</w:t>
      </w:r>
    </w:p>
    <w:p>
      <w:pPr>
        <w:spacing w:after="0" w:line="142" w:lineRule="exact"/>
        <w:rPr>
          <w:sz w:val="20"/>
          <w:szCs w:val="20"/>
          <w:color w:val="auto"/>
        </w:rPr>
      </w:pPr>
    </w:p>
    <w:p>
      <w:pPr>
        <w:jc w:val="both"/>
        <w:ind w:right="160"/>
        <w:spacing w:after="0" w:line="252" w:lineRule="auto"/>
        <w:rPr>
          <w:sz w:val="20"/>
          <w:szCs w:val="20"/>
          <w:color w:val="auto"/>
        </w:rPr>
      </w:pPr>
      <w:r>
        <w:rPr>
          <w:rFonts w:ascii="Arial" w:cs="Arial" w:eastAsia="Arial" w:hAnsi="Arial"/>
          <w:sz w:val="21"/>
          <w:szCs w:val="21"/>
          <w:color w:val="auto"/>
        </w:rPr>
        <w:t>“In our first quarter as a public company, strong execution and expanding adoption of Zoom’s video-first unified communications platform drove total revenue growth of 103% year-over-year. While we remain focused on strong growth, we are also pleased that our highly efficient business model and disciplined investment approach contributed to positive non-GAAP profitability and free cash flow,” stated Eric S. Yuan, president and chief executive officer of Zoom.</w:t>
      </w:r>
    </w:p>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Yuan added, “Delivering happiness to our customers is our number one priority. If we keep them happy, we believe we will succeed today and in the future. We also believe that customers continue to view Zoom as a trusted, strategic partner for high-quality, reliable, frictionless communications to build relationships, increase their speed of business, and grow team productivity and engagement. In turn, we view our customers as valued partners as they share their positive experience of Zoom with others.”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Fiscal 2020 Financial Highlights:</w:t>
      </w:r>
    </w:p>
    <w:p>
      <w:pPr>
        <w:spacing w:after="0" w:line="71" w:lineRule="exact"/>
        <w:rPr>
          <w:sz w:val="20"/>
          <w:szCs w:val="20"/>
          <w:color w:val="auto"/>
        </w:rPr>
      </w:pPr>
    </w:p>
    <w:p>
      <w:pPr>
        <w:ind w:left="880" w:hanging="440"/>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Revenue</w:t>
      </w:r>
      <w:r>
        <w:rPr>
          <w:rFonts w:ascii="Arial" w:cs="Arial" w:eastAsia="Arial" w:hAnsi="Arial"/>
          <w:sz w:val="22"/>
          <w:szCs w:val="22"/>
          <w:color w:val="auto"/>
        </w:rPr>
        <w:t>: Total revenue for the quarter was $122.0 million, up 103% year-over-year.</w:t>
      </w:r>
    </w:p>
    <w:p>
      <w:pPr>
        <w:spacing w:after="0" w:line="84" w:lineRule="exact"/>
        <w:rPr>
          <w:rFonts w:ascii="Arial" w:cs="Arial" w:eastAsia="Arial" w:hAnsi="Arial"/>
          <w:sz w:val="22"/>
          <w:szCs w:val="22"/>
          <w:color w:val="auto"/>
        </w:rPr>
      </w:pPr>
    </w:p>
    <w:p>
      <w:pPr>
        <w:ind w:left="880" w:right="180" w:hanging="440"/>
        <w:spacing w:after="0" w:line="237"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Operating Income and Operating Margin</w:t>
      </w:r>
      <w:r>
        <w:rPr>
          <w:rFonts w:ascii="Arial" w:cs="Arial" w:eastAsia="Arial" w:hAnsi="Arial"/>
          <w:sz w:val="22"/>
          <w:szCs w:val="22"/>
          <w:color w:val="auto"/>
        </w:rPr>
        <w:t>: GAAP income from operations for the first quarter was $1.6 million, up</w:t>
      </w:r>
      <w:r>
        <w:rPr>
          <w:rFonts w:ascii="Arial" w:cs="Arial" w:eastAsia="Arial" w:hAnsi="Arial"/>
          <w:sz w:val="22"/>
          <w:szCs w:val="22"/>
          <w:b w:val="1"/>
          <w:bCs w:val="1"/>
          <w:color w:val="auto"/>
        </w:rPr>
        <w:t xml:space="preserve"> </w:t>
      </w:r>
      <w:r>
        <w:rPr>
          <w:rFonts w:ascii="Arial" w:cs="Arial" w:eastAsia="Arial" w:hAnsi="Arial"/>
          <w:sz w:val="22"/>
          <w:szCs w:val="22"/>
          <w:color w:val="auto"/>
        </w:rPr>
        <w:t>from a loss from operations of $1.7 million in the first quarter of fiscal 2019. After adjusting for non-cash, stock-based compensation expense, non-GAAP income from operations for the first quarter was $8.2 million, up from a non-GAAP loss from operations of $0.8 million in the first quarter of fiscal 2019. For the first quarter, GAAP operating margin was 1.3% and non-GAAP operating margin was 6.7%.</w:t>
      </w:r>
    </w:p>
    <w:p>
      <w:pPr>
        <w:spacing w:after="0" w:line="60" w:lineRule="exact"/>
        <w:rPr>
          <w:rFonts w:ascii="Arial" w:cs="Arial" w:eastAsia="Arial" w:hAnsi="Arial"/>
          <w:sz w:val="22"/>
          <w:szCs w:val="22"/>
          <w:color w:val="auto"/>
        </w:rPr>
      </w:pPr>
    </w:p>
    <w:p>
      <w:pPr>
        <w:ind w:left="880" w:right="220" w:hanging="440"/>
        <w:spacing w:after="0" w:line="243"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Net Income (Loss) and Net Income (Loss) Per Share</w:t>
      </w:r>
      <w:r>
        <w:rPr>
          <w:rFonts w:ascii="Arial" w:cs="Arial" w:eastAsia="Arial" w:hAnsi="Arial"/>
          <w:sz w:val="22"/>
          <w:szCs w:val="22"/>
          <w:color w:val="auto"/>
        </w:rPr>
        <w:t>: GAAP net income attributable to common stockholders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was $0.2 million, or $0.00 per share, compared to GAAP net loss attributable to common stockholders of $1.3 million, or a loss of $0.02 per share in the first quarter of fiscal 2019.</w:t>
      </w:r>
    </w:p>
    <w:p>
      <w:pPr>
        <w:spacing w:after="0" w:line="61" w:lineRule="exact"/>
        <w:rPr>
          <w:rFonts w:ascii="Arial" w:cs="Arial" w:eastAsia="Arial" w:hAnsi="Arial"/>
          <w:sz w:val="22"/>
          <w:szCs w:val="22"/>
          <w:color w:val="auto"/>
        </w:rPr>
      </w:pPr>
    </w:p>
    <w:p>
      <w:pPr>
        <w:ind w:left="880" w:right="80"/>
        <w:spacing w:after="0" w:line="252" w:lineRule="auto"/>
        <w:rPr>
          <w:rFonts w:ascii="Arial" w:cs="Arial" w:eastAsia="Arial" w:hAnsi="Arial"/>
          <w:sz w:val="22"/>
          <w:szCs w:val="22"/>
          <w:color w:val="auto"/>
        </w:rPr>
      </w:pPr>
      <w:r>
        <w:rPr>
          <w:rFonts w:ascii="Arial" w:cs="Arial" w:eastAsia="Arial" w:hAnsi="Arial"/>
          <w:sz w:val="21"/>
          <w:szCs w:val="21"/>
          <w:color w:val="auto"/>
        </w:rPr>
        <w:t>Non-GAAP net income for the quarter was $8.9 million, after adjusting for non-cash, stock-based compensation expense and undistributed earnings attributable to participating securities. Non-GAAP net income per share was $0.03, as compared to non-GAAP net loss of $0.5 million, or a loss of $0.00 per share in the year ago quarter. The non-GAAP weighted average share count has been adjusted to reflect the common stock issued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ind w:left="880" w:right="200"/>
        <w:spacing w:after="0" w:line="308" w:lineRule="auto"/>
        <w:rPr>
          <w:sz w:val="20"/>
          <w:szCs w:val="20"/>
          <w:color w:val="auto"/>
        </w:rPr>
      </w:pPr>
      <w:r>
        <w:rPr>
          <w:rFonts w:ascii="Arial" w:cs="Arial" w:eastAsia="Arial" w:hAnsi="Arial"/>
          <w:sz w:val="19"/>
          <w:szCs w:val="19"/>
          <w:color w:val="auto"/>
        </w:rPr>
        <w:t>connection with the Initial Public Offering (IPO), including the concurrent private placement, that are outstanding as of the end of the period as if they were outstanding as of the beginning of the period for comparability.</w:t>
      </w:r>
    </w:p>
    <w:p>
      <w:pPr>
        <w:ind w:left="880" w:hanging="440"/>
        <w:spacing w:after="0"/>
        <w:tabs>
          <w:tab w:leader="none" w:pos="88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Cash</w:t>
      </w:r>
      <w:r>
        <w:rPr>
          <w:rFonts w:ascii="Arial" w:cs="Arial" w:eastAsia="Arial" w:hAnsi="Arial"/>
          <w:sz w:val="19"/>
          <w:szCs w:val="19"/>
          <w:color w:val="auto"/>
        </w:rPr>
        <w:t>: Total cash, cash equivalents, and marketable securities as of April 30, 2019 was $737.2 million and included</w:t>
      </w:r>
    </w:p>
    <w:p>
      <w:pPr>
        <w:spacing w:after="0" w:line="48" w:lineRule="exact"/>
        <w:rPr>
          <w:rFonts w:ascii="Arial" w:cs="Arial" w:eastAsia="Arial" w:hAnsi="Arial"/>
          <w:sz w:val="19"/>
          <w:szCs w:val="19"/>
          <w:color w:val="auto"/>
        </w:rPr>
      </w:pPr>
    </w:p>
    <w:p>
      <w:pPr>
        <w:ind w:left="880"/>
        <w:spacing w:after="0" w:line="237" w:lineRule="auto"/>
        <w:rPr>
          <w:rFonts w:ascii="Arial" w:cs="Arial" w:eastAsia="Arial" w:hAnsi="Arial"/>
          <w:sz w:val="19"/>
          <w:szCs w:val="19"/>
          <w:color w:val="auto"/>
        </w:rPr>
      </w:pPr>
      <w:r>
        <w:rPr>
          <w:rFonts w:ascii="Arial" w:cs="Arial" w:eastAsia="Arial" w:hAnsi="Arial"/>
          <w:sz w:val="22"/>
          <w:szCs w:val="22"/>
          <w:color w:val="auto"/>
        </w:rPr>
        <w:t>$543.5 million in proceeds from the IPO and private placement, net of underwriting discounts and commissions and other offering costs.</w:t>
      </w:r>
    </w:p>
    <w:p>
      <w:pPr>
        <w:spacing w:after="0" w:line="57" w:lineRule="exact"/>
        <w:rPr>
          <w:rFonts w:ascii="Arial" w:cs="Arial" w:eastAsia="Arial" w:hAnsi="Arial"/>
          <w:sz w:val="19"/>
          <w:szCs w:val="19"/>
          <w:color w:val="auto"/>
        </w:rPr>
      </w:pPr>
    </w:p>
    <w:p>
      <w:pPr>
        <w:ind w:left="880" w:right="80" w:hanging="440"/>
        <w:spacing w:after="0" w:line="243"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Cash Flow</w:t>
      </w:r>
      <w:r>
        <w:rPr>
          <w:rFonts w:ascii="Arial" w:cs="Arial" w:eastAsia="Arial" w:hAnsi="Arial"/>
          <w:sz w:val="22"/>
          <w:szCs w:val="22"/>
          <w:color w:val="auto"/>
        </w:rPr>
        <w:t>: Net cash provided by operating activities was $22.2 million for the first quarter, compared to $2.8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quarter of fiscal 2019. Free cash flow was positive $15.3 million, compared to negative $1.1 million in the first quarter of fiscal 2019.</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 xml:space="preserve">Customer Metrics: </w:t>
      </w:r>
      <w:r>
        <w:rPr>
          <w:rFonts w:ascii="Arial" w:cs="Arial" w:eastAsia="Arial" w:hAnsi="Arial"/>
          <w:sz w:val="22"/>
          <w:szCs w:val="22"/>
          <w:color w:val="auto"/>
        </w:rPr>
        <w:t>Drivers of total revenue include acquiring new customers and expanding across existing customers. At the end</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first quarter of fiscal 2020, Zoom had:</w:t>
      </w:r>
    </w:p>
    <w:p>
      <w:pPr>
        <w:spacing w:after="0" w:line="47"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9"/>
          <w:szCs w:val="19"/>
          <w:color w:val="auto"/>
        </w:rPr>
      </w:pPr>
      <w:r>
        <w:rPr>
          <w:rFonts w:ascii="Arial" w:cs="Arial" w:eastAsia="Arial" w:hAnsi="Arial"/>
          <w:sz w:val="19"/>
          <w:szCs w:val="19"/>
          <w:color w:val="auto"/>
        </w:rPr>
        <w:t>Approximately 58,500 customers with more than 10 employees, up approximately 86% from the same quarter last year.</w:t>
      </w:r>
    </w:p>
    <w:p>
      <w:pPr>
        <w:spacing w:after="0" w:line="119" w:lineRule="exact"/>
        <w:rPr>
          <w:rFonts w:ascii="Arial" w:cs="Arial" w:eastAsia="Arial" w:hAnsi="Arial"/>
          <w:sz w:val="19"/>
          <w:szCs w:val="19"/>
          <w:color w:val="auto"/>
        </w:rPr>
      </w:pPr>
    </w:p>
    <w:p>
      <w:pPr>
        <w:ind w:left="880" w:right="300" w:hanging="440"/>
        <w:spacing w:after="0" w:line="251" w:lineRule="auto"/>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405 customers contributing more than $100,000 in trailing 12 months revenue, up approximately 120% from the same quarter last year.</w:t>
      </w:r>
    </w:p>
    <w:p>
      <w:pPr>
        <w:spacing w:after="0" w:line="51" w:lineRule="exact"/>
        <w:rPr>
          <w:rFonts w:ascii="Arial" w:cs="Arial" w:eastAsia="Arial" w:hAnsi="Arial"/>
          <w:sz w:val="22"/>
          <w:szCs w:val="22"/>
          <w:color w:val="auto"/>
        </w:rPr>
      </w:pPr>
    </w:p>
    <w:p>
      <w:pPr>
        <w:ind w:left="880" w:right="620" w:hanging="440"/>
        <w:spacing w:after="0" w:line="251" w:lineRule="auto"/>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trailing 12-month net dollar expansion rate in customers with greater than 10 employees above 130% for the 4th consecutive quarter.</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Financial Outlook: </w:t>
      </w:r>
      <w:r>
        <w:rPr>
          <w:rFonts w:ascii="Arial" w:cs="Arial" w:eastAsia="Arial" w:hAnsi="Arial"/>
          <w:sz w:val="21"/>
          <w:szCs w:val="21"/>
          <w:color w:val="auto"/>
        </w:rPr>
        <w:t>Zoom is providing the following guidance for its second quarter fiscal 2020 and its full year fiscal 2020.</w:t>
      </w:r>
    </w:p>
    <w:p>
      <w:pPr>
        <w:spacing w:after="0" w:line="102" w:lineRule="exact"/>
        <w:rPr>
          <w:sz w:val="20"/>
          <w:szCs w:val="20"/>
          <w:color w:val="auto"/>
        </w:rPr>
      </w:pPr>
    </w:p>
    <w:p>
      <w:pPr>
        <w:ind w:left="880" w:right="260" w:hanging="440"/>
        <w:spacing w:after="0" w:line="297" w:lineRule="auto"/>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Second Quarter Fiscal 2020: Total revenue is expected to be between $129 million and $130 million and non-GAAP income from operations is expected to be between $2.0 million and $3.0 million. Q2 non-GAAP EPS is expected to be approximately $0.01 to $0.02 with approximately 301 million non-GAAP weighted average shares outstanding.</w:t>
      </w:r>
    </w:p>
    <w:p>
      <w:pPr>
        <w:spacing w:after="0" w:line="12" w:lineRule="exact"/>
        <w:rPr>
          <w:rFonts w:ascii="Arial" w:cs="Arial" w:eastAsia="Arial" w:hAnsi="Arial"/>
          <w:sz w:val="19"/>
          <w:szCs w:val="19"/>
          <w:color w:val="auto"/>
        </w:rPr>
      </w:pPr>
    </w:p>
    <w:p>
      <w:pPr>
        <w:ind w:left="880" w:right="160" w:hanging="440"/>
        <w:spacing w:after="0" w:line="297" w:lineRule="auto"/>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Full Year Fiscal 2020: Total revenue is expected to be between $535 million and $540 million and non-GAAP income (loss) from operations is expected to be between $0.0 million and $3.0 million. Full year non-GAAP EPS is expected to be approximately $0.02 to $0.03 with approximately 301 million non-GAAP weighted average shares outstanding.</w:t>
      </w:r>
    </w:p>
    <w:p>
      <w:pPr>
        <w:spacing w:after="0" w:line="121" w:lineRule="exact"/>
        <w:rPr>
          <w:sz w:val="20"/>
          <w:szCs w:val="20"/>
          <w:color w:val="auto"/>
        </w:rPr>
      </w:pPr>
    </w:p>
    <w:p>
      <w:pPr>
        <w:jc w:val="both"/>
        <w:ind w:right="300"/>
        <w:spacing w:after="0" w:line="238" w:lineRule="auto"/>
        <w:rPr>
          <w:sz w:val="20"/>
          <w:szCs w:val="20"/>
          <w:color w:val="auto"/>
        </w:rPr>
      </w:pPr>
      <w:r>
        <w:rPr>
          <w:rFonts w:ascii="Arial" w:cs="Arial" w:eastAsia="Arial" w:hAnsi="Arial"/>
          <w:sz w:val="22"/>
          <w:szCs w:val="22"/>
          <w:color w:val="auto"/>
        </w:rPr>
        <w:t>Additional information on Zoom's reported results, including a reconciliation of the non-GAAP results to their most comparable GAAP measures, are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2" w:right="259" w:bottom="1440" w:gutter="0" w:footer="0" w:header="0"/>
        </w:sectPr>
      </w:pPr>
    </w:p>
    <w:bookmarkStart w:id="5" w:name="page6"/>
    <w:bookmarkEnd w:id="5"/>
    <w:p>
      <w:pPr>
        <w:ind w:right="840"/>
        <w:spacing w:after="0" w:line="251" w:lineRule="auto"/>
        <w:rPr>
          <w:sz w:val="20"/>
          <w:szCs w:val="20"/>
          <w:color w:val="auto"/>
        </w:rPr>
      </w:pPr>
      <w:r>
        <w:rPr>
          <w:rFonts w:ascii="Arial" w:cs="Arial" w:eastAsia="Arial" w:hAnsi="Arial"/>
          <w:sz w:val="22"/>
          <w:szCs w:val="22"/>
          <w:color w:val="auto"/>
        </w:rPr>
        <w:t>A supplemental financial presentation and other information can be accessed through Zoom’s investor relations website at investors.zoom.us.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Zoom Video Earnings Call</w:t>
      </w:r>
    </w:p>
    <w:p>
      <w:pPr>
        <w:spacing w:after="0" w:line="91"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 xml:space="preserve">Zoom will host a Zoom Video Webinar for investors on June 6, 2019 at 2:00 p.m. Pacific Time / 5:00 p.m. Eastern Time to discuss the company’s financial results and business highlights. Investors are invited to join the Zoom Video Webinar by visiting: </w:t>
      </w:r>
      <w:r>
        <w:rPr>
          <w:rFonts w:ascii="Arial" w:cs="Arial" w:eastAsia="Arial" w:hAnsi="Arial"/>
          <w:sz w:val="22"/>
          <w:szCs w:val="22"/>
          <w:u w:val="single" w:color="auto"/>
          <w:color w:val="1155CC"/>
        </w:rPr>
        <w:t>https://investors.zoom.us/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Zoom</w:t>
      </w:r>
    </w:p>
    <w:p>
      <w:pPr>
        <w:spacing w:after="0" w:line="77" w:lineRule="exact"/>
        <w:rPr>
          <w:sz w:val="20"/>
          <w:szCs w:val="20"/>
          <w:color w:val="auto"/>
        </w:rPr>
      </w:pPr>
    </w:p>
    <w:p>
      <w:pPr>
        <w:jc w:val="both"/>
        <w:ind w:right="520"/>
        <w:spacing w:after="0"/>
        <w:rPr>
          <w:sz w:val="20"/>
          <w:szCs w:val="20"/>
          <w:color w:val="auto"/>
        </w:rPr>
      </w:pPr>
      <w:r>
        <w:rPr>
          <w:rFonts w:ascii="Arial" w:cs="Arial" w:eastAsia="Arial" w:hAnsi="Arial"/>
          <w:sz w:val="22"/>
          <w:szCs w:val="22"/>
          <w:color w:val="auto"/>
        </w:rPr>
        <w:t>Zoom helps businesses and organizations bring their teams together in a frictionless environment to get more done. Our easy, reliable cloud platform for video, voice, content sharing, and chat runs across mobile devices, desktops, telephones, and room systems. Zoom is headquartered in San Jose, CA.</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9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market size and growth strategy, our reputation in the market, our estimated and projected costs, margins, revenue, expenditures and growth rates, our future results of operations or financial condition,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would be harmed by any decline in new customers and hosts,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6" w:name="page7"/>
    <w:bookmarkEnd w:id="6"/>
    <w:p>
      <w:pPr>
        <w:ind w:right="240"/>
        <w:spacing w:after="0" w:line="287" w:lineRule="auto"/>
        <w:rPr>
          <w:sz w:val="20"/>
          <w:szCs w:val="20"/>
          <w:color w:val="auto"/>
        </w:rPr>
      </w:pPr>
      <w:r>
        <w:rPr>
          <w:rFonts w:ascii="Arial" w:cs="Arial" w:eastAsia="Arial" w:hAnsi="Arial"/>
          <w:sz w:val="19"/>
          <w:szCs w:val="19"/>
          <w:color w:val="auto"/>
        </w:rPr>
        <w:t>prospectus filed with the SEC pursuant to Rule 424(b)(4) dated April 17, 2019.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174"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Non-GAAP Income (Loss) From Operations. Zoom defines non-GAAP income (loss) from operations as income (loss) from operations excluding stock-based compensation expense.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w:t>
      </w:r>
    </w:p>
    <w:p>
      <w:pPr>
        <w:spacing w:after="0" w:line="130"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Non-GAAP Net Income (Loss) and Non-GAAP Net Income (Loss) Per Share, Basic and Diluted. Zoom defines non-GAAP net income (loss) and non-GAAP net income (loss) per share, basic and diluted, as GAAP net income (loss) attributable to common stockholders and GAAP net income (loss) per share attributable to common stockholders, basic and diluted, respectively, adjusted to exclude stock-based compensation expense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2" w:right="259" w:bottom="1440" w:gutter="0" w:footer="0" w:header="0"/>
        </w:sectPr>
      </w:pPr>
    </w:p>
    <w:bookmarkStart w:id="7" w:name="page8"/>
    <w:bookmarkEnd w:id="7"/>
    <w:p>
      <w:pPr>
        <w:ind w:right="100"/>
        <w:spacing w:after="0" w:line="282" w:lineRule="auto"/>
        <w:rPr>
          <w:sz w:val="20"/>
          <w:szCs w:val="20"/>
          <w:color w:val="auto"/>
        </w:rPr>
      </w:pPr>
      <w:r>
        <w:rPr>
          <w:rFonts w:ascii="Arial" w:cs="Arial" w:eastAsia="Arial" w:hAnsi="Arial"/>
          <w:sz w:val="19"/>
          <w:szCs w:val="19"/>
          <w:color w:val="auto"/>
        </w:rPr>
        <w:t>In order to calculate non-GAAP net income (loss) per share, basic and diluted, Zoom uses a non-GAAP weighted-average share count. Zoom defines non-GAAP weighted-average shares used to compute non-GAAP net income (loss) per share, basic and diluted, as GAAP weighted average shares used to compute net income (loss)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12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 Metrics</w:t>
      </w:r>
    </w:p>
    <w:p>
      <w:pPr>
        <w:spacing w:after="0" w:line="91"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Zoom defines a customer as a separate and distinct buying entity, which can be a single paid host or an organization of any size (including a distinct unit of an organization) that has multiple paid hosts.</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Zoom calculates net dollar expansion rate as of a period end by starting with the annual recurring revenue (ARR) from all customers with more than 10 employees as of 12 months prior (Prior Period ARR). Zoom defines ARR as the annualized revenue run-rate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Relations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Priscilla Barolo</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Manager, Communications for Zoom</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press@zoom.com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Tom McCallum</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Head of Investor Relations for Zoom</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408.675.6738</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investors@zoom.com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right"/>
              <w:ind w:right="780"/>
              <w:spacing w:after="0" w:line="133" w:lineRule="exact"/>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ind w:right="331"/>
              <w:spacing w:after="0" w:line="133"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629,793</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107,389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Deferred contract acquisition costs, current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866,340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Deferred contract acquisition costs, non-current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non-current</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999,052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354,565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9,678</w:t>
            </w:r>
          </w:p>
        </w:tc>
        <w:tc>
          <w:tcPr>
            <w:tcW w:w="28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 current</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non-current</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742,388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(22,939)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1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50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121,988</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 net</w:t>
            </w: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(loss) before provision for income taxes</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3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gridSpan w:val="2"/>
            <w:vMerge w:val="continue"/>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income (loss) per share</w:t>
            </w:r>
          </w:p>
        </w:tc>
        <w:tc>
          <w:tcPr>
            <w:tcW w:w="13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attributable to common stockholders:</w:t>
            </w:r>
          </w:p>
        </w:tc>
        <w:tc>
          <w:tcPr>
            <w:tcW w:w="1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13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109,708,898</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80,623,861</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136,428,379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80,623,861</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Three Months Ended</w:t>
      </w:r>
    </w:p>
    <w:p>
      <w:pPr>
        <w:jc w:val="center"/>
        <w:ind w:left="76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income (loss)</w:t>
            </w:r>
          </w:p>
        </w:tc>
        <w:tc>
          <w:tcPr>
            <w:tcW w:w="23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2,214</w:t>
            </w:r>
          </w:p>
        </w:tc>
        <w:tc>
          <w:tcPr>
            <w:tcW w:w="30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9"/>
                <w:szCs w:val="19"/>
                <w:color w:val="auto"/>
              </w:rPr>
            </w:pPr>
          </w:p>
        </w:tc>
      </w:tr>
      <w:tr>
        <w:trPr>
          <w:trHeight w:val="21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1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contract acquisition costs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Amortization of operating lease right-of-use asset</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Provision for accounts receivable allowances</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4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(16,103)</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(13,359)</w:t>
            </w:r>
          </w:p>
        </w:tc>
        <w:tc>
          <w:tcPr>
            <w:tcW w:w="20" w:type="dxa"/>
            <w:vAlign w:val="bottom"/>
          </w:tcPr>
          <w:p>
            <w:pPr>
              <w:spacing w:after="0"/>
              <w:rPr>
                <w:sz w:val="21"/>
                <w:szCs w:val="21"/>
                <w:color w:val="auto"/>
              </w:rPr>
            </w:pPr>
          </w:p>
        </w:tc>
      </w:tr>
      <w:tr>
        <w:trPr>
          <w:trHeight w:val="243"/>
        </w:trPr>
        <w:tc>
          <w:tcPr>
            <w:tcW w:w="64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(8,617)</w:t>
            </w:r>
          </w:p>
        </w:tc>
        <w:tc>
          <w:tcPr>
            <w:tcW w:w="3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contract acquisition costs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(14,434)</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(9,121)</w:t>
            </w:r>
          </w:p>
        </w:tc>
        <w:tc>
          <w:tcPr>
            <w:tcW w:w="20" w:type="dxa"/>
            <w:vAlign w:val="bottom"/>
          </w:tcPr>
          <w:p>
            <w:pPr>
              <w:spacing w:after="0"/>
              <w:rPr>
                <w:sz w:val="21"/>
                <w:szCs w:val="21"/>
                <w:color w:val="auto"/>
              </w:rPr>
            </w:pPr>
          </w:p>
        </w:tc>
      </w:tr>
      <w:tr>
        <w:trPr>
          <w:trHeight w:val="243"/>
        </w:trPr>
        <w:tc>
          <w:tcPr>
            <w:tcW w:w="64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23,557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 net</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642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(23,312)</w:t>
            </w:r>
          </w:p>
        </w:tc>
        <w:tc>
          <w:tcPr>
            <w:tcW w:w="38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(15,500)</w:t>
            </w:r>
          </w:p>
        </w:tc>
        <w:tc>
          <w:tcPr>
            <w:tcW w:w="2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(6,897)</w:t>
            </w:r>
          </w:p>
        </w:tc>
        <w:tc>
          <w:tcPr>
            <w:tcW w:w="3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20" w:type="dxa"/>
            <w:vAlign w:val="bottom"/>
          </w:tcPr>
          <w:p>
            <w:pPr>
              <w:spacing w:after="0"/>
              <w:rPr>
                <w:sz w:val="19"/>
                <w:szCs w:val="19"/>
                <w:color w:val="auto"/>
              </w:rPr>
            </w:pPr>
          </w:p>
        </w:tc>
      </w:tr>
      <w:tr>
        <w:trPr>
          <w:trHeight w:val="223"/>
        </w:trPr>
        <w:tc>
          <w:tcPr>
            <w:tcW w:w="64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initial public offering and private placement, net of</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underwriting discounts and commissions and other offering costs</w:t>
            </w:r>
          </w:p>
        </w:tc>
        <w:tc>
          <w:tcPr>
            <w:tcW w:w="1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543,471</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 net of repurchases</w:t>
            </w: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capital lease obligations</w:t>
            </w:r>
          </w:p>
        </w:tc>
        <w:tc>
          <w:tcPr>
            <w:tcW w:w="1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r>
      <w:tr>
        <w:trPr>
          <w:trHeight w:val="223"/>
        </w:trPr>
        <w:tc>
          <w:tcPr>
            <w:tcW w:w="64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545,252</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566,169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13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65,968</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13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632,137</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6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8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GAAP income (loss) from operations</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Non-GAAP income (loss) from operations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GAAP net income (loss) attributable to common stockholders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Non-GAAP net income (loss)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GAAP net income (loss) per share - basic and diluted: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GAAP net income (loss) per share - basic</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GAAP net income (loss) per share -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Non-GAAP net income (loss) per share - basic</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40"/>
              <w:spacing w:after="0"/>
              <w:rPr>
                <w:sz w:val="20"/>
                <w:szCs w:val="20"/>
                <w:color w:val="auto"/>
              </w:rPr>
            </w:pPr>
            <w:r>
              <w:rPr>
                <w:rFonts w:ascii="Arial" w:cs="Arial" w:eastAsia="Arial" w:hAnsi="Arial"/>
                <w:sz w:val="18"/>
                <w:szCs w:val="18"/>
                <w:color w:val="auto"/>
              </w:rPr>
              <w:t>Non-GAAP net income (loss) per share - diluted</w:t>
            </w: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GAAP weighted-average shares used to compute net income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per share - basic</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109,708,898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80,623,861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Non-GAAP unweighted adjustment for common stock issued in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connection with IPO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153,728,601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152,665,804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Non-GAAP weighted-average shares used to compute net income (loss)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per share - basic</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263,437,499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233,289,665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GAAP weighted-average shares used to compute net income (loss)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 share - diluted</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136,428,379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80,623,861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Non-GAAP unweighted adjustment for common stock issued in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connection with IPO</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153,728,601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152,665,804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gridSpan w:val="2"/>
          </w:tcPr>
          <w:p>
            <w:pPr>
              <w:spacing w:after="0"/>
              <w:rPr>
                <w:sz w:val="20"/>
                <w:szCs w:val="20"/>
                <w:color w:val="auto"/>
              </w:rPr>
            </w:pPr>
            <w:r>
              <w:rPr>
                <w:rFonts w:ascii="Arial" w:cs="Arial" w:eastAsia="Arial" w:hAnsi="Arial"/>
                <w:sz w:val="18"/>
                <w:szCs w:val="18"/>
                <w:color w:val="auto"/>
              </w:rPr>
              <w:t>Non-GAAP weighted-average shares used to compute net income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per share - diluted</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290,156,980</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233,289,665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22,236</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gridSpan w:val="2"/>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545,252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2019-12-28T11:10:56Z</dcterms:created>
  <dcterms:modified xsi:type="dcterms:W3CDTF">2019-12-28T11:10:56Z</dcterms:modified>
</cp:coreProperties>
</file>