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325755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Zoom Video Communications,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CUSIP No. 98980L101</w:t>
            </w:r>
          </w:p>
        </w:tc>
        <w:tc>
          <w:tcPr>
            <w:tcW w:w="3840" w:type="dxa"/>
            <w:vAlign w:val="bottom"/>
          </w:tcPr>
          <w:p>
            <w:pPr>
              <w:ind w:left="740"/>
              <w:spacing w:after="0"/>
              <w:rPr>
                <w:sz w:val="20"/>
                <w:szCs w:val="20"/>
                <w:color w:val="auto"/>
              </w:rPr>
            </w:pPr>
            <w:r>
              <w:rPr>
                <w:rFonts w:ascii="Arial" w:cs="Arial" w:eastAsia="Arial" w:hAnsi="Arial"/>
                <w:sz w:val="18"/>
                <w:szCs w:val="18"/>
                <w:color w:val="auto"/>
              </w:rPr>
              <w:t>SCHEDULE 13G/A</w:t>
            </w:r>
          </w:p>
        </w:tc>
        <w:tc>
          <w:tcPr>
            <w:tcW w:w="3000" w:type="dxa"/>
            <w:vAlign w:val="bottom"/>
          </w:tcPr>
          <w:p>
            <w:pPr>
              <w:ind w:left="1620"/>
              <w:spacing w:after="0"/>
              <w:rPr>
                <w:sz w:val="20"/>
                <w:szCs w:val="20"/>
                <w:color w:val="auto"/>
              </w:rPr>
            </w:pPr>
            <w:r>
              <w:rPr>
                <w:rFonts w:ascii="Arial" w:cs="Arial" w:eastAsia="Arial" w:hAnsi="Arial"/>
                <w:sz w:val="18"/>
                <w:szCs w:val="18"/>
                <w:color w:val="auto"/>
                <w:w w:val="85"/>
              </w:rPr>
              <w:t>Page 2 of 14 Pages</w:t>
            </w:r>
          </w:p>
        </w:tc>
      </w:tr>
      <w:tr>
        <w:trPr>
          <w:trHeight w:val="148"/>
        </w:trPr>
        <w:tc>
          <w:tcPr>
            <w:tcW w:w="418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r>
      <w:tr>
        <w:trPr>
          <w:trHeight w:val="224"/>
        </w:trPr>
        <w:tc>
          <w:tcPr>
            <w:tcW w:w="41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84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9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89100"/>
                    </a:xfrm>
                    <a:prstGeom prst="rect">
                      <a:avLst/>
                    </a:prstGeom>
                    <a:noFill/>
                  </pic:spPr>
                </pic:pic>
              </a:graphicData>
            </a:graphic>
          </wp:anchor>
        </w:drawing>
        <w:drawing>
          <wp:anchor simplePos="0" relativeHeight="251657728" behindDoc="1" locked="0" layoutInCell="0" allowOverlap="1">
            <wp:simplePos x="0" y="0"/>
            <wp:positionH relativeFrom="column">
              <wp:posOffset>6995160</wp:posOffset>
            </wp:positionH>
            <wp:positionV relativeFrom="paragraph">
              <wp:posOffset>-154305</wp:posOffset>
            </wp:positionV>
            <wp:extent cx="8890" cy="5400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0"/>
              <w:spacing w:after="0"/>
              <w:rPr>
                <w:sz w:val="20"/>
                <w:szCs w:val="20"/>
                <w:color w:val="auto"/>
              </w:rPr>
            </w:pPr>
            <w:r>
              <w:rPr>
                <w:rFonts w:ascii="Arial" w:cs="Arial" w:eastAsia="Arial" w:hAnsi="Arial"/>
                <w:sz w:val="22"/>
                <w:szCs w:val="22"/>
                <w:color w:val="auto"/>
                <w:w w:val="94"/>
              </w:rPr>
              <w:t>Li Ka Shing</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0"/>
              <w:spacing w:after="0"/>
              <w:rPr>
                <w:sz w:val="20"/>
                <w:szCs w:val="20"/>
                <w:color w:val="auto"/>
              </w:rPr>
            </w:pPr>
            <w:r>
              <w:rPr>
                <w:rFonts w:ascii="Arial" w:cs="Arial" w:eastAsia="Arial" w:hAnsi="Arial"/>
                <w:sz w:val="22"/>
                <w:szCs w:val="22"/>
                <w:color w:val="auto"/>
                <w:w w:val="96"/>
              </w:rPr>
              <w:t>Hong Kong</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0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9,859,152 (1)</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24"/>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20" w:type="dxa"/>
            <w:vAlign w:val="bottom"/>
          </w:tcPr>
          <w:p>
            <w:pPr>
              <w:jc w:val="center"/>
              <w:ind w:right="124"/>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140" w:type="dxa"/>
            <w:vAlign w:val="bottom"/>
          </w:tcPr>
          <w:p>
            <w:pPr>
              <w:ind w:left="2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9,859,152 (1)</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8"/>
              </w:rPr>
              <w:t>9,859,152 (1)</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7"/>
              </w:rPr>
              <w:t>4.96144% (2)</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IN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55"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(i) 7,508,398 shares of Class A common stock of the Issuer owned directly by Bucantini Enterprises Limited (“</w:t>
      </w:r>
      <w:r>
        <w:rPr>
          <w:rFonts w:ascii="Arial" w:cs="Arial" w:eastAsia="Arial" w:hAnsi="Arial"/>
          <w:sz w:val="18"/>
          <w:szCs w:val="18"/>
          <w:b w:val="1"/>
          <w:bCs w:val="1"/>
          <w:color w:val="auto"/>
        </w:rPr>
        <w:t>Bucantini</w:t>
      </w:r>
      <w:r>
        <w:rPr>
          <w:rFonts w:ascii="Arial" w:cs="Arial" w:eastAsia="Arial" w:hAnsi="Arial"/>
          <w:sz w:val="18"/>
          <w:szCs w:val="18"/>
          <w:color w:val="auto"/>
        </w:rPr>
        <w:t>”), (ii) 350,000 shares of Class A common stock of the Issuer owned directly by Bonus Goal International Limited (“</w:t>
      </w:r>
      <w:r>
        <w:rPr>
          <w:rFonts w:ascii="Arial" w:cs="Arial" w:eastAsia="Arial" w:hAnsi="Arial"/>
          <w:sz w:val="18"/>
          <w:szCs w:val="18"/>
          <w:b w:val="1"/>
          <w:bCs w:val="1"/>
          <w:color w:val="auto"/>
        </w:rPr>
        <w:t>Bonus Goal</w:t>
      </w:r>
      <w:r>
        <w:rPr>
          <w:rFonts w:ascii="Arial" w:cs="Arial" w:eastAsia="Arial" w:hAnsi="Arial"/>
          <w:sz w:val="18"/>
          <w:szCs w:val="18"/>
          <w:color w:val="auto"/>
        </w:rPr>
        <w:t>”), (iii) 2,000,000 shares of Class A common stock of the Issuer owned directly by Star Arrow Limited (“</w:t>
      </w:r>
      <w:r>
        <w:rPr>
          <w:rFonts w:ascii="Arial" w:cs="Arial" w:eastAsia="Arial" w:hAnsi="Arial"/>
          <w:sz w:val="18"/>
          <w:szCs w:val="18"/>
          <w:b w:val="1"/>
          <w:bCs w:val="1"/>
          <w:color w:val="auto"/>
        </w:rPr>
        <w:t>Star Arrow</w:t>
      </w:r>
      <w:r>
        <w:rPr>
          <w:rFonts w:ascii="Arial" w:cs="Arial" w:eastAsia="Arial" w:hAnsi="Arial"/>
          <w:sz w:val="18"/>
          <w:szCs w:val="18"/>
          <w:color w:val="auto"/>
        </w:rPr>
        <w:t>”) and (iv) 754 shares of Class A common stock of the Issuer owned directly by Insight Advance Limited (“</w:t>
      </w:r>
      <w:r>
        <w:rPr>
          <w:rFonts w:ascii="Arial" w:cs="Arial" w:eastAsia="Arial" w:hAnsi="Arial"/>
          <w:sz w:val="18"/>
          <w:szCs w:val="18"/>
          <w:b w:val="1"/>
          <w:bCs w:val="1"/>
          <w:color w:val="auto"/>
        </w:rPr>
        <w:t>Insight Advance</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424" w:right="600" w:hanging="424"/>
        <w:spacing w:after="0" w:line="290"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percent of class was calculated based on 198,715,606 shares of Class A common stock (as reported in the Issuer’s Quarterly Report on Form 10-Q as filed by the Issuer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December 4, 2020).</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CUSIP No. 98980L101</w:t>
            </w:r>
          </w:p>
        </w:tc>
        <w:tc>
          <w:tcPr>
            <w:tcW w:w="3840" w:type="dxa"/>
            <w:vAlign w:val="bottom"/>
          </w:tcPr>
          <w:p>
            <w:pPr>
              <w:ind w:left="740"/>
              <w:spacing w:after="0"/>
              <w:rPr>
                <w:sz w:val="20"/>
                <w:szCs w:val="20"/>
                <w:color w:val="auto"/>
              </w:rPr>
            </w:pPr>
            <w:r>
              <w:rPr>
                <w:rFonts w:ascii="Arial" w:cs="Arial" w:eastAsia="Arial" w:hAnsi="Arial"/>
                <w:sz w:val="18"/>
                <w:szCs w:val="18"/>
                <w:color w:val="auto"/>
              </w:rPr>
              <w:t>SCHEDULE 13G/A</w:t>
            </w:r>
          </w:p>
        </w:tc>
        <w:tc>
          <w:tcPr>
            <w:tcW w:w="3000" w:type="dxa"/>
            <w:vAlign w:val="bottom"/>
          </w:tcPr>
          <w:p>
            <w:pPr>
              <w:ind w:left="1620"/>
              <w:spacing w:after="0"/>
              <w:rPr>
                <w:sz w:val="20"/>
                <w:szCs w:val="20"/>
                <w:color w:val="auto"/>
              </w:rPr>
            </w:pPr>
            <w:r>
              <w:rPr>
                <w:rFonts w:ascii="Arial" w:cs="Arial" w:eastAsia="Arial" w:hAnsi="Arial"/>
                <w:sz w:val="18"/>
                <w:szCs w:val="18"/>
                <w:color w:val="auto"/>
                <w:w w:val="85"/>
              </w:rPr>
              <w:t>Page 3 of 14 Pages</w:t>
            </w:r>
          </w:p>
        </w:tc>
      </w:tr>
      <w:tr>
        <w:trPr>
          <w:trHeight w:val="148"/>
        </w:trPr>
        <w:tc>
          <w:tcPr>
            <w:tcW w:w="418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r>
      <w:tr>
        <w:trPr>
          <w:trHeight w:val="224"/>
        </w:trPr>
        <w:tc>
          <w:tcPr>
            <w:tcW w:w="41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84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8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88465"/>
                    </a:xfrm>
                    <a:prstGeom prst="rect">
                      <a:avLst/>
                    </a:prstGeom>
                    <a:noFill/>
                  </pic:spPr>
                </pic:pic>
              </a:graphicData>
            </a:graphic>
          </wp:anchor>
        </w:drawing>
        <w:drawing>
          <wp:anchor simplePos="0" relativeHeight="251657728" behindDoc="1" locked="0" layoutInCell="0" allowOverlap="1">
            <wp:simplePos x="0" y="0"/>
            <wp:positionH relativeFrom="column">
              <wp:posOffset>6995160</wp:posOffset>
            </wp:positionH>
            <wp:positionV relativeFrom="paragraph">
              <wp:posOffset>-154305</wp:posOffset>
            </wp:positionV>
            <wp:extent cx="8890" cy="5400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Mayspin Management Limited</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0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9,859,152 (1)</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24"/>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20" w:type="dxa"/>
            <w:vAlign w:val="bottom"/>
          </w:tcPr>
          <w:p>
            <w:pPr>
              <w:jc w:val="center"/>
              <w:ind w:right="124"/>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140" w:type="dxa"/>
            <w:vAlign w:val="bottom"/>
          </w:tcPr>
          <w:p>
            <w:pPr>
              <w:ind w:left="2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9,859,152 (1)</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8"/>
              </w:rPr>
              <w:t>9,859,152 (1)</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7"/>
              </w:rPr>
              <w:t>4.96144% (2)</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80" w:hanging="424"/>
        <w:spacing w:after="0" w:line="255"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(i) 7,508,398 shares of Class A common stock of the Issuer owned directly by Bucantini, (ii) 350,000 shares of Class A common stock of the Issuer owned directly by Bonus Goal, (iii) 2,000,000 shares of Class A common stock of the Issuer owned directly by Star Arrow and (iv) 754 shares of Class A common stock of the Issuer owned directly by Insight Advance.</w:t>
      </w:r>
    </w:p>
    <w:p>
      <w:pPr>
        <w:spacing w:after="0" w:line="2" w:lineRule="exact"/>
        <w:rPr>
          <w:rFonts w:ascii="Arial" w:cs="Arial" w:eastAsia="Arial" w:hAnsi="Arial"/>
          <w:sz w:val="18"/>
          <w:szCs w:val="18"/>
          <w:color w:val="auto"/>
        </w:rPr>
      </w:pPr>
    </w:p>
    <w:p>
      <w:pPr>
        <w:ind w:left="424" w:right="600" w:hanging="424"/>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 of class was calculated based on 198,715,606 shares of Class A common stock (as reported in the Issuer’s Quarterly Report on Form 10-Q as filed by the Issuer with the SEC on December 4, 2020).</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CUSIP No. 98980L101</w:t>
            </w:r>
          </w:p>
        </w:tc>
        <w:tc>
          <w:tcPr>
            <w:tcW w:w="3840" w:type="dxa"/>
            <w:vAlign w:val="bottom"/>
          </w:tcPr>
          <w:p>
            <w:pPr>
              <w:ind w:left="740"/>
              <w:spacing w:after="0"/>
              <w:rPr>
                <w:sz w:val="20"/>
                <w:szCs w:val="20"/>
                <w:color w:val="auto"/>
              </w:rPr>
            </w:pPr>
            <w:r>
              <w:rPr>
                <w:rFonts w:ascii="Arial" w:cs="Arial" w:eastAsia="Arial" w:hAnsi="Arial"/>
                <w:sz w:val="18"/>
                <w:szCs w:val="18"/>
                <w:color w:val="auto"/>
              </w:rPr>
              <w:t>SCHEDULE 13G/A</w:t>
            </w:r>
          </w:p>
        </w:tc>
        <w:tc>
          <w:tcPr>
            <w:tcW w:w="3000" w:type="dxa"/>
            <w:vAlign w:val="bottom"/>
          </w:tcPr>
          <w:p>
            <w:pPr>
              <w:ind w:left="1620"/>
              <w:spacing w:after="0"/>
              <w:rPr>
                <w:sz w:val="20"/>
                <w:szCs w:val="20"/>
                <w:color w:val="auto"/>
              </w:rPr>
            </w:pPr>
            <w:r>
              <w:rPr>
                <w:rFonts w:ascii="Arial" w:cs="Arial" w:eastAsia="Arial" w:hAnsi="Arial"/>
                <w:sz w:val="18"/>
                <w:szCs w:val="18"/>
                <w:color w:val="auto"/>
                <w:w w:val="85"/>
              </w:rPr>
              <w:t>Page 4 of 14 Pages</w:t>
            </w:r>
          </w:p>
        </w:tc>
      </w:tr>
      <w:tr>
        <w:trPr>
          <w:trHeight w:val="148"/>
        </w:trPr>
        <w:tc>
          <w:tcPr>
            <w:tcW w:w="418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r>
      <w:tr>
        <w:trPr>
          <w:trHeight w:val="224"/>
        </w:trPr>
        <w:tc>
          <w:tcPr>
            <w:tcW w:w="41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84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9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689100"/>
                    </a:xfrm>
                    <a:prstGeom prst="rect">
                      <a:avLst/>
                    </a:prstGeom>
                    <a:noFill/>
                  </pic:spPr>
                </pic:pic>
              </a:graphicData>
            </a:graphic>
          </wp:anchor>
        </w:drawing>
        <w:drawing>
          <wp:anchor simplePos="0" relativeHeight="251657728" behindDoc="1" locked="0" layoutInCell="0" allowOverlap="1">
            <wp:simplePos x="0" y="0"/>
            <wp:positionH relativeFrom="column">
              <wp:posOffset>6995160</wp:posOffset>
            </wp:positionH>
            <wp:positionV relativeFrom="paragraph">
              <wp:posOffset>-154305</wp:posOffset>
            </wp:positionV>
            <wp:extent cx="8890" cy="5400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Prime Doyen Limited</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0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9,508,398 (1)</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24"/>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20" w:type="dxa"/>
            <w:vAlign w:val="bottom"/>
          </w:tcPr>
          <w:p>
            <w:pPr>
              <w:jc w:val="center"/>
              <w:ind w:right="124"/>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140" w:type="dxa"/>
            <w:vAlign w:val="bottom"/>
          </w:tcPr>
          <w:p>
            <w:pPr>
              <w:ind w:left="2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9,508,398 (1)</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8"/>
              </w:rPr>
              <w:t>9,508,398 (1)</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7"/>
              </w:rPr>
              <w:t>4.78493% (2)</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60" w:hanging="424"/>
        <w:spacing w:after="0" w:line="258"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 7,508,398 shares of Class A common stock of the Issuer owned directly by Bucantini, and (ii) 2,000,000 shares of Class A common stock of the Issuer owned directly by Star Arrow.</w:t>
      </w:r>
    </w:p>
    <w:p>
      <w:pPr>
        <w:spacing w:after="0" w:line="1" w:lineRule="exact"/>
        <w:rPr>
          <w:rFonts w:ascii="Arial" w:cs="Arial" w:eastAsia="Arial" w:hAnsi="Arial"/>
          <w:sz w:val="18"/>
          <w:szCs w:val="18"/>
          <w:color w:val="auto"/>
        </w:rPr>
      </w:pPr>
    </w:p>
    <w:p>
      <w:pPr>
        <w:ind w:left="424" w:right="600"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of class was calculated based on 198,715,606 shares of Class A common stock (as reported in the Issuer’s Quarterly Report on Form 10-Q as filed by the Issuer with the SEC on December 4, 2020).</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CUSIP No. 98980L101</w:t>
            </w:r>
          </w:p>
        </w:tc>
        <w:tc>
          <w:tcPr>
            <w:tcW w:w="3840" w:type="dxa"/>
            <w:vAlign w:val="bottom"/>
          </w:tcPr>
          <w:p>
            <w:pPr>
              <w:ind w:left="740"/>
              <w:spacing w:after="0"/>
              <w:rPr>
                <w:sz w:val="20"/>
                <w:szCs w:val="20"/>
                <w:color w:val="auto"/>
              </w:rPr>
            </w:pPr>
            <w:r>
              <w:rPr>
                <w:rFonts w:ascii="Arial" w:cs="Arial" w:eastAsia="Arial" w:hAnsi="Arial"/>
                <w:sz w:val="18"/>
                <w:szCs w:val="18"/>
                <w:color w:val="auto"/>
              </w:rPr>
              <w:t>SCHEDULE 13G/A</w:t>
            </w:r>
          </w:p>
        </w:tc>
        <w:tc>
          <w:tcPr>
            <w:tcW w:w="3000" w:type="dxa"/>
            <w:vAlign w:val="bottom"/>
          </w:tcPr>
          <w:p>
            <w:pPr>
              <w:ind w:left="1620"/>
              <w:spacing w:after="0"/>
              <w:rPr>
                <w:sz w:val="20"/>
                <w:szCs w:val="20"/>
                <w:color w:val="auto"/>
              </w:rPr>
            </w:pPr>
            <w:r>
              <w:rPr>
                <w:rFonts w:ascii="Arial" w:cs="Arial" w:eastAsia="Arial" w:hAnsi="Arial"/>
                <w:sz w:val="18"/>
                <w:szCs w:val="18"/>
                <w:color w:val="auto"/>
                <w:w w:val="85"/>
              </w:rPr>
              <w:t>Page 5 of 14 Pages</w:t>
            </w:r>
          </w:p>
        </w:tc>
      </w:tr>
      <w:tr>
        <w:trPr>
          <w:trHeight w:val="148"/>
        </w:trPr>
        <w:tc>
          <w:tcPr>
            <w:tcW w:w="418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r>
      <w:tr>
        <w:trPr>
          <w:trHeight w:val="224"/>
        </w:trPr>
        <w:tc>
          <w:tcPr>
            <w:tcW w:w="41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84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8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88465"/>
                    </a:xfrm>
                    <a:prstGeom prst="rect">
                      <a:avLst/>
                    </a:prstGeom>
                    <a:noFill/>
                  </pic:spPr>
                </pic:pic>
              </a:graphicData>
            </a:graphic>
          </wp:anchor>
        </w:drawing>
        <w:drawing>
          <wp:anchor simplePos="0" relativeHeight="251657728" behindDoc="1" locked="0" layoutInCell="0" allowOverlap="1">
            <wp:simplePos x="0" y="0"/>
            <wp:positionH relativeFrom="column">
              <wp:posOffset>6995160</wp:posOffset>
            </wp:positionH>
            <wp:positionV relativeFrom="paragraph">
              <wp:posOffset>-154305</wp:posOffset>
            </wp:positionV>
            <wp:extent cx="8890" cy="5400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Bucantini Enterprises Limited</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0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7,508,398 (1)</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24"/>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20" w:type="dxa"/>
            <w:vAlign w:val="bottom"/>
          </w:tcPr>
          <w:p>
            <w:pPr>
              <w:jc w:val="center"/>
              <w:ind w:right="124"/>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140" w:type="dxa"/>
            <w:vAlign w:val="bottom"/>
          </w:tcPr>
          <w:p>
            <w:pPr>
              <w:ind w:left="2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7,508,398 (1)</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8"/>
              </w:rPr>
              <w:t>7,508,398 (1)</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7"/>
              </w:rPr>
              <w:t>3.77846% (2)</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7,508,398 shares of Class A common stock of the Issuer owned directly by Bucantini.</w:t>
      </w:r>
    </w:p>
    <w:p>
      <w:pPr>
        <w:spacing w:after="0" w:line="23" w:lineRule="exact"/>
        <w:rPr>
          <w:rFonts w:ascii="Arial" w:cs="Arial" w:eastAsia="Arial" w:hAnsi="Arial"/>
          <w:sz w:val="18"/>
          <w:szCs w:val="18"/>
          <w:color w:val="auto"/>
        </w:rPr>
      </w:pPr>
    </w:p>
    <w:p>
      <w:pPr>
        <w:ind w:left="424" w:right="600" w:hanging="424"/>
        <w:spacing w:after="0" w:line="26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 of class was calculated based on 198,715,606 shares of Class A common stock (as reported in the Issuer’s Quarterly Report on Form 10-Q as filed by the Issuer with the SEC on December 4, 2020).</w:t>
      </w:r>
    </w:p>
    <w:p>
      <w:pPr>
        <w:sectPr>
          <w:pgSz w:w="11900" w:h="16838" w:orient="portrait"/>
          <w:cols w:equalWidth="0" w:num="1">
            <w:col w:w="11024"/>
          </w:cols>
          <w:pgMar w:left="436" w:top="274"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CUSIP No. 98980L101</w:t>
            </w:r>
          </w:p>
        </w:tc>
        <w:tc>
          <w:tcPr>
            <w:tcW w:w="3840" w:type="dxa"/>
            <w:vAlign w:val="bottom"/>
          </w:tcPr>
          <w:p>
            <w:pPr>
              <w:ind w:left="740"/>
              <w:spacing w:after="0"/>
              <w:rPr>
                <w:sz w:val="20"/>
                <w:szCs w:val="20"/>
                <w:color w:val="auto"/>
              </w:rPr>
            </w:pPr>
            <w:r>
              <w:rPr>
                <w:rFonts w:ascii="Arial" w:cs="Arial" w:eastAsia="Arial" w:hAnsi="Arial"/>
                <w:sz w:val="18"/>
                <w:szCs w:val="18"/>
                <w:color w:val="auto"/>
              </w:rPr>
              <w:t>SCHEDULE 13G/A</w:t>
            </w:r>
          </w:p>
        </w:tc>
        <w:tc>
          <w:tcPr>
            <w:tcW w:w="3000" w:type="dxa"/>
            <w:vAlign w:val="bottom"/>
          </w:tcPr>
          <w:p>
            <w:pPr>
              <w:ind w:left="1620"/>
              <w:spacing w:after="0"/>
              <w:rPr>
                <w:sz w:val="20"/>
                <w:szCs w:val="20"/>
                <w:color w:val="auto"/>
              </w:rPr>
            </w:pPr>
            <w:r>
              <w:rPr>
                <w:rFonts w:ascii="Arial" w:cs="Arial" w:eastAsia="Arial" w:hAnsi="Arial"/>
                <w:sz w:val="18"/>
                <w:szCs w:val="18"/>
                <w:color w:val="auto"/>
                <w:w w:val="85"/>
              </w:rPr>
              <w:t>Page 6 of 14 Pages</w:t>
            </w:r>
          </w:p>
        </w:tc>
      </w:tr>
      <w:tr>
        <w:trPr>
          <w:trHeight w:val="148"/>
        </w:trPr>
        <w:tc>
          <w:tcPr>
            <w:tcW w:w="418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r>
      <w:tr>
        <w:trPr>
          <w:trHeight w:val="224"/>
        </w:trPr>
        <w:tc>
          <w:tcPr>
            <w:tcW w:w="41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84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9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689100"/>
                    </a:xfrm>
                    <a:prstGeom prst="rect">
                      <a:avLst/>
                    </a:prstGeom>
                    <a:noFill/>
                  </pic:spPr>
                </pic:pic>
              </a:graphicData>
            </a:graphic>
          </wp:anchor>
        </w:drawing>
        <w:drawing>
          <wp:anchor simplePos="0" relativeHeight="251657728" behindDoc="1" locked="0" layoutInCell="0" allowOverlap="1">
            <wp:simplePos x="0" y="0"/>
            <wp:positionH relativeFrom="column">
              <wp:posOffset>6995160</wp:posOffset>
            </wp:positionH>
            <wp:positionV relativeFrom="paragraph">
              <wp:posOffset>-154305</wp:posOffset>
            </wp:positionV>
            <wp:extent cx="8890" cy="5400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Star Arrow Limited</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0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2,000,000 (1)</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24"/>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20" w:type="dxa"/>
            <w:vAlign w:val="bottom"/>
          </w:tcPr>
          <w:p>
            <w:pPr>
              <w:jc w:val="center"/>
              <w:ind w:right="124"/>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140" w:type="dxa"/>
            <w:vAlign w:val="bottom"/>
          </w:tcPr>
          <w:p>
            <w:pPr>
              <w:ind w:left="2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2,000,000 (1)</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8"/>
              </w:rPr>
              <w:t>2,000,000 (1)</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7"/>
              </w:rPr>
              <w:t>1.00646% (2)</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2,000,000 shares of Class A common stock of the Issuer owned directly by Star Arrow.</w:t>
      </w:r>
    </w:p>
    <w:p>
      <w:pPr>
        <w:spacing w:after="0" w:line="23" w:lineRule="exact"/>
        <w:rPr>
          <w:rFonts w:ascii="Arial" w:cs="Arial" w:eastAsia="Arial" w:hAnsi="Arial"/>
          <w:sz w:val="18"/>
          <w:szCs w:val="18"/>
          <w:color w:val="auto"/>
        </w:rPr>
      </w:pPr>
    </w:p>
    <w:p>
      <w:pPr>
        <w:ind w:left="424" w:right="600" w:hanging="424"/>
        <w:spacing w:after="0" w:line="26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 of class was calculated based on 198,715,606 shares of Class A common stock (as reported in the Issuer’s Quarterly Report on Form 10-Q as filed by the Issuer with the SEC on December 4, 2020).</w:t>
      </w:r>
    </w:p>
    <w:p>
      <w:pPr>
        <w:sectPr>
          <w:pgSz w:w="11900" w:h="16838" w:orient="portrait"/>
          <w:cols w:equalWidth="0" w:num="1">
            <w:col w:w="11024"/>
          </w:cols>
          <w:pgMar w:left="436" w:top="274"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CUSIP No. 98980L101</w:t>
            </w:r>
          </w:p>
        </w:tc>
        <w:tc>
          <w:tcPr>
            <w:tcW w:w="3840" w:type="dxa"/>
            <w:vAlign w:val="bottom"/>
          </w:tcPr>
          <w:p>
            <w:pPr>
              <w:ind w:left="740"/>
              <w:spacing w:after="0"/>
              <w:rPr>
                <w:sz w:val="20"/>
                <w:szCs w:val="20"/>
                <w:color w:val="auto"/>
              </w:rPr>
            </w:pPr>
            <w:r>
              <w:rPr>
                <w:rFonts w:ascii="Arial" w:cs="Arial" w:eastAsia="Arial" w:hAnsi="Arial"/>
                <w:sz w:val="18"/>
                <w:szCs w:val="18"/>
                <w:color w:val="auto"/>
              </w:rPr>
              <w:t>SCHEDULE 13G/A</w:t>
            </w:r>
          </w:p>
        </w:tc>
        <w:tc>
          <w:tcPr>
            <w:tcW w:w="3000" w:type="dxa"/>
            <w:vAlign w:val="bottom"/>
          </w:tcPr>
          <w:p>
            <w:pPr>
              <w:ind w:left="1620"/>
              <w:spacing w:after="0"/>
              <w:rPr>
                <w:sz w:val="20"/>
                <w:szCs w:val="20"/>
                <w:color w:val="auto"/>
              </w:rPr>
            </w:pPr>
            <w:r>
              <w:rPr>
                <w:rFonts w:ascii="Arial" w:cs="Arial" w:eastAsia="Arial" w:hAnsi="Arial"/>
                <w:sz w:val="18"/>
                <w:szCs w:val="18"/>
                <w:color w:val="auto"/>
                <w:w w:val="85"/>
              </w:rPr>
              <w:t>Page 7 of 14 Pages</w:t>
            </w:r>
          </w:p>
        </w:tc>
      </w:tr>
      <w:tr>
        <w:trPr>
          <w:trHeight w:val="148"/>
        </w:trPr>
        <w:tc>
          <w:tcPr>
            <w:tcW w:w="418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r>
      <w:tr>
        <w:trPr>
          <w:trHeight w:val="224"/>
        </w:trPr>
        <w:tc>
          <w:tcPr>
            <w:tcW w:w="41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84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8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688465"/>
                    </a:xfrm>
                    <a:prstGeom prst="rect">
                      <a:avLst/>
                    </a:prstGeom>
                    <a:noFill/>
                  </pic:spPr>
                </pic:pic>
              </a:graphicData>
            </a:graphic>
          </wp:anchor>
        </w:drawing>
        <w:drawing>
          <wp:anchor simplePos="0" relativeHeight="251657728" behindDoc="1" locked="0" layoutInCell="0" allowOverlap="1">
            <wp:simplePos x="0" y="0"/>
            <wp:positionH relativeFrom="column">
              <wp:posOffset>6995160</wp:posOffset>
            </wp:positionH>
            <wp:positionV relativeFrom="paragraph">
              <wp:posOffset>-154305</wp:posOffset>
            </wp:positionV>
            <wp:extent cx="8890" cy="5400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Prime Tech Global Limited</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0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350,754 (1)</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24"/>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20" w:type="dxa"/>
            <w:vAlign w:val="bottom"/>
          </w:tcPr>
          <w:p>
            <w:pPr>
              <w:jc w:val="center"/>
              <w:ind w:right="124"/>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140" w:type="dxa"/>
            <w:vAlign w:val="bottom"/>
          </w:tcPr>
          <w:p>
            <w:pPr>
              <w:ind w:left="2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350,754 (1)</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0"/>
              <w:spacing w:after="0"/>
              <w:rPr>
                <w:sz w:val="20"/>
                <w:szCs w:val="20"/>
                <w:color w:val="auto"/>
              </w:rPr>
            </w:pPr>
            <w:r>
              <w:rPr>
                <w:rFonts w:ascii="Arial" w:cs="Arial" w:eastAsia="Arial" w:hAnsi="Arial"/>
                <w:sz w:val="22"/>
                <w:szCs w:val="22"/>
                <w:color w:val="auto"/>
                <w:w w:val="94"/>
              </w:rPr>
              <w:t>350,754 (1)</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7"/>
              </w:rPr>
              <w:t>0.17651% (2)</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80" w:hanging="424"/>
        <w:spacing w:after="0" w:line="258"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 350,000 shares of Class A common stock of the Issuer owned directly by Bonus Goal, and (ii) 754 shares of Class A common stock of the Issuer owned directly by Insight Advance.</w:t>
      </w:r>
    </w:p>
    <w:p>
      <w:pPr>
        <w:spacing w:after="0" w:line="1" w:lineRule="exact"/>
        <w:rPr>
          <w:rFonts w:ascii="Arial" w:cs="Arial" w:eastAsia="Arial" w:hAnsi="Arial"/>
          <w:sz w:val="18"/>
          <w:szCs w:val="18"/>
          <w:color w:val="auto"/>
        </w:rPr>
      </w:pPr>
    </w:p>
    <w:p>
      <w:pPr>
        <w:ind w:left="424" w:right="600" w:hanging="424"/>
        <w:spacing w:after="0" w:line="26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 of class was calculated based on 198,715,606 shares of Class A common stock (as reported in the Issuer’s Quarterly Report on Form 10-Q as filed by the Issuer with the SEC on December 4, 2020).</w:t>
      </w:r>
    </w:p>
    <w:p>
      <w:pPr>
        <w:sectPr>
          <w:pgSz w:w="11900" w:h="16838" w:orient="portrait"/>
          <w:cols w:equalWidth="0" w:num="1">
            <w:col w:w="11024"/>
          </w:cols>
          <w:pgMar w:left="436" w:top="274"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CUSIP No. 98980L101</w:t>
            </w:r>
          </w:p>
        </w:tc>
        <w:tc>
          <w:tcPr>
            <w:tcW w:w="3840" w:type="dxa"/>
            <w:vAlign w:val="bottom"/>
          </w:tcPr>
          <w:p>
            <w:pPr>
              <w:ind w:left="740"/>
              <w:spacing w:after="0"/>
              <w:rPr>
                <w:sz w:val="20"/>
                <w:szCs w:val="20"/>
                <w:color w:val="auto"/>
              </w:rPr>
            </w:pPr>
            <w:r>
              <w:rPr>
                <w:rFonts w:ascii="Arial" w:cs="Arial" w:eastAsia="Arial" w:hAnsi="Arial"/>
                <w:sz w:val="18"/>
                <w:szCs w:val="18"/>
                <w:color w:val="auto"/>
              </w:rPr>
              <w:t>SCHEDULE 13G/A</w:t>
            </w:r>
          </w:p>
        </w:tc>
        <w:tc>
          <w:tcPr>
            <w:tcW w:w="3000" w:type="dxa"/>
            <w:vAlign w:val="bottom"/>
          </w:tcPr>
          <w:p>
            <w:pPr>
              <w:ind w:left="1620"/>
              <w:spacing w:after="0"/>
              <w:rPr>
                <w:sz w:val="20"/>
                <w:szCs w:val="20"/>
                <w:color w:val="auto"/>
              </w:rPr>
            </w:pPr>
            <w:r>
              <w:rPr>
                <w:rFonts w:ascii="Arial" w:cs="Arial" w:eastAsia="Arial" w:hAnsi="Arial"/>
                <w:sz w:val="18"/>
                <w:szCs w:val="18"/>
                <w:color w:val="auto"/>
                <w:w w:val="85"/>
              </w:rPr>
              <w:t>Page 8 of 14 Pages</w:t>
            </w:r>
          </w:p>
        </w:tc>
      </w:tr>
      <w:tr>
        <w:trPr>
          <w:trHeight w:val="148"/>
        </w:trPr>
        <w:tc>
          <w:tcPr>
            <w:tcW w:w="418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r>
      <w:tr>
        <w:trPr>
          <w:trHeight w:val="224"/>
        </w:trPr>
        <w:tc>
          <w:tcPr>
            <w:tcW w:w="41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84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9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689100"/>
                    </a:xfrm>
                    <a:prstGeom prst="rect">
                      <a:avLst/>
                    </a:prstGeom>
                    <a:noFill/>
                  </pic:spPr>
                </pic:pic>
              </a:graphicData>
            </a:graphic>
          </wp:anchor>
        </w:drawing>
        <w:drawing>
          <wp:anchor simplePos="0" relativeHeight="251657728" behindDoc="1" locked="0" layoutInCell="0" allowOverlap="1">
            <wp:simplePos x="0" y="0"/>
            <wp:positionH relativeFrom="column">
              <wp:posOffset>6995160</wp:posOffset>
            </wp:positionH>
            <wp:positionV relativeFrom="paragraph">
              <wp:posOffset>-154305</wp:posOffset>
            </wp:positionV>
            <wp:extent cx="8890" cy="5400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Bonus Goal International Limited</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0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350,000 (1)</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24"/>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20" w:type="dxa"/>
            <w:vAlign w:val="bottom"/>
          </w:tcPr>
          <w:p>
            <w:pPr>
              <w:jc w:val="center"/>
              <w:ind w:right="124"/>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140" w:type="dxa"/>
            <w:vAlign w:val="bottom"/>
          </w:tcPr>
          <w:p>
            <w:pPr>
              <w:ind w:left="2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350,000 (1)</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0"/>
              <w:spacing w:after="0"/>
              <w:rPr>
                <w:sz w:val="20"/>
                <w:szCs w:val="20"/>
                <w:color w:val="auto"/>
              </w:rPr>
            </w:pPr>
            <w:r>
              <w:rPr>
                <w:rFonts w:ascii="Arial" w:cs="Arial" w:eastAsia="Arial" w:hAnsi="Arial"/>
                <w:sz w:val="22"/>
                <w:szCs w:val="22"/>
                <w:color w:val="auto"/>
                <w:w w:val="94"/>
              </w:rPr>
              <w:t>350,000 (1)</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7"/>
              </w:rPr>
              <w:t>0.17613% (2)</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350,000 shares of Class A common stock of the Issuer owned directly by Bonus Goal.</w:t>
      </w:r>
    </w:p>
    <w:p>
      <w:pPr>
        <w:spacing w:after="0" w:line="23" w:lineRule="exact"/>
        <w:rPr>
          <w:rFonts w:ascii="Arial" w:cs="Arial" w:eastAsia="Arial" w:hAnsi="Arial"/>
          <w:sz w:val="18"/>
          <w:szCs w:val="18"/>
          <w:color w:val="auto"/>
        </w:rPr>
      </w:pPr>
    </w:p>
    <w:p>
      <w:pPr>
        <w:ind w:left="424" w:right="600" w:hanging="424"/>
        <w:spacing w:after="0" w:line="26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 of class was calculated based on 198,715,606 shares of Class A common stock (as reported in the Issuer’s Quarterly Report on Form 10-Q as filed by the Issuer with the SEC on December 4, 2020).</w:t>
      </w:r>
    </w:p>
    <w:p>
      <w:pPr>
        <w:sectPr>
          <w:pgSz w:w="11900" w:h="16838" w:orient="portrait"/>
          <w:cols w:equalWidth="0" w:num="1">
            <w:col w:w="11024"/>
          </w:cols>
          <w:pgMar w:left="436" w:top="274"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CUSIP No. 98980L101</w:t>
            </w:r>
          </w:p>
        </w:tc>
        <w:tc>
          <w:tcPr>
            <w:tcW w:w="3840" w:type="dxa"/>
            <w:vAlign w:val="bottom"/>
          </w:tcPr>
          <w:p>
            <w:pPr>
              <w:ind w:left="740"/>
              <w:spacing w:after="0"/>
              <w:rPr>
                <w:sz w:val="20"/>
                <w:szCs w:val="20"/>
                <w:color w:val="auto"/>
              </w:rPr>
            </w:pPr>
            <w:r>
              <w:rPr>
                <w:rFonts w:ascii="Arial" w:cs="Arial" w:eastAsia="Arial" w:hAnsi="Arial"/>
                <w:sz w:val="18"/>
                <w:szCs w:val="18"/>
                <w:color w:val="auto"/>
              </w:rPr>
              <w:t>SCHEDULE 13G/A</w:t>
            </w:r>
          </w:p>
        </w:tc>
        <w:tc>
          <w:tcPr>
            <w:tcW w:w="3000" w:type="dxa"/>
            <w:vAlign w:val="bottom"/>
          </w:tcPr>
          <w:p>
            <w:pPr>
              <w:ind w:left="1620"/>
              <w:spacing w:after="0"/>
              <w:rPr>
                <w:sz w:val="20"/>
                <w:szCs w:val="20"/>
                <w:color w:val="auto"/>
              </w:rPr>
            </w:pPr>
            <w:r>
              <w:rPr>
                <w:rFonts w:ascii="Arial" w:cs="Arial" w:eastAsia="Arial" w:hAnsi="Arial"/>
                <w:sz w:val="18"/>
                <w:szCs w:val="18"/>
                <w:color w:val="auto"/>
                <w:w w:val="85"/>
              </w:rPr>
              <w:t>Page 9 of 14 Pages</w:t>
            </w:r>
          </w:p>
        </w:tc>
      </w:tr>
      <w:tr>
        <w:trPr>
          <w:trHeight w:val="148"/>
        </w:trPr>
        <w:tc>
          <w:tcPr>
            <w:tcW w:w="418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r>
      <w:tr>
        <w:trPr>
          <w:trHeight w:val="224"/>
        </w:trPr>
        <w:tc>
          <w:tcPr>
            <w:tcW w:w="41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84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-154305</wp:posOffset>
            </wp:positionV>
            <wp:extent cx="8890" cy="1688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688465"/>
                    </a:xfrm>
                    <a:prstGeom prst="rect">
                      <a:avLst/>
                    </a:prstGeom>
                    <a:noFill/>
                  </pic:spPr>
                </pic:pic>
              </a:graphicData>
            </a:graphic>
          </wp:anchor>
        </w:drawing>
        <w:drawing>
          <wp:anchor simplePos="0" relativeHeight="251657728" behindDoc="1" locked="0" layoutInCell="0" allowOverlap="1">
            <wp:simplePos x="0" y="0"/>
            <wp:positionH relativeFrom="column">
              <wp:posOffset>6995160</wp:posOffset>
            </wp:positionH>
            <wp:positionV relativeFrom="paragraph">
              <wp:posOffset>-154305</wp:posOffset>
            </wp:positionV>
            <wp:extent cx="8890" cy="5400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54006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890" cy="5400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5400675"/>
                    </a:xfrm>
                    <a:prstGeom prst="rect">
                      <a:avLst/>
                    </a:prstGeom>
                    <a:noFill/>
                  </pic:spPr>
                </pic:pic>
              </a:graphicData>
            </a:graphic>
          </wp:anchor>
        </w:drawing>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276"/>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Insight Advance Limited</w:t>
            </w:r>
          </w:p>
        </w:tc>
        <w:tc>
          <w:tcPr>
            <w:tcW w:w="0" w:type="dxa"/>
            <w:vAlign w:val="bottom"/>
          </w:tcPr>
          <w:p>
            <w:pPr>
              <w:spacing w:after="0"/>
              <w:rPr>
                <w:sz w:val="1"/>
                <w:szCs w:val="1"/>
                <w:color w:val="auto"/>
              </w:rPr>
            </w:pPr>
          </w:p>
        </w:tc>
      </w:tr>
      <w:tr>
        <w:trPr>
          <w:trHeight w:val="164"/>
        </w:trPr>
        <w:tc>
          <w:tcPr>
            <w:tcW w:w="480" w:type="dxa"/>
            <w:vAlign w:val="bottom"/>
          </w:tcPr>
          <w:p>
            <w:pPr>
              <w:jc w:val="right"/>
              <w:ind w:right="1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20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40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98"/>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4"/>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754 (1)</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24"/>
              <w:spacing w:after="0" w:line="182" w:lineRule="exact"/>
              <w:rPr>
                <w:sz w:val="20"/>
                <w:szCs w:val="20"/>
                <w:color w:val="auto"/>
              </w:rPr>
            </w:pPr>
            <w:r>
              <w:rPr>
                <w:rFonts w:ascii="Arial" w:cs="Arial" w:eastAsia="Arial" w:hAnsi="Arial"/>
                <w:sz w:val="18"/>
                <w:szCs w:val="18"/>
                <w:color w:val="auto"/>
                <w:w w:val="99"/>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1"/>
                <w:szCs w:val="21"/>
                <w:color w:val="auto"/>
              </w:rPr>
            </w:pPr>
          </w:p>
        </w:tc>
        <w:tc>
          <w:tcPr>
            <w:tcW w:w="920" w:type="dxa"/>
            <w:vAlign w:val="bottom"/>
          </w:tcPr>
          <w:p>
            <w:pPr>
              <w:jc w:val="center"/>
              <w:ind w:right="124"/>
              <w:spacing w:after="0"/>
              <w:rPr>
                <w:sz w:val="20"/>
                <w:szCs w:val="20"/>
                <w:color w:val="auto"/>
              </w:rPr>
            </w:pPr>
            <w:r>
              <w:rPr>
                <w:rFonts w:ascii="Arial" w:cs="Arial" w:eastAsia="Arial" w:hAnsi="Arial"/>
                <w:sz w:val="18"/>
                <w:szCs w:val="18"/>
                <w:color w:val="auto"/>
                <w:w w:val="92"/>
              </w:rPr>
              <w:t>PERSON</w:t>
            </w:r>
          </w:p>
        </w:tc>
        <w:tc>
          <w:tcPr>
            <w:tcW w:w="1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9140" w:type="dxa"/>
            <w:vAlign w:val="bottom"/>
          </w:tcPr>
          <w:p>
            <w:pPr>
              <w:ind w:left="2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920" w:type="dxa"/>
            <w:vAlign w:val="bottom"/>
            <w:vMerge w:val="restart"/>
          </w:tcPr>
          <w:p>
            <w:pPr>
              <w:jc w:val="center"/>
              <w:ind w:right="124"/>
              <w:spacing w:after="0"/>
              <w:rPr>
                <w:sz w:val="20"/>
                <w:szCs w:val="20"/>
                <w:color w:val="auto"/>
              </w:rPr>
            </w:pPr>
            <w:r>
              <w:rPr>
                <w:rFonts w:ascii="Arial" w:cs="Arial" w:eastAsia="Arial" w:hAnsi="Arial"/>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14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754 (1)</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754 (1)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22"/>
                <w:szCs w:val="22"/>
                <w:color w:val="auto"/>
                <w:w w:val="87"/>
              </w:rPr>
              <w:t>0.00038% (2)</w:t>
            </w: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CO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754 shares of Class A common stock of the Issuer owned directly by Insight Advance.</w:t>
      </w:r>
    </w:p>
    <w:p>
      <w:pPr>
        <w:spacing w:after="0" w:line="23" w:lineRule="exact"/>
        <w:rPr>
          <w:rFonts w:ascii="Arial" w:cs="Arial" w:eastAsia="Arial" w:hAnsi="Arial"/>
          <w:sz w:val="18"/>
          <w:szCs w:val="18"/>
          <w:color w:val="auto"/>
        </w:rPr>
      </w:pPr>
    </w:p>
    <w:p>
      <w:pPr>
        <w:ind w:left="424" w:right="600" w:hanging="424"/>
        <w:spacing w:after="0" w:line="26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 of class was calculated based on 198,715,606 shares of Class A common stock (as reported in the Issuer’s Quarterly Report on Form 10-Q as filed by the Issuer with the SEC on December 4, 2020).</w:t>
      </w:r>
    </w:p>
    <w:p>
      <w:pPr>
        <w:sectPr>
          <w:pgSz w:w="11900" w:h="16838" w:orient="portrait"/>
          <w:cols w:equalWidth="0" w:num="1">
            <w:col w:w="11024"/>
          </w:cols>
          <w:pgMar w:left="436" w:top="274" w:right="4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CUSIP No. 98980L101</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Arial" w:cs="Arial" w:eastAsia="Arial" w:hAnsi="Arial"/>
          <w:sz w:val="17"/>
          <w:szCs w:val="17"/>
          <w:color w:val="auto"/>
        </w:rPr>
        <w:t>SCHEDULE 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-208915</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10 of 14 Pages</w:t>
      </w:r>
    </w:p>
    <w:p>
      <w:pPr>
        <w:spacing w:after="0" w:line="187" w:lineRule="exact"/>
        <w:rPr>
          <w:sz w:val="20"/>
          <w:szCs w:val="20"/>
          <w:color w:val="auto"/>
        </w:rPr>
      </w:pPr>
    </w:p>
    <w:p>
      <w:pPr>
        <w:sectPr>
          <w:pgSz w:w="11900" w:h="16838" w:orient="portrait"/>
          <w:cols w:equalWidth="0" w:num="3">
            <w:col w:w="4200" w:space="720"/>
            <w:col w:w="3920" w:space="720"/>
            <w:col w:w="1460"/>
          </w:cols>
          <w:pgMar w:left="440" w:top="274" w:right="439" w:bottom="1440" w:gutter="0" w:footer="0" w:header="0"/>
        </w:sect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Issuer</w:t>
      </w:r>
    </w:p>
    <w:p>
      <w:pPr>
        <w:spacing w:after="0" w:line="144" w:lineRule="exact"/>
        <w:rPr>
          <w:sz w:val="20"/>
          <w:szCs w:val="20"/>
          <w:color w:val="auto"/>
        </w:rPr>
      </w:pPr>
    </w:p>
    <w:p>
      <w:pPr>
        <w:sectPr>
          <w:pgSz w:w="11900" w:h="16838" w:orient="portrait"/>
          <w:cols w:equalWidth="0" w:num="2">
            <w:col w:w="780" w:space="720"/>
            <w:col w:w="9520"/>
          </w:cols>
          <w:pgMar w:left="440" w:top="274" w:right="439" w:bottom="1440" w:gutter="0" w:footer="0" w:header="0"/>
          <w:type w:val="continuous"/>
        </w:sectPr>
      </w:pPr>
    </w:p>
    <w:p>
      <w:pPr>
        <w:ind w:left="1500" w:hanging="748"/>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500" w:hanging="748"/>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500" w:right="7080"/>
        <w:spacing w:after="0" w:line="342"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18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1000" w:hanging="2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(c)  Name of Persons Filing; Address; Citizenship:</w:t>
      </w:r>
    </w:p>
    <w:p>
      <w:pPr>
        <w:spacing w:after="0" w:line="117" w:lineRule="exact"/>
        <w:rPr>
          <w:rFonts w:ascii="Arial" w:cs="Arial" w:eastAsia="Arial" w:hAnsi="Arial"/>
          <w:sz w:val="18"/>
          <w:szCs w:val="18"/>
          <w:color w:val="auto"/>
        </w:rPr>
      </w:pPr>
    </w:p>
    <w:p>
      <w:pPr>
        <w:ind w:left="2040" w:hanging="532"/>
        <w:spacing w:after="0"/>
        <w:tabs>
          <w:tab w:leader="none" w:pos="2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 Ka Shing, a Hong Kong citizen;</w:t>
      </w:r>
    </w:p>
    <w:p>
      <w:pPr>
        <w:spacing w:after="0" w:line="130" w:lineRule="exact"/>
        <w:rPr>
          <w:rFonts w:ascii="Arial" w:cs="Arial" w:eastAsia="Arial" w:hAnsi="Arial"/>
          <w:sz w:val="18"/>
          <w:szCs w:val="18"/>
          <w:color w:val="auto"/>
        </w:rPr>
      </w:pPr>
    </w:p>
    <w:p>
      <w:pPr>
        <w:ind w:left="2040" w:hanging="532"/>
        <w:spacing w:after="0"/>
        <w:tabs>
          <w:tab w:leader="none" w:pos="2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Mayspin Management Limited, a British Virgin Islands company;</w:t>
      </w:r>
    </w:p>
    <w:p>
      <w:pPr>
        <w:spacing w:after="0" w:line="130" w:lineRule="exact"/>
        <w:rPr>
          <w:rFonts w:ascii="Arial" w:cs="Arial" w:eastAsia="Arial" w:hAnsi="Arial"/>
          <w:sz w:val="18"/>
          <w:szCs w:val="18"/>
          <w:color w:val="auto"/>
        </w:rPr>
      </w:pPr>
    </w:p>
    <w:p>
      <w:pPr>
        <w:ind w:left="2020" w:hanging="512"/>
        <w:spacing w:after="0"/>
        <w:tabs>
          <w:tab w:leader="none" w:pos="2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Prime Doyen Limited, a British Virgin Islands company;</w:t>
      </w:r>
    </w:p>
    <w:p>
      <w:pPr>
        <w:spacing w:after="0" w:line="130" w:lineRule="exact"/>
        <w:rPr>
          <w:rFonts w:ascii="Arial" w:cs="Arial" w:eastAsia="Arial" w:hAnsi="Arial"/>
          <w:sz w:val="18"/>
          <w:szCs w:val="18"/>
          <w:color w:val="auto"/>
        </w:rPr>
      </w:pPr>
    </w:p>
    <w:p>
      <w:pPr>
        <w:ind w:left="2040" w:hanging="532"/>
        <w:spacing w:after="0"/>
        <w:tabs>
          <w:tab w:leader="none" w:pos="2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Bucantini Enterprises Limited, a British Virgin Islands company;</w:t>
      </w:r>
    </w:p>
    <w:p>
      <w:pPr>
        <w:spacing w:after="0" w:line="130" w:lineRule="exact"/>
        <w:rPr>
          <w:rFonts w:ascii="Arial" w:cs="Arial" w:eastAsia="Arial" w:hAnsi="Arial"/>
          <w:sz w:val="18"/>
          <w:szCs w:val="18"/>
          <w:color w:val="auto"/>
        </w:rPr>
      </w:pPr>
    </w:p>
    <w:p>
      <w:pPr>
        <w:ind w:left="2040" w:hanging="532"/>
        <w:spacing w:after="0"/>
        <w:tabs>
          <w:tab w:leader="none" w:pos="2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Star Arrow Limited, a British Virgin Islands company;</w:t>
      </w:r>
    </w:p>
    <w:p>
      <w:pPr>
        <w:spacing w:after="0" w:line="130" w:lineRule="exact"/>
        <w:rPr>
          <w:rFonts w:ascii="Arial" w:cs="Arial" w:eastAsia="Arial" w:hAnsi="Arial"/>
          <w:sz w:val="18"/>
          <w:szCs w:val="18"/>
          <w:color w:val="auto"/>
        </w:rPr>
      </w:pPr>
    </w:p>
    <w:p>
      <w:pPr>
        <w:ind w:left="2040" w:hanging="532"/>
        <w:spacing w:after="0"/>
        <w:tabs>
          <w:tab w:leader="none" w:pos="2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Prime Tech Global Limited, a British Virgin Islands company;</w:t>
      </w:r>
    </w:p>
    <w:p>
      <w:pPr>
        <w:spacing w:after="0" w:line="130" w:lineRule="exact"/>
        <w:rPr>
          <w:rFonts w:ascii="Arial" w:cs="Arial" w:eastAsia="Arial" w:hAnsi="Arial"/>
          <w:sz w:val="18"/>
          <w:szCs w:val="18"/>
          <w:color w:val="auto"/>
        </w:rPr>
      </w:pPr>
    </w:p>
    <w:p>
      <w:pPr>
        <w:ind w:left="2040" w:hanging="532"/>
        <w:spacing w:after="0"/>
        <w:tabs>
          <w:tab w:leader="none" w:pos="2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Bonus Goal International Limited, a British Virgin Islands company; and</w:t>
      </w:r>
    </w:p>
    <w:p>
      <w:pPr>
        <w:spacing w:after="0" w:line="130" w:lineRule="exact"/>
        <w:rPr>
          <w:rFonts w:ascii="Arial" w:cs="Arial" w:eastAsia="Arial" w:hAnsi="Arial"/>
          <w:sz w:val="18"/>
          <w:szCs w:val="18"/>
          <w:color w:val="auto"/>
        </w:rPr>
      </w:pPr>
    </w:p>
    <w:p>
      <w:pPr>
        <w:ind w:left="2020" w:hanging="512"/>
        <w:spacing w:after="0"/>
        <w:tabs>
          <w:tab w:leader="none" w:pos="2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Insight Advance Limited, a British Virgin Islands company.</w:t>
      </w:r>
    </w:p>
    <w:p>
      <w:pPr>
        <w:spacing w:after="0" w:line="131" w:lineRule="exact"/>
        <w:rPr>
          <w:sz w:val="20"/>
          <w:szCs w:val="20"/>
          <w:color w:val="auto"/>
        </w:rPr>
      </w:pPr>
    </w:p>
    <w:p>
      <w:pPr>
        <w:ind w:left="1500" w:right="260"/>
        <w:spacing w:after="0" w:line="277" w:lineRule="auto"/>
        <w:rPr>
          <w:sz w:val="20"/>
          <w:szCs w:val="20"/>
          <w:color w:val="auto"/>
        </w:rPr>
      </w:pPr>
      <w:r>
        <w:rPr>
          <w:rFonts w:ascii="Arial" w:cs="Arial" w:eastAsia="Arial" w:hAnsi="Arial"/>
          <w:sz w:val="18"/>
          <w:szCs w:val="18"/>
          <w:color w:val="auto"/>
        </w:rPr>
        <w:t>The address of the principal business office of each of the reporting persons are Cheung Kong Center, 7</w:t>
      </w:r>
      <w:r>
        <w:rPr>
          <w:rFonts w:ascii="Arial" w:cs="Arial" w:eastAsia="Arial" w:hAnsi="Arial"/>
          <w:sz w:val="15"/>
          <w:szCs w:val="15"/>
          <w:color w:val="auto"/>
        </w:rPr>
        <w:t>th</w:t>
      </w:r>
      <w:r>
        <w:rPr>
          <w:rFonts w:ascii="Arial" w:cs="Arial" w:eastAsia="Arial" w:hAnsi="Arial"/>
          <w:sz w:val="18"/>
          <w:szCs w:val="18"/>
          <w:color w:val="auto"/>
        </w:rPr>
        <w:t xml:space="preserve"> Floor, 2 Queen’s Road Central, Hong Kong.</w:t>
      </w:r>
    </w:p>
    <w:p>
      <w:pPr>
        <w:spacing w:after="0" w:line="76" w:lineRule="exact"/>
        <w:rPr>
          <w:sz w:val="20"/>
          <w:szCs w:val="20"/>
          <w:color w:val="auto"/>
        </w:rPr>
      </w:pPr>
    </w:p>
    <w:p>
      <w:pPr>
        <w:ind w:left="1500" w:hanging="748"/>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w:t>
      </w:r>
    </w:p>
    <w:p>
      <w:pPr>
        <w:spacing w:after="0" w:line="117" w:lineRule="exact"/>
        <w:rPr>
          <w:rFonts w:ascii="Arial" w:cs="Arial" w:eastAsia="Arial" w:hAnsi="Arial"/>
          <w:sz w:val="18"/>
          <w:szCs w:val="18"/>
          <w:color w:val="auto"/>
        </w:rPr>
      </w:pPr>
    </w:p>
    <w:p>
      <w:pPr>
        <w:ind w:left="1500" w:right="8320" w:hanging="748"/>
        <w:spacing w:after="0" w:line="483" w:lineRule="auto"/>
        <w:tabs>
          <w:tab w:leader="none" w:pos="1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CUSIP Number: 98980L101</w:t>
      </w:r>
    </w:p>
    <w:p>
      <w:pPr>
        <w:spacing w:after="0" w:line="7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500" w:hanging="748"/>
        <w:spacing w:after="0" w:line="207" w:lineRule="exact"/>
        <w:tabs>
          <w:tab w:leader="none" w:pos="15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880" w:right="660" w:hanging="1128"/>
        <w:spacing w:after="0" w:line="239" w:lineRule="exact"/>
        <w:tabs>
          <w:tab w:leader="none" w:pos="1516"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w:t>
      </w:r>
    </w:p>
    <w:p>
      <w:pPr>
        <w:spacing w:after="0" w:line="5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Rule 240.13d-1(b)(1)(ii)(J), please specify the type of institution:</w:t>
      </w:r>
    </w:p>
    <w:p>
      <w:pPr>
        <w:spacing w:after="0" w:line="10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ectPr>
          <w:pgSz w:w="11900" w:h="16838" w:orient="portrait"/>
          <w:cols w:equalWidth="0" w:num="1">
            <w:col w:w="11020"/>
          </w:cols>
          <w:pgMar w:left="440" w:top="274" w:right="439" w:bottom="1440" w:gutter="0" w:footer="0" w:header="0"/>
          <w:type w:val="continuous"/>
        </w:sectPr>
      </w:pPr>
    </w:p>
    <w:bookmarkStart w:id="10" w:name="page11"/>
    <w:bookmarkEnd w:id="10"/>
    <w:p>
      <w:pPr>
        <w:spacing w:after="0"/>
        <w:tabs>
          <w:tab w:leader="none" w:pos="49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13G/A</w:t>
      </w:r>
      <w:r>
        <w:rPr>
          <w:sz w:val="20"/>
          <w:szCs w:val="20"/>
          <w:color w:val="auto"/>
        </w:rPr>
        <w:tab/>
      </w:r>
      <w:r>
        <w:rPr>
          <w:rFonts w:ascii="Arial" w:cs="Arial" w:eastAsia="Arial" w:hAnsi="Arial"/>
          <w:sz w:val="15"/>
          <w:szCs w:val="15"/>
          <w:color w:val="auto"/>
        </w:rPr>
        <w:t>Page 11 of 14 Pages</w:t>
      </w:r>
    </w:p>
    <w:p>
      <w:pPr>
        <w:spacing w:after="0" w:line="2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000" w:hanging="2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and (b)   Amount beneficially owned:</w:t>
      </w:r>
    </w:p>
    <w:p>
      <w:pPr>
        <w:spacing w:after="0" w:line="117" w:lineRule="exact"/>
        <w:rPr>
          <w:rFonts w:ascii="Arial" w:cs="Arial" w:eastAsia="Arial" w:hAnsi="Arial"/>
          <w:sz w:val="18"/>
          <w:szCs w:val="18"/>
          <w:color w:val="auto"/>
        </w:rPr>
      </w:pPr>
    </w:p>
    <w:p>
      <w:pPr>
        <w:ind w:left="2320" w:right="200" w:hanging="583"/>
        <w:spacing w:after="0" w:line="277" w:lineRule="auto"/>
        <w:tabs>
          <w:tab w:leader="none" w:pos="2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Bucantini directly owns 7,508,398 shares of Class A common stock, which represents approximately 3.77846% of the outstanding shares of Class A common stock of the Issuer.</w:t>
      </w:r>
    </w:p>
    <w:p>
      <w:pPr>
        <w:spacing w:after="0" w:line="62" w:lineRule="exact"/>
        <w:rPr>
          <w:rFonts w:ascii="Arial" w:cs="Arial" w:eastAsia="Arial" w:hAnsi="Arial"/>
          <w:sz w:val="18"/>
          <w:szCs w:val="18"/>
          <w:color w:val="auto"/>
        </w:rPr>
      </w:pPr>
    </w:p>
    <w:p>
      <w:pPr>
        <w:ind w:left="2320" w:right="100" w:hanging="583"/>
        <w:spacing w:after="0" w:line="277" w:lineRule="auto"/>
        <w:tabs>
          <w:tab w:leader="none" w:pos="2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Star Arrow directly owns 2,000,000 shares of Class A common stock, which represents approximately 1.00646% of the outstanding shares of Class A common stock of the Issuer.</w:t>
      </w:r>
    </w:p>
    <w:p>
      <w:pPr>
        <w:spacing w:after="0" w:line="58" w:lineRule="exact"/>
        <w:rPr>
          <w:rFonts w:ascii="Arial" w:cs="Arial" w:eastAsia="Arial" w:hAnsi="Arial"/>
          <w:sz w:val="18"/>
          <w:szCs w:val="18"/>
          <w:color w:val="auto"/>
        </w:rPr>
      </w:pPr>
    </w:p>
    <w:p>
      <w:pPr>
        <w:ind w:left="2320" w:right="200" w:hanging="583"/>
        <w:spacing w:after="0" w:line="266" w:lineRule="auto"/>
        <w:tabs>
          <w:tab w:leader="none" w:pos="2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Prime Doyen Limited (“</w:t>
      </w:r>
      <w:r>
        <w:rPr>
          <w:rFonts w:ascii="Arial" w:cs="Arial" w:eastAsia="Arial" w:hAnsi="Arial"/>
          <w:sz w:val="18"/>
          <w:szCs w:val="18"/>
          <w:b w:val="1"/>
          <w:bCs w:val="1"/>
          <w:color w:val="auto"/>
        </w:rPr>
        <w:t>Prime Doyen</w:t>
      </w:r>
      <w:r>
        <w:rPr>
          <w:rFonts w:ascii="Arial" w:cs="Arial" w:eastAsia="Arial" w:hAnsi="Arial"/>
          <w:sz w:val="18"/>
          <w:szCs w:val="18"/>
          <w:color w:val="auto"/>
        </w:rPr>
        <w:t>”) is the sole shareholder of Bucantini, and as such, Prime Doyen may also be deemed to beneficially own 7,508,398 shares of Class A common stock, which represents approximately 3.77846% of the outstanding shares of Class A common stock of the Issuer.</w:t>
      </w:r>
    </w:p>
    <w:p>
      <w:pPr>
        <w:spacing w:after="0" w:line="85" w:lineRule="exact"/>
        <w:rPr>
          <w:rFonts w:ascii="Arial" w:cs="Arial" w:eastAsia="Arial" w:hAnsi="Arial"/>
          <w:sz w:val="18"/>
          <w:szCs w:val="18"/>
          <w:color w:val="auto"/>
        </w:rPr>
      </w:pPr>
    </w:p>
    <w:p>
      <w:pPr>
        <w:ind w:left="2320" w:right="40"/>
        <w:spacing w:after="0" w:line="263" w:lineRule="auto"/>
        <w:rPr>
          <w:rFonts w:ascii="Arial" w:cs="Arial" w:eastAsia="Arial" w:hAnsi="Arial"/>
          <w:sz w:val="18"/>
          <w:szCs w:val="18"/>
          <w:color w:val="auto"/>
        </w:rPr>
      </w:pPr>
      <w:r>
        <w:rPr>
          <w:rFonts w:ascii="Arial" w:cs="Arial" w:eastAsia="Arial" w:hAnsi="Arial"/>
          <w:sz w:val="18"/>
          <w:szCs w:val="18"/>
          <w:color w:val="auto"/>
        </w:rPr>
        <w:t>Prime Doyen is also the sole shareholder of Star Arrow, and as such, Prime Doyen may also be deemed to beneficially own 2,000,000 shares of Class A common stock, which represents approximately 1.00646% of the outstanding shares of Class A common stock of the Issuer.</w:t>
      </w:r>
    </w:p>
    <w:p>
      <w:pPr>
        <w:spacing w:after="0" w:line="89" w:lineRule="exact"/>
        <w:rPr>
          <w:rFonts w:ascii="Arial" w:cs="Arial" w:eastAsia="Arial" w:hAnsi="Arial"/>
          <w:sz w:val="18"/>
          <w:szCs w:val="18"/>
          <w:color w:val="auto"/>
        </w:rPr>
      </w:pPr>
    </w:p>
    <w:p>
      <w:pPr>
        <w:ind w:left="2320" w:right="500"/>
        <w:spacing w:after="0" w:line="277" w:lineRule="auto"/>
        <w:rPr>
          <w:rFonts w:ascii="Arial" w:cs="Arial" w:eastAsia="Arial" w:hAnsi="Arial"/>
          <w:sz w:val="18"/>
          <w:szCs w:val="18"/>
          <w:color w:val="auto"/>
        </w:rPr>
      </w:pPr>
      <w:r>
        <w:rPr>
          <w:rFonts w:ascii="Arial" w:cs="Arial" w:eastAsia="Arial" w:hAnsi="Arial"/>
          <w:sz w:val="18"/>
          <w:szCs w:val="18"/>
          <w:color w:val="auto"/>
        </w:rPr>
        <w:t>Collectively, Prime Doyen may be deemed to beneficially own 9,508,398 shares of Class A common stock, which represents 4.78493% of the outstanding shares of Class A common stock of the Issuer.</w:t>
      </w:r>
    </w:p>
    <w:p>
      <w:pPr>
        <w:spacing w:after="0" w:line="75" w:lineRule="exact"/>
        <w:rPr>
          <w:rFonts w:ascii="Arial" w:cs="Arial" w:eastAsia="Arial" w:hAnsi="Arial"/>
          <w:sz w:val="18"/>
          <w:szCs w:val="18"/>
          <w:color w:val="auto"/>
        </w:rPr>
      </w:pPr>
    </w:p>
    <w:p>
      <w:pPr>
        <w:ind w:left="2320" w:right="180" w:hanging="583"/>
        <w:spacing w:after="0" w:line="277" w:lineRule="auto"/>
        <w:tabs>
          <w:tab w:leader="none" w:pos="2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Bonus Goal directly owns 350,000 shares of Class A common stock, which represents approximately 0.17613% of the outstanding shares of Class A common stock of the Issuer.</w:t>
      </w:r>
    </w:p>
    <w:p>
      <w:pPr>
        <w:spacing w:after="0" w:line="62" w:lineRule="exact"/>
        <w:rPr>
          <w:rFonts w:ascii="Arial" w:cs="Arial" w:eastAsia="Arial" w:hAnsi="Arial"/>
          <w:sz w:val="18"/>
          <w:szCs w:val="18"/>
          <w:color w:val="auto"/>
        </w:rPr>
      </w:pPr>
    </w:p>
    <w:p>
      <w:pPr>
        <w:ind w:left="2320" w:right="160" w:hanging="583"/>
        <w:spacing w:after="0" w:line="277" w:lineRule="auto"/>
        <w:tabs>
          <w:tab w:leader="none" w:pos="2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Insight Advance directly owns 754 shares of Class A common stock, which represents approximately 0.00038% of the outstanding shares of Class A common stock of the Issuer.</w:t>
      </w:r>
    </w:p>
    <w:p>
      <w:pPr>
        <w:spacing w:after="0" w:line="58" w:lineRule="exact"/>
        <w:rPr>
          <w:rFonts w:ascii="Arial" w:cs="Arial" w:eastAsia="Arial" w:hAnsi="Arial"/>
          <w:sz w:val="18"/>
          <w:szCs w:val="18"/>
          <w:color w:val="auto"/>
        </w:rPr>
      </w:pPr>
    </w:p>
    <w:p>
      <w:pPr>
        <w:jc w:val="both"/>
        <w:ind w:left="2320" w:right="40" w:hanging="583"/>
        <w:spacing w:after="0" w:line="266" w:lineRule="auto"/>
        <w:tabs>
          <w:tab w:leader="none" w:pos="2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Prime Tech Global Limited (“</w:t>
      </w:r>
      <w:r>
        <w:rPr>
          <w:rFonts w:ascii="Arial" w:cs="Arial" w:eastAsia="Arial" w:hAnsi="Arial"/>
          <w:sz w:val="18"/>
          <w:szCs w:val="18"/>
          <w:b w:val="1"/>
          <w:bCs w:val="1"/>
          <w:color w:val="auto"/>
        </w:rPr>
        <w:t>Prime Tech</w:t>
      </w:r>
      <w:r>
        <w:rPr>
          <w:rFonts w:ascii="Arial" w:cs="Arial" w:eastAsia="Arial" w:hAnsi="Arial"/>
          <w:sz w:val="18"/>
          <w:szCs w:val="18"/>
          <w:color w:val="auto"/>
        </w:rPr>
        <w:t>”) is the sole shareholder of Bonus Goal, and as such, Prime Tech may also be deemed to beneficially own 350,000 shares of Class A common stock, which represents approximately 0.17613% of the outstanding shares of Class A common stock of the Issuer.</w:t>
      </w:r>
    </w:p>
    <w:p>
      <w:pPr>
        <w:spacing w:after="0" w:line="85" w:lineRule="exact"/>
        <w:rPr>
          <w:rFonts w:ascii="Arial" w:cs="Arial" w:eastAsia="Arial" w:hAnsi="Arial"/>
          <w:sz w:val="18"/>
          <w:szCs w:val="18"/>
          <w:color w:val="auto"/>
        </w:rPr>
      </w:pPr>
    </w:p>
    <w:p>
      <w:pPr>
        <w:ind w:left="2320" w:right="60"/>
        <w:spacing w:after="0" w:line="263" w:lineRule="auto"/>
        <w:rPr>
          <w:rFonts w:ascii="Arial" w:cs="Arial" w:eastAsia="Arial" w:hAnsi="Arial"/>
          <w:sz w:val="18"/>
          <w:szCs w:val="18"/>
          <w:color w:val="auto"/>
        </w:rPr>
      </w:pPr>
      <w:r>
        <w:rPr>
          <w:rFonts w:ascii="Arial" w:cs="Arial" w:eastAsia="Arial" w:hAnsi="Arial"/>
          <w:sz w:val="18"/>
          <w:szCs w:val="18"/>
          <w:color w:val="auto"/>
        </w:rPr>
        <w:t>Prime Tech is also the sole shareholder of Insight Advance, and as such, Prime Tech may also be deemed to beneficially own 754 shares of Class A common stock, which represents approximately 0.00038% of the outstanding shares of Class A common stock of the Issuer.</w:t>
      </w:r>
    </w:p>
    <w:p>
      <w:pPr>
        <w:spacing w:after="0" w:line="89" w:lineRule="exact"/>
        <w:rPr>
          <w:rFonts w:ascii="Arial" w:cs="Arial" w:eastAsia="Arial" w:hAnsi="Arial"/>
          <w:sz w:val="18"/>
          <w:szCs w:val="18"/>
          <w:color w:val="auto"/>
        </w:rPr>
      </w:pPr>
    </w:p>
    <w:p>
      <w:pPr>
        <w:ind w:left="2320" w:right="760"/>
        <w:spacing w:after="0" w:line="308" w:lineRule="auto"/>
        <w:rPr>
          <w:rFonts w:ascii="Arial" w:cs="Arial" w:eastAsia="Arial" w:hAnsi="Arial"/>
          <w:sz w:val="18"/>
          <w:szCs w:val="18"/>
          <w:color w:val="auto"/>
        </w:rPr>
      </w:pPr>
      <w:r>
        <w:rPr>
          <w:rFonts w:ascii="Arial" w:cs="Arial" w:eastAsia="Arial" w:hAnsi="Arial"/>
          <w:sz w:val="17"/>
          <w:szCs w:val="17"/>
          <w:color w:val="auto"/>
        </w:rPr>
        <w:t>Collectively, Prime Tech may be deemed to beneficially own 350,754 shares of Class A common stock, which represents 0.17651% of the outstanding shares of Class A common stock of the Issuer.</w:t>
      </w:r>
    </w:p>
    <w:p>
      <w:pPr>
        <w:spacing w:after="0" w:line="47" w:lineRule="exact"/>
        <w:rPr>
          <w:rFonts w:ascii="Arial" w:cs="Arial" w:eastAsia="Arial" w:hAnsi="Arial"/>
          <w:sz w:val="18"/>
          <w:szCs w:val="18"/>
          <w:color w:val="auto"/>
        </w:rPr>
      </w:pPr>
    </w:p>
    <w:p>
      <w:pPr>
        <w:ind w:left="2320" w:right="220" w:hanging="583"/>
        <w:spacing w:after="0" w:line="261" w:lineRule="auto"/>
        <w:tabs>
          <w:tab w:leader="none" w:pos="2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Mayspin Management Limited (“</w:t>
      </w:r>
      <w:r>
        <w:rPr>
          <w:rFonts w:ascii="Arial" w:cs="Arial" w:eastAsia="Arial" w:hAnsi="Arial"/>
          <w:sz w:val="18"/>
          <w:szCs w:val="18"/>
          <w:b w:val="1"/>
          <w:bCs w:val="1"/>
          <w:color w:val="auto"/>
        </w:rPr>
        <w:t>Mayspin</w:t>
      </w:r>
      <w:r>
        <w:rPr>
          <w:rFonts w:ascii="Arial" w:cs="Arial" w:eastAsia="Arial" w:hAnsi="Arial"/>
          <w:sz w:val="18"/>
          <w:szCs w:val="18"/>
          <w:color w:val="auto"/>
        </w:rPr>
        <w:t>”) is the sole shareholder of Prime Doyen, which is the sole shareholder of Bucantini and Star Arrow, and as such, Mayspin may also be deemed to beneficially own 9,508,398 shares of Class A common stock, which represents approximately 4.78493% of the outstanding shares of Class A common stock of the Issuer.</w:t>
      </w:r>
    </w:p>
    <w:p>
      <w:pPr>
        <w:spacing w:after="0" w:line="89" w:lineRule="exact"/>
        <w:rPr>
          <w:rFonts w:ascii="Arial" w:cs="Arial" w:eastAsia="Arial" w:hAnsi="Arial"/>
          <w:sz w:val="18"/>
          <w:szCs w:val="18"/>
          <w:color w:val="auto"/>
        </w:rPr>
      </w:pPr>
    </w:p>
    <w:p>
      <w:pPr>
        <w:ind w:left="2320" w:right="180"/>
        <w:spacing w:after="0" w:line="311" w:lineRule="auto"/>
        <w:rPr>
          <w:rFonts w:ascii="Arial" w:cs="Arial" w:eastAsia="Arial" w:hAnsi="Arial"/>
          <w:sz w:val="18"/>
          <w:szCs w:val="18"/>
          <w:color w:val="auto"/>
        </w:rPr>
      </w:pPr>
      <w:r>
        <w:rPr>
          <w:rFonts w:ascii="Arial" w:cs="Arial" w:eastAsia="Arial" w:hAnsi="Arial"/>
          <w:sz w:val="16"/>
          <w:szCs w:val="16"/>
          <w:color w:val="auto"/>
        </w:rPr>
        <w:t>Mayspin is also the sole shareholder of Prime Tech, which is the sole shareholder of Bonus Goal and Insight Advance, and as such, Mayspin may also be deemed to beneficially own 350,754 shares of the Class A common stock, which represents approximately 0.17651% of the outstanding shares of Class A common stock of the Issuer.</w:t>
      </w:r>
    </w:p>
    <w:p>
      <w:pPr>
        <w:spacing w:after="0" w:line="54" w:lineRule="exact"/>
        <w:rPr>
          <w:rFonts w:ascii="Arial" w:cs="Arial" w:eastAsia="Arial" w:hAnsi="Arial"/>
          <w:sz w:val="18"/>
          <w:szCs w:val="18"/>
          <w:color w:val="auto"/>
        </w:rPr>
      </w:pPr>
    </w:p>
    <w:p>
      <w:pPr>
        <w:ind w:left="2320" w:right="40"/>
        <w:spacing w:after="0" w:line="277" w:lineRule="auto"/>
        <w:rPr>
          <w:rFonts w:ascii="Arial" w:cs="Arial" w:eastAsia="Arial" w:hAnsi="Arial"/>
          <w:sz w:val="18"/>
          <w:szCs w:val="18"/>
          <w:color w:val="auto"/>
        </w:rPr>
      </w:pPr>
      <w:r>
        <w:rPr>
          <w:rFonts w:ascii="Arial" w:cs="Arial" w:eastAsia="Arial" w:hAnsi="Arial"/>
          <w:sz w:val="18"/>
          <w:szCs w:val="18"/>
          <w:color w:val="auto"/>
        </w:rPr>
        <w:t>Collectively, Mayspin may be deemed to beneficially own 9,859,152 shares of Class A common stock, which represents 4.96144% of the outstanding shares of Class A common stock of the Issuer.</w:t>
      </w:r>
    </w:p>
    <w:p>
      <w:pPr>
        <w:spacing w:after="0" w:line="71" w:lineRule="exact"/>
        <w:rPr>
          <w:rFonts w:ascii="Arial" w:cs="Arial" w:eastAsia="Arial" w:hAnsi="Arial"/>
          <w:sz w:val="18"/>
          <w:szCs w:val="18"/>
          <w:color w:val="auto"/>
        </w:rPr>
      </w:pPr>
    </w:p>
    <w:p>
      <w:pPr>
        <w:ind w:left="2320" w:right="160" w:hanging="583"/>
        <w:spacing w:after="0" w:line="261" w:lineRule="auto"/>
        <w:tabs>
          <w:tab w:leader="none" w:pos="2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Li Ka Shing (“</w:t>
      </w:r>
      <w:r>
        <w:rPr>
          <w:rFonts w:ascii="Arial" w:cs="Arial" w:eastAsia="Arial" w:hAnsi="Arial"/>
          <w:sz w:val="18"/>
          <w:szCs w:val="18"/>
          <w:b w:val="1"/>
          <w:bCs w:val="1"/>
          <w:color w:val="auto"/>
        </w:rPr>
        <w:t>Mr. Li</w:t>
      </w:r>
      <w:r>
        <w:rPr>
          <w:rFonts w:ascii="Arial" w:cs="Arial" w:eastAsia="Arial" w:hAnsi="Arial"/>
          <w:sz w:val="18"/>
          <w:szCs w:val="18"/>
          <w:color w:val="auto"/>
        </w:rPr>
        <w:t>”) is the sole shareholder of Mayspin, which is the sole shareholder of Prime Doyen, which is the sole shareholder of Bucantini and Star Arrow, and as such, Mr. Li may also be deemed to beneficially own 9,508,398 shares of Class A common stock, which represents approximately 4.78493% of the outstanding shares of Class A common stock.</w:t>
      </w:r>
    </w:p>
    <w:p>
      <w:pPr>
        <w:spacing w:after="0" w:line="89" w:lineRule="exact"/>
        <w:rPr>
          <w:rFonts w:ascii="Arial" w:cs="Arial" w:eastAsia="Arial" w:hAnsi="Arial"/>
          <w:sz w:val="18"/>
          <w:szCs w:val="18"/>
          <w:color w:val="auto"/>
        </w:rPr>
      </w:pPr>
    </w:p>
    <w:p>
      <w:pPr>
        <w:ind w:left="2320" w:right="140"/>
        <w:spacing w:after="0" w:line="259" w:lineRule="auto"/>
        <w:rPr>
          <w:rFonts w:ascii="Arial" w:cs="Arial" w:eastAsia="Arial" w:hAnsi="Arial"/>
          <w:sz w:val="18"/>
          <w:szCs w:val="18"/>
          <w:color w:val="auto"/>
        </w:rPr>
      </w:pPr>
      <w:r>
        <w:rPr>
          <w:rFonts w:ascii="Arial" w:cs="Arial" w:eastAsia="Arial" w:hAnsi="Arial"/>
          <w:sz w:val="18"/>
          <w:szCs w:val="18"/>
          <w:color w:val="auto"/>
        </w:rPr>
        <w:t>Since Mayspin is also the sole shareholder of Prime Tech, which is the sole shareholder of Bonus Goal and Insight Advance, Mr. Li, as the sole shareholder of Mayspin, may also be deemed to beneficially own 350,754 shares of the Class A common stock, which represents approximately 0.17651% of the outstanding shares of Class A common stock of the Issuer.</w:t>
      </w:r>
    </w:p>
    <w:p>
      <w:pPr>
        <w:sectPr>
          <w:pgSz w:w="11900" w:h="16838" w:orient="portrait"/>
          <w:cols w:equalWidth="0" w:num="1">
            <w:col w:w="11020"/>
          </w:cols>
          <w:pgMar w:left="440" w:top="274" w:right="439" w:bottom="1440" w:gutter="0" w:footer="0" w:header="0"/>
        </w:sectPr>
      </w:pPr>
    </w:p>
    <w:bookmarkStart w:id="11" w:name="page12"/>
    <w:bookmarkEnd w:id="11"/>
    <w:p>
      <w:pPr>
        <w:spacing w:after="0"/>
        <w:tabs>
          <w:tab w:leader="none" w:pos="49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13G/A</w:t>
      </w:r>
      <w:r>
        <w:rPr>
          <w:sz w:val="20"/>
          <w:szCs w:val="20"/>
          <w:color w:val="auto"/>
        </w:rPr>
        <w:tab/>
      </w:r>
      <w:r>
        <w:rPr>
          <w:rFonts w:ascii="Arial" w:cs="Arial" w:eastAsia="Arial" w:hAnsi="Arial"/>
          <w:sz w:val="15"/>
          <w:szCs w:val="15"/>
          <w:color w:val="auto"/>
        </w:rPr>
        <w:t>Page 12 of 14 Pages</w:t>
      </w:r>
    </w:p>
    <w:p>
      <w:pPr>
        <w:spacing w:after="0" w:line="266" w:lineRule="exact"/>
        <w:rPr>
          <w:sz w:val="20"/>
          <w:szCs w:val="20"/>
          <w:color w:val="auto"/>
        </w:rPr>
      </w:pPr>
    </w:p>
    <w:p>
      <w:pPr>
        <w:ind w:left="540" w:right="740"/>
        <w:spacing w:after="0" w:line="277" w:lineRule="auto"/>
        <w:rPr>
          <w:sz w:val="20"/>
          <w:szCs w:val="20"/>
          <w:color w:val="auto"/>
        </w:rPr>
      </w:pPr>
      <w:r>
        <w:rPr>
          <w:rFonts w:ascii="Arial" w:cs="Arial" w:eastAsia="Arial" w:hAnsi="Arial"/>
          <w:sz w:val="18"/>
          <w:szCs w:val="18"/>
          <w:color w:val="auto"/>
        </w:rPr>
        <w:t>Collectively, Mr. Li may be deemed to beneficially own 9,859,152 shares of Class A common stock, which represents 4.96144% of the outstanding shares of Class A common stock of the Issuer.</w:t>
      </w:r>
    </w:p>
    <w:p>
      <w:pPr>
        <w:spacing w:after="0" w:line="76" w:lineRule="exact"/>
        <w:rPr>
          <w:sz w:val="20"/>
          <w:szCs w:val="20"/>
          <w:color w:val="auto"/>
        </w:rPr>
      </w:pPr>
    </w:p>
    <w:p>
      <w:pPr>
        <w:ind w:left="540" w:right="320"/>
        <w:spacing w:after="0" w:line="277" w:lineRule="auto"/>
        <w:rPr>
          <w:sz w:val="20"/>
          <w:szCs w:val="20"/>
          <w:color w:val="auto"/>
        </w:rPr>
      </w:pPr>
      <w:r>
        <w:rPr>
          <w:rFonts w:ascii="Arial" w:cs="Arial" w:eastAsia="Arial" w:hAnsi="Arial"/>
          <w:sz w:val="18"/>
          <w:szCs w:val="18"/>
          <w:color w:val="auto"/>
        </w:rPr>
        <w:t>The percent of the class and voting power were calculated based on 198,715,606 shares of Class A common stock (as reported in the Issuer’s Quarterly Report on Form 10-Q as filed by the Issuer with the SEC on December 4, 2020).</w:t>
      </w:r>
    </w:p>
    <w:p>
      <w:pPr>
        <w:spacing w:after="0" w:line="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  Number of shares as to which such person has: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5900" w:type="dxa"/>
            <w:vAlign w:val="bottom"/>
            <w:vMerge w:val="restart"/>
          </w:tcPr>
          <w:p>
            <w:pPr>
              <w:spacing w:after="0"/>
              <w:rPr>
                <w:sz w:val="14"/>
                <w:szCs w:val="14"/>
                <w:color w:val="auto"/>
              </w:rPr>
            </w:pPr>
          </w:p>
        </w:tc>
        <w:tc>
          <w:tcPr>
            <w:tcW w:w="3120" w:type="dxa"/>
            <w:vAlign w:val="bottom"/>
            <w:gridSpan w:val="8"/>
          </w:tcPr>
          <w:p>
            <w:pPr>
              <w:ind w:left="180"/>
              <w:spacing w:after="0"/>
              <w:rPr>
                <w:sz w:val="20"/>
                <w:szCs w:val="20"/>
                <w:color w:val="auto"/>
              </w:rPr>
            </w:pPr>
            <w:r>
              <w:rPr>
                <w:rFonts w:ascii="Arial" w:cs="Arial" w:eastAsia="Arial" w:hAnsi="Arial"/>
                <w:sz w:val="14"/>
                <w:szCs w:val="14"/>
                <w:b w:val="1"/>
                <w:bCs w:val="1"/>
                <w:color w:val="auto"/>
                <w:w w:val="97"/>
              </w:rPr>
              <w:t>Number of Shares of Class A Common Stock</w:t>
            </w:r>
          </w:p>
        </w:tc>
        <w:tc>
          <w:tcPr>
            <w:tcW w:w="0" w:type="dxa"/>
            <w:vAlign w:val="bottom"/>
          </w:tcPr>
          <w:p>
            <w:pPr>
              <w:spacing w:after="0"/>
              <w:rPr>
                <w:sz w:val="1"/>
                <w:szCs w:val="1"/>
                <w:color w:val="auto"/>
              </w:rPr>
            </w:pPr>
          </w:p>
        </w:tc>
      </w:tr>
      <w:tr>
        <w:trPr>
          <w:trHeight w:val="148"/>
        </w:trPr>
        <w:tc>
          <w:tcPr>
            <w:tcW w:w="1100" w:type="dxa"/>
            <w:vAlign w:val="bottom"/>
            <w:tcBorders>
              <w:bottom w:val="single" w:sz="8" w:color="auto"/>
            </w:tcBorders>
            <w:vMerge w:val="continue"/>
          </w:tcPr>
          <w:p>
            <w:pPr>
              <w:spacing w:after="0"/>
              <w:rPr>
                <w:sz w:val="12"/>
                <w:szCs w:val="12"/>
                <w:color w:val="auto"/>
              </w:rPr>
            </w:pPr>
          </w:p>
        </w:tc>
        <w:tc>
          <w:tcPr>
            <w:tcW w:w="5900" w:type="dxa"/>
            <w:vAlign w:val="bottom"/>
            <w:vMerge w:val="continue"/>
          </w:tcPr>
          <w:p>
            <w:pPr>
              <w:spacing w:after="0"/>
              <w:rPr>
                <w:sz w:val="12"/>
                <w:szCs w:val="12"/>
                <w:color w:val="auto"/>
              </w:rPr>
            </w:pPr>
          </w:p>
        </w:tc>
        <w:tc>
          <w:tcPr>
            <w:tcW w:w="5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(i)</w:t>
            </w:r>
          </w:p>
        </w:tc>
        <w:tc>
          <w:tcPr>
            <w:tcW w:w="110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(ii)</w:t>
            </w:r>
          </w:p>
        </w:tc>
        <w:tc>
          <w:tcPr>
            <w:tcW w:w="54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(iii)</w:t>
            </w:r>
          </w:p>
        </w:tc>
        <w:tc>
          <w:tcPr>
            <w:tcW w:w="900" w:type="dxa"/>
            <w:vAlign w:val="bottom"/>
            <w:tcBorders>
              <w:top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(iv)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 Ka Shing</w:t>
            </w:r>
          </w:p>
        </w:tc>
        <w:tc>
          <w:tcPr>
            <w:tcW w:w="3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90"/>
              </w:rPr>
              <w:t>-0-</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9,859,152</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9,859,152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Mayspin Management Limited</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9,859,152</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9,859,152</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Doyen Limited</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9,508,398</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9,508,398</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Bucantini Enterprises Limited</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7,508,398</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7,508,398</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Star Arrow Limited</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2,000,000</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Prime Tech Global Limited</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350,754</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350,754</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Goal International Limited</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Insight Advance Limited</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754</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480" w:hanging="341"/>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130" w:lineRule="exact"/>
        <w:rPr>
          <w:rFonts w:ascii="Arial" w:cs="Arial" w:eastAsia="Arial" w:hAnsi="Arial"/>
          <w:sz w:val="18"/>
          <w:szCs w:val="18"/>
          <w:color w:val="auto"/>
        </w:rPr>
      </w:pPr>
    </w:p>
    <w:p>
      <w:pPr>
        <w:ind w:left="1480" w:hanging="341"/>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480" w:hanging="341"/>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1480" w:hanging="341"/>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31" w:lineRule="exact"/>
        <w:rPr>
          <w:sz w:val="20"/>
          <w:szCs w:val="20"/>
          <w:color w:val="auto"/>
        </w:rPr>
      </w:pPr>
    </w:p>
    <w:p>
      <w:pPr>
        <w:ind w:left="780" w:right="240"/>
        <w:spacing w:after="0" w:line="277" w:lineRule="auto"/>
        <w:rPr>
          <w:sz w:val="20"/>
          <w:szCs w:val="20"/>
          <w:color w:val="auto"/>
        </w:rPr>
      </w:pPr>
      <w:r>
        <w:rPr>
          <w:rFonts w:ascii="Arial" w:cs="Arial" w:eastAsia="Arial" w:hAnsi="Arial"/>
          <w:sz w:val="18"/>
          <w:szCs w:val="18"/>
          <w:color w:val="auto"/>
        </w:rPr>
        <w:t>The percent of class was calculated based on 198,715,606 shares of Class A common stock (as reported in the Issuer’s Quarterly Report on Form 10-Q as filed by the Issuer with the SEC on December 4, 2020).</w:t>
      </w:r>
    </w:p>
    <w:p>
      <w:pPr>
        <w:spacing w:after="0" w:line="2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5" w:lineRule="exact"/>
        <w:rPr>
          <w:sz w:val="20"/>
          <w:szCs w:val="20"/>
          <w:color w:val="auto"/>
        </w:rPr>
      </w:pPr>
    </w:p>
    <w:p>
      <w:pPr>
        <w:ind w:left="780" w:right="2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0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780" w:right="120" w:hanging="782"/>
        <w:spacing w:after="0" w:line="282" w:lineRule="auto"/>
        <w:tabs>
          <w:tab w:leader="none" w:pos="76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7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jc w:val="right"/>
        <w:ind w:right="9180"/>
        <w:spacing w:after="0"/>
        <w:tabs>
          <w:tab w:leader="none" w:pos="102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b w:val="1"/>
          <w:bCs w:val="1"/>
          <w:color w:val="auto"/>
        </w:rPr>
        <w:t xml:space="preserve">Certification </w:t>
      </w:r>
      <w:r>
        <w:rPr>
          <w:rFonts w:ascii="Arial" w:cs="Arial" w:eastAsia="Arial" w:hAnsi="Arial"/>
          <w:sz w:val="16"/>
          <w:szCs w:val="16"/>
          <w:color w:val="auto"/>
        </w:rPr>
        <w:t>.</w:t>
      </w:r>
    </w:p>
    <w:p>
      <w:pPr>
        <w:spacing w:after="0" w:line="135" w:lineRule="exact"/>
        <w:rPr>
          <w:sz w:val="20"/>
          <w:szCs w:val="20"/>
          <w:color w:val="auto"/>
        </w:rPr>
      </w:pPr>
    </w:p>
    <w:p>
      <w:pPr>
        <w:jc w:val="right"/>
        <w:ind w:right="91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12" w:name="page13"/>
    <w:bookmarkEnd w:id="12"/>
    <w:p>
      <w:pPr>
        <w:spacing w:after="0"/>
        <w:tabs>
          <w:tab w:leader="none" w:pos="49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13G/A</w:t>
      </w:r>
      <w:r>
        <w:rPr>
          <w:sz w:val="20"/>
          <w:szCs w:val="20"/>
          <w:color w:val="auto"/>
        </w:rPr>
        <w:tab/>
      </w:r>
      <w:r>
        <w:rPr>
          <w:rFonts w:ascii="Arial" w:cs="Arial" w:eastAsia="Arial" w:hAnsi="Arial"/>
          <w:sz w:val="15"/>
          <w:szCs w:val="15"/>
          <w:color w:val="auto"/>
        </w:rPr>
        <w:t>Page 13 of 14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 KA SHING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 Ka 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Li Ka Shing</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MAYSPIN MANAGEMENT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DOYEN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BUCANTINI ENTERPRISES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STAR ARROW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TECH GLOBAL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1020"/>
          </w:cols>
          <w:pgMar w:left="440" w:top="274" w:right="439" w:bottom="1440" w:gutter="0" w:footer="0" w:header="0"/>
        </w:sectPr>
      </w:pPr>
    </w:p>
    <w:bookmarkStart w:id="13" w:name="page14"/>
    <w:bookmarkEnd w:id="13"/>
    <w:p>
      <w:pPr>
        <w:spacing w:after="0"/>
        <w:tabs>
          <w:tab w:leader="none" w:pos="490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98980L101</w:t>
      </w:r>
      <w:r>
        <w:rPr>
          <w:sz w:val="20"/>
          <w:szCs w:val="20"/>
          <w:color w:val="auto"/>
        </w:rPr>
        <w:tab/>
      </w:r>
      <w:r>
        <w:rPr>
          <w:rFonts w:ascii="Arial" w:cs="Arial" w:eastAsia="Arial" w:hAnsi="Arial"/>
          <w:sz w:val="18"/>
          <w:szCs w:val="18"/>
          <w:color w:val="auto"/>
        </w:rPr>
        <w:t>SCHEDULE 13G/A</w:t>
      </w:r>
      <w:r>
        <w:rPr>
          <w:sz w:val="20"/>
          <w:szCs w:val="20"/>
          <w:color w:val="auto"/>
        </w:rPr>
        <w:tab/>
      </w:r>
      <w:r>
        <w:rPr>
          <w:rFonts w:ascii="Arial" w:cs="Arial" w:eastAsia="Arial" w:hAnsi="Arial"/>
          <w:sz w:val="15"/>
          <w:szCs w:val="15"/>
          <w:color w:val="auto"/>
        </w:rPr>
        <w:t>Page 14 of 14 Pages</w:t>
      </w:r>
    </w:p>
    <w:p>
      <w:pPr>
        <w:sectPr>
          <w:pgSz w:w="11900" w:h="16838" w:orient="portrait"/>
          <w:cols w:equalWidth="0" w:num="1">
            <w:col w:w="11020"/>
          </w:cols>
          <w:pgMar w:left="440" w:top="274" w:right="439" w:bottom="1440" w:gutter="0" w:footer="0" w:header="0"/>
        </w:sectPr>
      </w:pPr>
    </w:p>
    <w:p>
      <w:pPr>
        <w:spacing w:after="0" w:line="15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BONUS GOAL INTERNATIONAL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INSIGHT ADVANCE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1020"/>
          </w:cols>
          <w:pgMar w:left="440" w:top="274" w:right="4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 KA SHING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Li Ka 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Li Ka Shing</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MAYSPIN MANAGEMENT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DOYEN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BUCANTINI ENTERPRISES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STAR ARROW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PRIME TECH GLOBAL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1020"/>
          </w:cols>
          <w:pgMar w:left="440" w:top="121" w:right="439" w:bottom="1440" w:gutter="0" w:footer="0" w:header="0"/>
        </w:sectPr>
      </w:pPr>
    </w:p>
    <w:bookmarkStart w:id="15" w:name="page16"/>
    <w:bookmarkEnd w:id="1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BONUS GOAL INTERNATIONAL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INSIGHT ADVANCE LIMITED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 Yee Wan Ezra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sectPr>
      <w:pgSz w:w="11900" w:h="16838" w:orient="portrait"/>
      <w:cols w:equalWidth="0" w:num="1">
        <w:col w:w="9220"/>
      </w:cols>
      <w:pgMar w:left="1440" w:top="48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lvl w:ilvl="1">
      <w:lvlJc w:val="left"/>
      <w:lvlText w:val="(%2)"/>
      <w:numFmt w:val="lowerRoman"/>
      <w:start w:val="1"/>
    </w:lvl>
  </w:abstractNum>
  <w:abstractNum w:abstractNumId="12">
    <w:nsid w:val="7FDCC233"/>
    <w:multiLevelType w:val="hybridMultilevel"/>
    <w:lvl w:ilvl="0">
      <w:lvlJc w:val="left"/>
      <w:lvlText w:val="(%1)"/>
      <w:numFmt w:val="lowerLetter"/>
      <w:start w:val="4"/>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2021-02-09T15:41:08Z</dcterms:created>
  <dcterms:modified xsi:type="dcterms:W3CDTF">2021-02-09T15:41:08Z</dcterms:modified>
</cp:coreProperties>
</file>