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9" w:after="283"/>
        <w:jc w:val="center"/>
        <w:rPr/>
      </w:pPr>
      <w:r>
        <w:rPr/>
      </w:r>
    </w:p>
    <w:p>
      <w:pPr>
        <w:pStyle w:val="TextBody"/>
        <w:bidi w:val="0"/>
        <w:spacing w:lineRule="auto" w:line="288" w:before="9"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SCHEDULE 14A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40" w:type="dxa"/>
        <w:jc w:val="center"/>
        <w:tblInd w:w="0" w:type="dxa"/>
        <w:tblLayout w:type="fixed"/>
        <w:tblCellMar>
          <w:top w:w="28" w:type="dxa"/>
          <w:left w:w="28" w:type="dxa"/>
          <w:bottom w:w="28" w:type="dxa"/>
          <w:right w:w="28" w:type="dxa"/>
        </w:tblCellMar>
      </w:tblPr>
      <w:tblGrid>
        <w:gridCol w:w="1021"/>
        <w:gridCol w:w="897"/>
        <w:gridCol w:w="897"/>
        <w:gridCol w:w="1989"/>
        <w:gridCol w:w="1989"/>
        <w:gridCol w:w="284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  ☒ Filed by a Party other than the Registrant ☐</w:t>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Zoom Video Communications, Inc.</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(Name of Person(s) Filing Proxy Statement, if other than the Registrant)</w:t>
      </w:r>
    </w:p>
    <w:tbl>
      <w:tblPr>
        <w:tblW w:w="9390" w:type="dxa"/>
        <w:jc w:val="center"/>
        <w:tblInd w:w="0" w:type="dxa"/>
        <w:tblLayout w:type="fixed"/>
        <w:tblCellMar>
          <w:top w:w="28" w:type="dxa"/>
          <w:left w:w="28" w:type="dxa"/>
          <w:bottom w:w="28" w:type="dxa"/>
          <w:right w:w="28" w:type="dxa"/>
        </w:tblCellMar>
      </w:tblPr>
      <w:tblGrid>
        <w:gridCol w:w="437"/>
        <w:gridCol w:w="382"/>
        <w:gridCol w:w="382"/>
        <w:gridCol w:w="2371"/>
        <w:gridCol w:w="2371"/>
        <w:gridCol w:w="3447"/>
      </w:tblGrid>
      <w:tr>
        <w:trPr/>
        <w:tc>
          <w:tcPr>
            <w:tcW w:w="4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9390" w:type="dxa"/>
            <w:gridSpan w:val="6"/>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w:t>
            </w:r>
          </w:p>
        </w:tc>
      </w:tr>
      <w:tr>
        <w:trPr/>
        <w:tc>
          <w:tcPr>
            <w:tcW w:w="9390" w:type="dxa"/>
            <w:gridSpan w:val="6"/>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all boxes that apply):</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13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88"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 and 0-11.</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ind w:left="0" w:right="0" w:firstLine="90"/>
        <w:jc w:val="center"/>
        <w:rPr/>
      </w:pPr>
      <w:r>
        <w:rPr>
          <w:rFonts w:ascii="Times New Roman;sans-serif" w:hAnsi="Times New Roman;sans-serif"/>
          <w:b/>
          <w:color w:val="000000"/>
          <w:sz w:val="20"/>
        </w:rPr>
        <w:t>55 ALMADEN BLVD.,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SAN JOSE, CALIFORNIA 95113</w:t>
      </w:r>
    </w:p>
    <w:p>
      <w:pPr>
        <w:pStyle w:val="TextBody"/>
        <w:bidi w:val="0"/>
        <w:spacing w:lineRule="auto" w:line="288" w:before="0" w:after="0"/>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TO BE HELD AT 10:00 A.M. PACIFIC TIME ON THURSDAY, JUNE 13, 2024</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Stockholders of Zoom Video Communications, Inc.:</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We cordially invite you to attend the 2024 annual meeting of stockholders (the “Annual Meeting”) of Zoom Video Communications, Inc., a Delaware corporation, which will be held as a virtual meeting on </w:t>
      </w:r>
      <w:r>
        <w:rPr>
          <w:rFonts w:ascii="Times New Roman;sans-serif" w:hAnsi="Times New Roman;sans-serif"/>
          <w:b/>
          <w:color w:val="000000"/>
          <w:sz w:val="20"/>
        </w:rPr>
        <w:t>Thursday, June 13, 2024 at 10:00 a.m. Pacific Time</w:t>
      </w:r>
      <w:r>
        <w:rPr>
          <w:rFonts w:ascii="Times New Roman;sans-serif" w:hAnsi="Times New Roman;sans-serif"/>
          <w:b w:val="false"/>
          <w:color w:val="000000"/>
          <w:sz w:val="20"/>
        </w:rPr>
        <w:t>. You can attend the Annual Meeting via a live interactive webcast on the internet at www.virtualshareholdermeeting.com/ZM2024 where you will be able to view the meeting live, submit questions (before and during the meeting) and vote online.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holding the Annual Meeting for the following purposes, as more fully described in the accompanying proxy statement: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 elect the three nominees for Class II directors named in the accompanying proxy statement to serve until the 2027 annual meeting of stockholders and until their successors are duly elected and qualified;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2.To ratify the appointment of KPMG LLP as our independent registered public accounting firm for our fiscal year ending January 31, 2025;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solicit an advisory vote to approve the compensation of our named executive officers;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4.To transact such other business that may properly come before the Annual Meeting or any adjournments or postponements thereof.</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fixed the close of business on April 15, 2024 as the record date for the Annual Meeting (the “Record Date”). Only stockholders of record on April 15, 2024 are entitled to notice of and to vote at the Annual Meeting. Further information regarding voting rights and the matters to be voted upon is presented in the accompanying proxy statement.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about May 2, 2024,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 </w:t>
      </w:r>
    </w:p>
    <w:p>
      <w:pPr>
        <w:pStyle w:val="TextBody"/>
        <w:bidi w:val="0"/>
        <w:spacing w:lineRule="auto" w:line="288" w:before="0" w:after="20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appreciate your continued support of Zoom.</w:t>
      </w:r>
    </w:p>
    <w:tbl>
      <w:tblPr>
        <w:tblW w:w="5159" w:type="dxa"/>
        <w:jc w:val="left"/>
        <w:tblInd w:w="0" w:type="dxa"/>
        <w:tblLayout w:type="fixed"/>
        <w:tblCellMar>
          <w:top w:w="28" w:type="dxa"/>
          <w:left w:w="28" w:type="dxa"/>
          <w:bottom w:w="28" w:type="dxa"/>
          <w:right w:w="28" w:type="dxa"/>
        </w:tblCellMar>
      </w:tblPr>
      <w:tblGrid>
        <w:gridCol w:w="1648"/>
        <w:gridCol w:w="1449"/>
        <w:gridCol w:w="2062"/>
      </w:tblGrid>
      <w:tr>
        <w:trPr/>
        <w:tc>
          <w:tcPr>
            <w:tcW w:w="164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61"/>
        <w:gridCol w:w="3033"/>
        <w:gridCol w:w="3039"/>
        <w:gridCol w:w="167"/>
        <w:gridCol w:w="167"/>
        <w:gridCol w:w="238"/>
      </w:tblGrid>
      <w:tr>
        <w:trPr/>
        <w:tc>
          <w:tcPr>
            <w:tcW w:w="3561"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240" w:after="240"/>
              <w:jc w:val="left"/>
              <w:rPr/>
            </w:pPr>
            <w:hyperlink w:anchor="iadba69f9383f4305beaac1257c1fa1a6_13">
              <w:r>
                <w:rPr>
                  <w:rStyle w:val="InternetLink"/>
                  <w:rFonts w:ascii="Times New Roman;sans-serif" w:hAnsi="Times New Roman;sans-serif"/>
                  <w:b w:val="false"/>
                  <w:color w:val="0000FF"/>
                  <w:sz w:val="20"/>
                  <w:u w:val="single"/>
                </w:rPr>
                <w:t>QUESTIONS AND ANSWERS ABOUT THESE PROXY MATERIALS AND VOTING</w:t>
              </w:r>
            </w:hyperlink>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adba69f9383f4305beaac1257c1fa1a6_13">
              <w:r>
                <w:rPr>
                  <w:rStyle w:val="InternetLink"/>
                  <w:rFonts w:ascii="Times New Roman;sans-serif" w:hAnsi="Times New Roman;sans-serif"/>
                  <w:b w:val="false"/>
                  <w:color w:val="0000FF"/>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
              <w:r>
                <w:rPr>
                  <w:rStyle w:val="InternetLink"/>
                  <w:rFonts w:ascii="Times New Roman;sans-serif" w:hAnsi="Times New Roman;sans-serif"/>
                  <w:b w:val="false"/>
                  <w:color w:val="0000FF"/>
                  <w:sz w:val="20"/>
                  <w:u w:val="single"/>
                </w:rPr>
                <w:t>BOARD OF DIRECTORS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
              <w:r>
                <w:rPr>
                  <w:rStyle w:val="InternetLink"/>
                  <w:rFonts w:ascii="Times New Roman;sans-serif" w:hAnsi="Times New Roman;sans-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9">
              <w:r>
                <w:rPr>
                  <w:rStyle w:val="InternetLink"/>
                  <w:rFonts w:ascii="Times New Roman;sans-serif" w:hAnsi="Times New Roman;sans-serif"/>
                  <w:b w:val="false"/>
                  <w:color w:val="0000FF"/>
                  <w:sz w:val="20"/>
                  <w:u w:val="single"/>
                </w:rPr>
                <w:t>Nominees for Director</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9">
              <w:r>
                <w:rPr>
                  <w:rStyle w:val="InternetLink"/>
                  <w:rFonts w:ascii="Times New Roman;sans-serif" w:hAnsi="Times New Roman;sans-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22">
              <w:r>
                <w:rPr>
                  <w:rStyle w:val="InternetLink"/>
                  <w:rFonts w:ascii="Times New Roman;sans-serif" w:hAnsi="Times New Roman;sans-serif"/>
                  <w:b w:val="false"/>
                  <w:color w:val="0000FF"/>
                  <w:sz w:val="20"/>
                  <w:u w:val="single"/>
                </w:rPr>
                <w:t>Continuing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22">
              <w:r>
                <w:rPr>
                  <w:rStyle w:val="InternetLink"/>
                  <w:rFonts w:ascii="Times New Roman;sans-serif" w:hAnsi="Times New Roman;sans-serif"/>
                  <w:b w:val="false"/>
                  <w:color w:val="0000FF"/>
                  <w:sz w:val="20"/>
                  <w:u w:val="singl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25">
              <w:r>
                <w:rPr>
                  <w:rStyle w:val="InternetLink"/>
                  <w:rFonts w:ascii="Times New Roman;sans-serif" w:hAnsi="Times New Roman;sans-serif"/>
                  <w:b w:val="false"/>
                  <w:color w:val="0000FF"/>
                  <w:sz w:val="20"/>
                  <w:u w:val="single"/>
                </w:rPr>
                <w:t>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25">
              <w:r>
                <w:rPr>
                  <w:rStyle w:val="InternetLink"/>
                  <w:rFonts w:ascii="Times New Roman;sans-serif" w:hAnsi="Times New Roman;sans-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28">
              <w:r>
                <w:rPr>
                  <w:rStyle w:val="InternetLink"/>
                  <w:rFonts w:ascii="Times New Roman;sans-serif" w:hAnsi="Times New Roman;sans-serif"/>
                  <w:b w:val="false"/>
                  <w:color w:val="0000FF"/>
                  <w:sz w:val="20"/>
                  <w:u w:val="single"/>
                </w:rPr>
                <w:t>Board Leadership Structure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28">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31">
              <w:r>
                <w:rPr>
                  <w:rStyle w:val="InternetLink"/>
                  <w:rFonts w:ascii="Times New Roman;sans-serif" w:hAnsi="Times New Roman;sans-serif"/>
                  <w:b w:val="false"/>
                  <w:color w:val="0000FF"/>
                  <w:sz w:val="20"/>
                  <w:u w:val="single"/>
                </w:rPr>
                <w:t>Lead Independent Director</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31">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34">
              <w:r>
                <w:rPr>
                  <w:rStyle w:val="InternetLink"/>
                  <w:rFonts w:ascii="Times New Roman;sans-serif" w:hAnsi="Times New Roman;sans-serif"/>
                  <w:b w:val="false"/>
                  <w:color w:val="0000FF"/>
                  <w:sz w:val="20"/>
                  <w:u w:val="single"/>
                </w:rPr>
                <w:t>Board and Stockholder Meetings and Committees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34">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37">
              <w:r>
                <w:rPr>
                  <w:rStyle w:val="InternetLink"/>
                  <w:rFonts w:ascii="Times New Roman;sans-serif" w:hAnsi="Times New Roman;sans-serif"/>
                  <w:b w:val="false"/>
                  <w:color w:val="0000FF"/>
                  <w:sz w:val="20"/>
                  <w:u w:val="single"/>
                </w:rPr>
                <w:t>Compensation Committee Interlocks and Insider Participation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37">
              <w:r>
                <w:rPr>
                  <w:rStyle w:val="InternetLink"/>
                  <w:rFonts w:ascii="Times New Roman;sans-serif" w:hAnsi="Times New Roman;sans-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40">
              <w:r>
                <w:rPr>
                  <w:rStyle w:val="InternetLink"/>
                  <w:rFonts w:ascii="Times New Roman;sans-serif" w:hAnsi="Times New Roman;sans-serif"/>
                  <w:b w:val="false"/>
                  <w:color w:val="0000FF"/>
                  <w:sz w:val="20"/>
                  <w:u w:val="single"/>
                </w:rPr>
                <w:t>Considerations in Evaluating Director Nominees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40">
              <w:r>
                <w:rPr>
                  <w:rStyle w:val="InternetLink"/>
                  <w:rFonts w:ascii="Times New Roman;sans-serif" w:hAnsi="Times New Roman;sans-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43">
              <w:r>
                <w:rPr>
                  <w:rStyle w:val="InternetLink"/>
                  <w:rFonts w:ascii="Times New Roman;sans-serif" w:hAnsi="Times New Roman;sans-serif"/>
                  <w:b w:val="false"/>
                  <w:color w:val="0000FF"/>
                  <w:sz w:val="20"/>
                  <w:u w:val="single"/>
                </w:rPr>
                <w:t>Stockholder Recommendations for Nominations to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43">
              <w:r>
                <w:rPr>
                  <w:rStyle w:val="InternetLink"/>
                  <w:rFonts w:ascii="Times New Roman;sans-serif" w:hAnsi="Times New Roman;sans-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46">
              <w:r>
                <w:rPr>
                  <w:rStyle w:val="InternetLink"/>
                  <w:rFonts w:ascii="Times New Roman;sans-serif" w:hAnsi="Times New Roman;sans-serif"/>
                  <w:b w:val="false"/>
                  <w:color w:val="0000FF"/>
                  <w:sz w:val="20"/>
                  <w:u w:val="single"/>
                </w:rPr>
                <w:t>Communications with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46">
              <w:r>
                <w:rPr>
                  <w:rStyle w:val="InternetLink"/>
                  <w:rFonts w:ascii="Times New Roman;sans-serif" w:hAnsi="Times New Roman;sans-serif"/>
                  <w:b w:val="false"/>
                  <w:color w:val="0000FF"/>
                  <w:sz w:val="20"/>
                  <w:u w:val="singl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49">
              <w:r>
                <w:rPr>
                  <w:rStyle w:val="InternetLink"/>
                  <w:rFonts w:ascii="Times New Roman;sans-serif" w:hAnsi="Times New Roman;sans-serif"/>
                  <w:b w:val="false"/>
                  <w:color w:val="0000FF"/>
                  <w:sz w:val="20"/>
                  <w:u w:val="single"/>
                </w:rPr>
                <w:t>Corporate Governance Guidelines and Code of Business Conduct and Ethics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49">
              <w:r>
                <w:rPr>
                  <w:rStyle w:val="InternetLink"/>
                  <w:rFonts w:ascii="Times New Roman;sans-serif" w:hAnsi="Times New Roman;sans-serif"/>
                  <w:b w:val="false"/>
                  <w:color w:val="0000FF"/>
                  <w:sz w:val="20"/>
                  <w:u w:val="singl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52">
              <w:r>
                <w:rPr>
                  <w:rStyle w:val="InternetLink"/>
                  <w:rFonts w:ascii="Times New Roman;sans-serif" w:hAnsi="Times New Roman;sans-serif"/>
                  <w:b w:val="false"/>
                  <w:color w:val="0000FF"/>
                  <w:sz w:val="20"/>
                  <w:u w:val="single"/>
                </w:rPr>
                <w:t>Risk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52">
              <w:r>
                <w:rPr>
                  <w:rStyle w:val="InternetLink"/>
                  <w:rFonts w:ascii="Times New Roman;sans-serif" w:hAnsi="Times New Roman;sans-serif"/>
                  <w:b w:val="false"/>
                  <w:color w:val="0000FF"/>
                  <w:sz w:val="20"/>
                  <w:u w:val="singl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55">
              <w:r>
                <w:rPr>
                  <w:rStyle w:val="InternetLink"/>
                  <w:rFonts w:ascii="Times New Roman;sans-serif" w:hAnsi="Times New Roman;sans-serif"/>
                  <w:b w:val="false"/>
                  <w:color w:val="0000FF"/>
                  <w:sz w:val="20"/>
                  <w:u w:val="single"/>
                </w:rPr>
                <w:t>Prohibition on Hedging, Short Sales and Pledging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55">
              <w:r>
                <w:rPr>
                  <w:rStyle w:val="InternetLink"/>
                  <w:rFonts w:ascii="Times New Roman;sans-serif" w:hAnsi="Times New Roman;sans-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58">
              <w:r>
                <w:rPr>
                  <w:rStyle w:val="InternetLink"/>
                  <w:rFonts w:ascii="Times New Roman;sans-serif" w:hAnsi="Times New Roman;sans-serif"/>
                  <w:b w:val="false"/>
                  <w:color w:val="0000FF"/>
                  <w:sz w:val="20"/>
                  <w:u w:val="single"/>
                </w:rPr>
                <w:t>Environmental, Social, and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58">
              <w:r>
                <w:rPr>
                  <w:rStyle w:val="InternetLink"/>
                  <w:rFonts w:ascii="Times New Roman;sans-serif" w:hAnsi="Times New Roman;sans-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61">
              <w:r>
                <w:rPr>
                  <w:rStyle w:val="InternetLink"/>
                  <w:rFonts w:ascii="Times New Roman;sans-serif" w:hAnsi="Times New Roman;sans-serif"/>
                  <w:b w:val="false"/>
                  <w:color w:val="0000FF"/>
                  <w:sz w:val="20"/>
                  <w:u w:val="single"/>
                </w:rPr>
                <w:t>Non-Employee Director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61">
              <w:r>
                <w:rPr>
                  <w:rStyle w:val="InternetLink"/>
                  <w:rFonts w:ascii="Times New Roman;sans-serif" w:hAnsi="Times New Roman;sans-serif"/>
                  <w:b w:val="false"/>
                  <w:color w:val="0000FF"/>
                  <w:sz w:val="20"/>
                  <w:u w:val="single"/>
                </w:rPr>
                <w:t>18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64">
              <w:r>
                <w:rPr>
                  <w:rStyle w:val="InternetLink"/>
                  <w:rFonts w:ascii="Times New Roman;sans-serif" w:hAnsi="Times New Roman;sans-serif"/>
                  <w:b w:val="false"/>
                  <w:color w:val="0000FF"/>
                  <w:sz w:val="20"/>
                  <w:u w:val="single"/>
                </w:rPr>
                <w:t>PROPOSAL NO. 1 ELECTION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64">
              <w:r>
                <w:rPr>
                  <w:rStyle w:val="InternetLink"/>
                  <w:rFonts w:ascii="Times New Roman;sans-serif" w:hAnsi="Times New Roman;sans-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67">
              <w:r>
                <w:rPr>
                  <w:rStyle w:val="InternetLink"/>
                  <w:rFonts w:ascii="Times New Roman;sans-serif" w:hAnsi="Times New Roman;sans-serif"/>
                  <w:b w:val="false"/>
                  <w:color w:val="0000FF"/>
                  <w:sz w:val="20"/>
                  <w:u w:val="single"/>
                </w:rPr>
                <w:t>Nominees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67">
              <w:r>
                <w:rPr>
                  <w:rStyle w:val="InternetLink"/>
                  <w:rFonts w:ascii="Times New Roman;sans-serif" w:hAnsi="Times New Roman;sans-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70">
              <w:r>
                <w:rPr>
                  <w:rStyle w:val="InternetLink"/>
                  <w:rFonts w:ascii="Times New Roman;sans-serif" w:hAnsi="Times New Roman;sans-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70">
              <w:r>
                <w:rPr>
                  <w:rStyle w:val="InternetLink"/>
                  <w:rFonts w:ascii="Times New Roman;sans-serif" w:hAnsi="Times New Roman;sans-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73">
              <w:r>
                <w:rPr>
                  <w:rStyle w:val="InternetLink"/>
                  <w:rFonts w:ascii="Times New Roman;sans-serif" w:hAnsi="Times New Roman;sans-serif"/>
                  <w:b w:val="false"/>
                  <w:color w:val="0000FF"/>
                  <w:sz w:val="20"/>
                  <w:u w:val="single"/>
                </w:rPr>
                <w:t>PROPOSAL NO. 2 RATIFICATION OF APPOINTMENT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73">
              <w:r>
                <w:rPr>
                  <w:rStyle w:val="InternetLink"/>
                  <w:rFonts w:ascii="Times New Roman;sans-serif" w:hAnsi="Times New Roman;sans-serif"/>
                  <w:b w:val="false"/>
                  <w:color w:val="0000FF"/>
                  <w:sz w:val="20"/>
                  <w:u w:val="singl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76">
              <w:r>
                <w:rPr>
                  <w:rStyle w:val="InternetLink"/>
                  <w:rFonts w:ascii="Times New Roman;sans-serif" w:hAnsi="Times New Roman;sans-serif"/>
                  <w:b w:val="false"/>
                  <w:color w:val="0000FF"/>
                  <w:sz w:val="20"/>
                  <w:u w:val="single"/>
                </w:rPr>
                <w:t>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76">
              <w:r>
                <w:rPr>
                  <w:rStyle w:val="InternetLink"/>
                  <w:rFonts w:ascii="Times New Roman;sans-serif" w:hAnsi="Times New Roman;sans-serif"/>
                  <w:b w:val="false"/>
                  <w:color w:val="0000FF"/>
                  <w:sz w:val="20"/>
                  <w:u w:val="singl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79">
              <w:r>
                <w:rPr>
                  <w:rStyle w:val="InternetLink"/>
                  <w:rFonts w:ascii="Times New Roman;sans-serif" w:hAnsi="Times New Roman;sans-serif"/>
                  <w:b w:val="false"/>
                  <w:color w:val="0000FF"/>
                  <w:sz w:val="20"/>
                  <w:u w:val="single"/>
                </w:rPr>
                <w:t xml:space="preserve">Auditor Independence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79">
              <w:r>
                <w:rPr>
                  <w:rStyle w:val="InternetLink"/>
                  <w:rFonts w:ascii="Times New Roman;sans-serif" w:hAnsi="Times New Roman;sans-serif"/>
                  <w:b w:val="false"/>
                  <w:color w:val="0000FF"/>
                  <w:sz w:val="20"/>
                  <w:u w:val="singl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  </w:t>
            </w:r>
            <w:hyperlink w:anchor="iadba69f9383f4305beaac1257c1fa1a6_82">
              <w:r>
                <w:rPr>
                  <w:rStyle w:val="InternetLink"/>
                  <w:rFonts w:ascii="Times New Roman;sans-serif" w:hAnsi="Times New Roman;sans-serif"/>
                  <w:b w:val="false"/>
                  <w:color w:val="0000FF"/>
                  <w:sz w:val="20"/>
                  <w:u w:val="single"/>
                </w:rPr>
                <w:t>Audit Committee Policy on Pre-Approval of Audit and Permissible Non-Audit Services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82">
              <w:r>
                <w:rPr>
                  <w:rStyle w:val="InternetLink"/>
                  <w:rFonts w:ascii="Times New Roman;sans-serif" w:hAnsi="Times New Roman;sans-serif"/>
                  <w:b w:val="false"/>
                  <w:color w:val="0000FF"/>
                  <w:sz w:val="20"/>
                  <w:u w:val="single"/>
                </w:rPr>
                <w:t>24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85">
              <w:r>
                <w:rPr>
                  <w:rStyle w:val="InternetLink"/>
                  <w:rFonts w:ascii="Times New Roman;sans-serif" w:hAnsi="Times New Roman;sans-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85">
              <w:r>
                <w:rPr>
                  <w:rStyle w:val="InternetLink"/>
                  <w:rFonts w:ascii="Times New Roman;sans-serif" w:hAnsi="Times New Roman;sans-serif"/>
                  <w:b w:val="false"/>
                  <w:color w:val="0000FF"/>
                  <w:sz w:val="20"/>
                  <w:u w:val="single"/>
                </w:rPr>
                <w:t>24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88">
              <w:r>
                <w:rPr>
                  <w:rStyle w:val="InternetLink"/>
                  <w:rFonts w:ascii="Times New Roman;sans-serif" w:hAnsi="Times New Roman;sans-serif"/>
                  <w:b w:val="false"/>
                  <w:color w:val="0000FF"/>
                  <w:sz w:val="20"/>
                  <w:u w:val="single"/>
                </w:rPr>
                <w:t>PROPOSAL NO. 3 ADVISORY VOTE ON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88">
              <w:r>
                <w:rPr>
                  <w:rStyle w:val="InternetLink"/>
                  <w:rFonts w:ascii="Times New Roman;sans-serif" w:hAnsi="Times New Roman;sans-serif"/>
                  <w:b w:val="false"/>
                  <w:color w:val="0000FF"/>
                  <w:sz w:val="20"/>
                  <w:u w:val="single"/>
                </w:rPr>
                <w:t>25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91">
              <w:r>
                <w:rPr>
                  <w:rStyle w:val="InternetLink"/>
                  <w:rFonts w:ascii="Times New Roman;sans-serif" w:hAnsi="Times New Roman;sans-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91">
              <w:r>
                <w:rPr>
                  <w:rStyle w:val="InternetLink"/>
                  <w:rFonts w:ascii="Times New Roman;sans-serif" w:hAnsi="Times New Roman;sans-serif"/>
                  <w:b w:val="false"/>
                  <w:color w:val="0000FF"/>
                  <w:sz w:val="20"/>
                  <w:u w:val="single"/>
                </w:rPr>
                <w:t>25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94">
              <w:r>
                <w:rPr>
                  <w:rStyle w:val="InternetLink"/>
                  <w:rFonts w:ascii="Times New Roman;sans-serif" w:hAnsi="Times New Roman;sans-serif"/>
                  <w:b w:val="false"/>
                  <w:color w:val="0000FF"/>
                  <w:sz w:val="20"/>
                  <w:u w:val="single"/>
                </w:rPr>
                <w:t>REPORT OF THE AUDIT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94">
              <w:r>
                <w:rPr>
                  <w:rStyle w:val="InternetLink"/>
                  <w:rFonts w:ascii="Times New Roman;sans-serif" w:hAnsi="Times New Roman;sans-serif"/>
                  <w:b w:val="false"/>
                  <w:color w:val="0000FF"/>
                  <w:sz w:val="20"/>
                  <w:u w:val="single"/>
                </w:rPr>
                <w:t>26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97">
              <w:r>
                <w:rPr>
                  <w:rStyle w:val="InternetLink"/>
                  <w:rFonts w:ascii="Times New Roman;sans-serif" w:hAnsi="Times New Roman;sans-serif"/>
                  <w:b w:val="false"/>
                  <w:color w:val="0000FF"/>
                  <w:sz w:val="20"/>
                  <w:u w:val="single"/>
                </w:rPr>
                <w:t>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97">
              <w:r>
                <w:rPr>
                  <w:rStyle w:val="InternetLink"/>
                  <w:rFonts w:ascii="Times New Roman;sans-serif" w:hAnsi="Times New Roman;sans-serif"/>
                  <w:b w:val="false"/>
                  <w:color w:val="0000FF"/>
                  <w:sz w:val="20"/>
                  <w:u w:val="single"/>
                </w:rPr>
                <w:t>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00">
              <w:r>
                <w:rPr>
                  <w:rStyle w:val="InternetLink"/>
                  <w:rFonts w:ascii="Times New Roman;sans-serif" w:hAnsi="Times New Roman;sans-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00">
              <w:r>
                <w:rPr>
                  <w:rStyle w:val="InternetLink"/>
                  <w:rFonts w:ascii="Times New Roman;sans-serif" w:hAnsi="Times New Roman;sans-serif"/>
                  <w:b w:val="false"/>
                  <w:color w:val="0000FF"/>
                  <w:sz w:val="20"/>
                  <w:u w:val="singl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03">
              <w:r>
                <w:rPr>
                  <w:rStyle w:val="InternetLink"/>
                  <w:rFonts w:ascii="Times New Roman;sans-serif" w:hAnsi="Times New Roman;sans-serif"/>
                  <w:b w:val="false"/>
                  <w:color w:val="0000FF"/>
                  <w:sz w:val="20"/>
                  <w:u w:val="single"/>
                </w:rPr>
                <w:t>Compensation Discussion and Analysis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03">
              <w:r>
                <w:rPr>
                  <w:rStyle w:val="InternetLink"/>
                  <w:rFonts w:ascii="Times New Roman;sans-serif" w:hAnsi="Times New Roman;sans-serif"/>
                  <w:b w:val="false"/>
                  <w:color w:val="0000FF"/>
                  <w:sz w:val="20"/>
                  <w:u w:val="singl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06">
              <w:r>
                <w:rPr>
                  <w:rStyle w:val="InternetLink"/>
                  <w:rFonts w:ascii="Times New Roman;sans-serif" w:hAnsi="Times New Roman;sans-serif"/>
                  <w:b w:val="false"/>
                  <w:color w:val="0000FF"/>
                  <w:sz w:val="20"/>
                  <w:u w:val="single"/>
                </w:rPr>
                <w:t>Executive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06">
              <w:r>
                <w:rPr>
                  <w:rStyle w:val="InternetLink"/>
                  <w:rFonts w:ascii="Times New Roman;sans-serif" w:hAnsi="Times New Roman;sans-serif"/>
                  <w:b w:val="false"/>
                  <w:color w:val="0000FF"/>
                  <w:sz w:val="20"/>
                  <w:u w:val="singl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09">
              <w:r>
                <w:rPr>
                  <w:rStyle w:val="InternetLink"/>
                  <w:rFonts w:ascii="Times New Roman;sans-serif" w:hAnsi="Times New Roman;sans-serif"/>
                  <w:b w:val="false"/>
                  <w:color w:val="0000FF"/>
                  <w:sz w:val="20"/>
                  <w:u w:val="single"/>
                </w:rPr>
                <w:t>Advisory Vote on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09">
              <w:r>
                <w:rPr>
                  <w:rStyle w:val="InternetLink"/>
                  <w:rFonts w:ascii="Times New Roman;sans-serif" w:hAnsi="Times New Roman;sans-serif"/>
                  <w:b w:val="false"/>
                  <w:color w:val="0000FF"/>
                  <w:sz w:val="20"/>
                  <w:u w:val="single"/>
                </w:rPr>
                <w:t>30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12">
              <w:r>
                <w:rPr>
                  <w:rStyle w:val="InternetLink"/>
                  <w:rFonts w:ascii="Times New Roman;sans-serif" w:hAnsi="Times New Roman;sans-serif"/>
                  <w:b w:val="false"/>
                  <w:color w:val="0000FF"/>
                  <w:sz w:val="20"/>
                  <w:u w:val="single"/>
                </w:rPr>
                <w:t>Compensation Objectives and Philosophy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12">
              <w:r>
                <w:rPr>
                  <w:rStyle w:val="InternetLink"/>
                  <w:rFonts w:ascii="Times New Roman;sans-serif" w:hAnsi="Times New Roman;sans-serif"/>
                  <w:b w:val="false"/>
                  <w:color w:val="0000FF"/>
                  <w:sz w:val="20"/>
                  <w:u w:val="single"/>
                </w:rPr>
                <w:t>31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15">
              <w:r>
                <w:rPr>
                  <w:rStyle w:val="InternetLink"/>
                  <w:rFonts w:ascii="Times New Roman;sans-serif" w:hAnsi="Times New Roman;sans-serif"/>
                  <w:b w:val="false"/>
                  <w:color w:val="0000FF"/>
                  <w:sz w:val="20"/>
                  <w:u w:val="single"/>
                </w:rPr>
                <w:t>Elements of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15">
              <w:r>
                <w:rPr>
                  <w:rStyle w:val="InternetLink"/>
                  <w:rFonts w:ascii="Times New Roman;sans-serif" w:hAnsi="Times New Roman;sans-serif"/>
                  <w:b w:val="false"/>
                  <w:color w:val="0000FF"/>
                  <w:sz w:val="20"/>
                  <w:u w:val="single"/>
                </w:rPr>
                <w:t>32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18">
              <w:r>
                <w:rPr>
                  <w:rStyle w:val="InternetLink"/>
                  <w:rFonts w:ascii="Times New Roman;sans-serif" w:hAnsi="Times New Roman;sans-serif"/>
                  <w:b w:val="false"/>
                  <w:color w:val="0000FF"/>
                  <w:sz w:val="20"/>
                  <w:u w:val="single"/>
                </w:rPr>
                <w:t>How We Determine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18">
              <w:r>
                <w:rPr>
                  <w:rStyle w:val="InternetLink"/>
                  <w:rFonts w:ascii="Times New Roman;sans-serif" w:hAnsi="Times New Roman;sans-serif"/>
                  <w:b w:val="false"/>
                  <w:color w:val="0000FF"/>
                  <w:sz w:val="20"/>
                  <w:u w:val="single"/>
                </w:rPr>
                <w:t>33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21">
              <w:r>
                <w:rPr>
                  <w:rStyle w:val="InternetLink"/>
                  <w:rFonts w:ascii="Times New Roman;sans-serif" w:hAnsi="Times New Roman;sans-serif"/>
                  <w:b w:val="false"/>
                  <w:color w:val="0000FF"/>
                  <w:sz w:val="20"/>
                  <w:u w:val="single"/>
                </w:rPr>
                <w:t>Factors Used in Determining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21">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24">
              <w:r>
                <w:rPr>
                  <w:rStyle w:val="InternetLink"/>
                  <w:rFonts w:ascii="Times New Roman;sans-serif" w:hAnsi="Times New Roman;sans-serif"/>
                  <w:b w:val="false"/>
                  <w:color w:val="000080"/>
                  <w:sz w:val="20"/>
                  <w:u w:val="single"/>
                </w:rPr>
                <w:t xml:space="preserve">Fiscal </w:t>
              </w:r>
            </w:hyperlink>
            <w:hyperlink w:anchor="iadba69f9383f4305beaac1257c1fa1a6_124">
              <w:r>
                <w:rPr>
                  <w:rStyle w:val="InternetLink"/>
                  <w:rFonts w:ascii="Times New Roman;sans-serif" w:hAnsi="Times New Roman;sans-serif"/>
                  <w:b w:val="false"/>
                  <w:color w:val="000080"/>
                  <w:sz w:val="20"/>
                  <w:u w:val="single"/>
                </w:rPr>
                <w:t>2024</w:t>
              </w:r>
            </w:hyperlink>
            <w:hyperlink w:anchor="iadba69f9383f4305beaac1257c1fa1a6_124">
              <w:r>
                <w:rPr>
                  <w:rStyle w:val="InternetLink"/>
                  <w:rFonts w:ascii="Times New Roman;sans-serif" w:hAnsi="Times New Roman;sans-serif"/>
                  <w:b w:val="false"/>
                  <w:color w:val="000080"/>
                  <w:sz w:val="20"/>
                  <w:u w:val="single"/>
                </w:rPr>
                <w:t xml:space="preserve"> Executive Compensation Program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24">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27">
              <w:r>
                <w:rPr>
                  <w:rStyle w:val="InternetLink"/>
                  <w:rFonts w:ascii="Times New Roman;sans-serif" w:hAnsi="Times New Roman;sans-serif"/>
                  <w:b w:val="false"/>
                  <w:color w:val="0000FF"/>
                  <w:sz w:val="20"/>
                  <w:u w:val="single"/>
                </w:rPr>
                <w:t>Other Features or Our Executive Compensation Program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27">
              <w:r>
                <w:rPr>
                  <w:rStyle w:val="InternetLink"/>
                  <w:rFonts w:ascii="Times New Roman;sans-serif" w:hAnsi="Times New Roman;sans-serif"/>
                  <w:b w:val="false"/>
                  <w:color w:val="0000FF"/>
                  <w:sz w:val="20"/>
                  <w:u w:val="single"/>
                </w:rPr>
                <w:t>40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30">
              <w:r>
                <w:rPr>
                  <w:rStyle w:val="InternetLink"/>
                  <w:rFonts w:ascii="Times New Roman;sans-serif" w:hAnsi="Times New Roman;sans-serif"/>
                  <w:b w:val="false"/>
                  <w:color w:val="0000FF"/>
                  <w:sz w:val="20"/>
                  <w:u w:val="single"/>
                </w:rPr>
                <w:t>Tax and Accounting Implications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30">
              <w:r>
                <w:rPr>
                  <w:rStyle w:val="InternetLink"/>
                  <w:rFonts w:ascii="Times New Roman;sans-serif" w:hAnsi="Times New Roman;sans-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33">
              <w:r>
                <w:rPr>
                  <w:rStyle w:val="InternetLink"/>
                  <w:rFonts w:ascii="Times New Roman;sans-serif" w:hAnsi="Times New Roman;sans-serif"/>
                  <w:b w:val="false"/>
                  <w:color w:val="0000FF"/>
                  <w:sz w:val="20"/>
                  <w:u w:val="single"/>
                </w:rPr>
                <w:t>Other Compensation Policies and Practices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33">
              <w:r>
                <w:rPr>
                  <w:rStyle w:val="InternetLink"/>
                  <w:rFonts w:ascii="Times New Roman;sans-serif" w:hAnsi="Times New Roman;sans-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dba69f9383f4305beaac1257c1fa1a6_136">
              <w:r>
                <w:rPr>
                  <w:rStyle w:val="InternetLink"/>
                  <w:rFonts w:ascii="Times New Roman;sans-serif" w:hAnsi="Times New Roman;sans-serif"/>
                  <w:b w:val="false"/>
                  <w:color w:val="0000FF"/>
                  <w:sz w:val="20"/>
                  <w:u w:val="single"/>
                </w:rPr>
                <w:t>Compensation Risk Assessment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36">
              <w:r>
                <w:rPr>
                  <w:rStyle w:val="InternetLink"/>
                  <w:rFonts w:ascii="Times New Roman;sans-serif" w:hAnsi="Times New Roman;sans-serif"/>
                  <w:b w:val="false"/>
                  <w:color w:val="0000FF"/>
                  <w:sz w:val="20"/>
                  <w:u w:val="single"/>
                </w:rPr>
                <w:t>43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9295"/>
                <wp:effectExtent l="0" t="0" r="0" b="0"/>
                <wp:wrapNone/>
                <wp:docPr id="3" name="Frame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7677" w:type="dxa"/>
        <w:jc w:val="center"/>
        <w:tblInd w:w="0" w:type="dxa"/>
        <w:tblLayout w:type="fixed"/>
        <w:tblCellMar>
          <w:top w:w="28" w:type="dxa"/>
          <w:left w:w="28" w:type="dxa"/>
          <w:bottom w:w="28" w:type="dxa"/>
          <w:right w:w="28" w:type="dxa"/>
        </w:tblCellMar>
      </w:tblPr>
      <w:tblGrid>
        <w:gridCol w:w="2646"/>
        <w:gridCol w:w="2325"/>
        <w:gridCol w:w="2334"/>
        <w:gridCol w:w="109"/>
        <w:gridCol w:w="109"/>
        <w:gridCol w:w="154"/>
      </w:tblGrid>
      <w:tr>
        <w:trPr/>
        <w:tc>
          <w:tcPr>
            <w:tcW w:w="2646"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39">
              <w:r>
                <w:rPr>
                  <w:rStyle w:val="InternetLink"/>
                  <w:rFonts w:ascii="Times New Roman;sans-serif" w:hAnsi="Times New Roman;sans-serif"/>
                  <w:b w:val="false"/>
                  <w:color w:val="0000FF"/>
                  <w:sz w:val="20"/>
                  <w:u w:val="single"/>
                </w:rPr>
                <w:t>Compensation Committee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39">
              <w:r>
                <w:rPr>
                  <w:rStyle w:val="InternetLink"/>
                  <w:rFonts w:ascii="Times New Roman;sans-serif" w:hAnsi="Times New Roman;sans-serif"/>
                  <w:b w:val="false"/>
                  <w:color w:val="0000FF"/>
                  <w:sz w:val="20"/>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42">
              <w:r>
                <w:rPr>
                  <w:rStyle w:val="InternetLink"/>
                  <w:rFonts w:ascii="Times New Roman;sans-serif" w:hAnsi="Times New Roman;sans-serif"/>
                  <w:b w:val="false"/>
                  <w:color w:val="000080"/>
                  <w:sz w:val="20"/>
                  <w:u w:val="single"/>
                </w:rPr>
                <w:t xml:space="preserve">Summary Compensation Table for Fiscal Year </w:t>
              </w:r>
            </w:hyperlink>
            <w:hyperlink w:anchor="iadba69f9383f4305beaac1257c1fa1a6_142">
              <w:r>
                <w:rPr>
                  <w:rStyle w:val="InternetLink"/>
                  <w:rFonts w:ascii="Times New Roman;sans-serif" w:hAnsi="Times New Roman;sans-serif"/>
                  <w:b w:val="false"/>
                  <w:color w:val="000080"/>
                  <w:sz w:val="20"/>
                  <w:u w:val="single"/>
                </w:rPr>
                <w:t>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42">
              <w:r>
                <w:rPr>
                  <w:rStyle w:val="InternetLink"/>
                  <w:rFonts w:ascii="Times New Roman;sans-serif" w:hAnsi="Times New Roman;sans-serif"/>
                  <w:b w:val="false"/>
                  <w:color w:val="0000FF"/>
                  <w:sz w:val="20"/>
                  <w:u w:val="single"/>
                </w:rPr>
                <w:t>44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45">
              <w:r>
                <w:rPr>
                  <w:rStyle w:val="InternetLink"/>
                  <w:rFonts w:ascii="Times New Roman;sans-serif" w:hAnsi="Times New Roman;sans-serif"/>
                  <w:b w:val="false"/>
                  <w:color w:val="0000FF"/>
                  <w:sz w:val="20"/>
                  <w:u w:val="single"/>
                </w:rPr>
                <w:t>Grants of Plan-Based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45">
              <w:r>
                <w:rPr>
                  <w:rStyle w:val="InternetLink"/>
                  <w:rFonts w:ascii="Times New Roman;sans-serif" w:hAnsi="Times New Roman;sans-serif"/>
                  <w:b w:val="false"/>
                  <w:color w:val="0000FF"/>
                  <w:sz w:val="20"/>
                  <w:u w:val="single"/>
                </w:rPr>
                <w:t>44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48">
              <w:r>
                <w:rPr>
                  <w:rStyle w:val="InternetLink"/>
                  <w:rFonts w:ascii="Times New Roman;sans-serif" w:hAnsi="Times New Roman;sans-serif"/>
                  <w:b w:val="false"/>
                  <w:color w:val="000080"/>
                  <w:sz w:val="20"/>
                  <w:u w:val="single"/>
                </w:rPr>
                <w:t xml:space="preserve">Outstanding Equity Awards at </w:t>
              </w:r>
            </w:hyperlink>
            <w:hyperlink w:anchor="iadba69f9383f4305beaac1257c1fa1a6_148">
              <w:r>
                <w:rPr>
                  <w:rStyle w:val="InternetLink"/>
                  <w:rFonts w:ascii="Times New Roman;sans-serif" w:hAnsi="Times New Roman;sans-serif"/>
                  <w:b w:val="false"/>
                  <w:color w:val="000080"/>
                  <w:sz w:val="20"/>
                  <w:u w:val="single"/>
                </w:rPr>
                <w:t>2024</w:t>
              </w:r>
            </w:hyperlink>
            <w:hyperlink w:anchor="iadba69f9383f4305beaac1257c1fa1a6_148">
              <w:r>
                <w:rPr>
                  <w:rStyle w:val="InternetLink"/>
                  <w:rFonts w:ascii="Times New Roman;sans-serif" w:hAnsi="Times New Roman;sans-serif"/>
                  <w:b w:val="false"/>
                  <w:color w:val="000080"/>
                  <w:sz w:val="20"/>
                  <w:u w:val="single"/>
                </w:rPr>
                <w:t xml:space="preserve"> Fiscal Year-End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48">
              <w:r>
                <w:rPr>
                  <w:rStyle w:val="InternetLink"/>
                  <w:rFonts w:ascii="Times New Roman;sans-serif" w:hAnsi="Times New Roman;sans-serif"/>
                  <w:b w:val="false"/>
                  <w:color w:val="0000FF"/>
                  <w:sz w:val="20"/>
                  <w:u w:val="single"/>
                </w:rPr>
                <w:t>46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51">
              <w:r>
                <w:rPr>
                  <w:rStyle w:val="InternetLink"/>
                  <w:rFonts w:ascii="Times New Roman;sans-serif" w:hAnsi="Times New Roman;sans-serif"/>
                  <w:b w:val="false"/>
                  <w:color w:val="0000FF"/>
                  <w:sz w:val="20"/>
                  <w:u w:val="single"/>
                </w:rPr>
                <w:t>Option Exercises and Stock Vested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51">
              <w:r>
                <w:rPr>
                  <w:rStyle w:val="InternetLink"/>
                  <w:rFonts w:ascii="Times New Roman;sans-serif" w:hAnsi="Times New Roman;sans-serif"/>
                  <w:b w:val="false"/>
                  <w:color w:val="0000FF"/>
                  <w:sz w:val="20"/>
                  <w:u w:val="single"/>
                </w:rPr>
                <w:t>47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54">
              <w:r>
                <w:rPr>
                  <w:rStyle w:val="InternetLink"/>
                  <w:rFonts w:ascii="Times New Roman;sans-serif" w:hAnsi="Times New Roman;sans-serif"/>
                  <w:b w:val="false"/>
                  <w:color w:val="0000FF"/>
                  <w:sz w:val="20"/>
                  <w:u w:val="single"/>
                </w:rPr>
                <w:t>Employment, Severance and Change in Control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54">
              <w:r>
                <w:rPr>
                  <w:rStyle w:val="InternetLink"/>
                  <w:rFonts w:ascii="Times New Roman;sans-serif" w:hAnsi="Times New Roman;sans-serif"/>
                  <w:b w:val="false"/>
                  <w:color w:val="0000FF"/>
                  <w:sz w:val="20"/>
                  <w:u w:val="single"/>
                </w:rPr>
                <w:t>47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57">
              <w:r>
                <w:rPr>
                  <w:rStyle w:val="InternetLink"/>
                  <w:rFonts w:ascii="Times New Roman;sans-serif" w:hAnsi="Times New Roman;sans-serif"/>
                  <w:b w:val="false"/>
                  <w:color w:val="0000FF"/>
                  <w:sz w:val="20"/>
                  <w:u w:val="single"/>
                </w:rPr>
                <w:t>Potential Payments upon Termination or Change of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57">
              <w:r>
                <w:rPr>
                  <w:rStyle w:val="InternetLink"/>
                  <w:rFonts w:ascii="Times New Roman;sans-serif" w:hAnsi="Times New Roman;sans-serif"/>
                  <w:b w:val="false"/>
                  <w:color w:val="0000FF"/>
                  <w:sz w:val="20"/>
                  <w:u w:val="single"/>
                </w:rPr>
                <w:t>48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60">
              <w:r>
                <w:rPr>
                  <w:rStyle w:val="InternetLink"/>
                  <w:rFonts w:ascii="Times New Roman;sans-serif" w:hAnsi="Times New Roman;sans-serif"/>
                  <w:b w:val="false"/>
                  <w:color w:val="0000FF"/>
                  <w:sz w:val="20"/>
                  <w:u w:val="single"/>
                </w:rPr>
                <w:t>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0">
              <w:r>
                <w:rPr>
                  <w:rStyle w:val="InternetLink"/>
                  <w:rFonts w:ascii="Times New Roman;sans-serif" w:hAnsi="Times New Roman;sans-serif"/>
                  <w:b w:val="false"/>
                  <w:color w:val="0000FF"/>
                  <w:sz w:val="20"/>
                  <w:u w:val="single"/>
                </w:rPr>
                <w:t>48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63">
              <w:r>
                <w:rPr>
                  <w:rStyle w:val="InternetLink"/>
                  <w:rFonts w:ascii="Times New Roman;sans-serif" w:hAnsi="Times New Roman;sans-serif"/>
                  <w:b w:val="false"/>
                  <w:color w:val="0000FF"/>
                  <w:sz w:val="20"/>
                  <w:u w:val="single"/>
                </w:rPr>
                <w:t>Item 402(v) 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3">
              <w:r>
                <w:rPr>
                  <w:rStyle w:val="InternetLink"/>
                  <w:rFonts w:ascii="Times New Roman;sans-serif" w:hAnsi="Times New Roman;sans-serif"/>
                  <w:b w:val="false"/>
                  <w:color w:val="0000FF"/>
                  <w:sz w:val="20"/>
                  <w:u w:val="single"/>
                </w:rPr>
                <w:t>49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6">
              <w:r>
                <w:rPr>
                  <w:rStyle w:val="InternetLink"/>
                  <w:rFonts w:ascii="Times New Roman;sans-serif" w:hAnsi="Times New Roman;sans-serif"/>
                  <w:b w:val="false"/>
                  <w:color w:val="0000FF"/>
                  <w:sz w:val="20"/>
                  <w:u w:val="single"/>
                </w:rPr>
                <w:t>EQUITY COMPENSATION PLAN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6">
              <w:r>
                <w:rPr>
                  <w:rStyle w:val="InternetLink"/>
                  <w:rFonts w:ascii="Times New Roman;sans-serif" w:hAnsi="Times New Roman;sans-serif"/>
                  <w:b w:val="false"/>
                  <w:color w:val="0000FF"/>
                  <w:sz w:val="20"/>
                  <w:u w:val="single"/>
                </w:rPr>
                <w:t>54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9">
              <w:r>
                <w:rPr>
                  <w:rStyle w:val="InternetLink"/>
                  <w:rFonts w:ascii="Times New Roman;sans-serif" w:hAnsi="Times New Roman;sans-serif"/>
                  <w:b w:val="false"/>
                  <w:color w:val="0000FF"/>
                  <w:sz w:val="20"/>
                  <w:u w:val="single"/>
                </w:rPr>
                <w:t>SECURITY OWNERSHIP OF CERTAIN BENEFICIAL OWNERS AND MANAGEMENT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69">
              <w:r>
                <w:rPr>
                  <w:rStyle w:val="InternetLink"/>
                  <w:rFonts w:ascii="Times New Roman;sans-serif" w:hAnsi="Times New Roman;sans-serif"/>
                  <w:b w:val="false"/>
                  <w:color w:val="0000FF"/>
                  <w:sz w:val="20"/>
                  <w:u w:val="single"/>
                </w:rPr>
                <w:t>55</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72">
              <w:r>
                <w:rPr>
                  <w:rStyle w:val="InternetLink"/>
                  <w:rFonts w:ascii="Times New Roman;sans-serif" w:hAnsi="Times New Roman;sans-serif"/>
                  <w:b w:val="false"/>
                  <w:color w:val="0000FF"/>
                  <w:sz w:val="20"/>
                  <w:u w:val="single"/>
                </w:rPr>
                <w:t>CERTAIN RELATIONSHIPS AND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72">
              <w:r>
                <w:rPr>
                  <w:rStyle w:val="InternetLink"/>
                  <w:rFonts w:ascii="Times New Roman;sans-serif" w:hAnsi="Times New Roman;sans-serif"/>
                  <w:b w:val="false"/>
                  <w:color w:val="0000FF"/>
                  <w:sz w:val="20"/>
                  <w:u w:val="single"/>
                </w:rPr>
                <w:t>58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75">
              <w:r>
                <w:rPr>
                  <w:rStyle w:val="InternetLink"/>
                  <w:rFonts w:ascii="Times New Roman;sans-serif" w:hAnsi="Times New Roman;sans-serif"/>
                  <w:b w:val="false"/>
                  <w:color w:val="0000FF"/>
                  <w:sz w:val="20"/>
                  <w:u w:val="single"/>
                </w:rPr>
                <w:t>Policies and Procedures for Related Party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75">
              <w:r>
                <w:rPr>
                  <w:rStyle w:val="InternetLink"/>
                  <w:rFonts w:ascii="Times New Roman;sans-serif" w:hAnsi="Times New Roman;sans-serif"/>
                  <w:b w:val="false"/>
                  <w:color w:val="0000FF"/>
                  <w:sz w:val="20"/>
                  <w:u w:val="single"/>
                </w:rPr>
                <w:t>58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78">
              <w:r>
                <w:rPr>
                  <w:rStyle w:val="InternetLink"/>
                  <w:rFonts w:ascii="Times New Roman;sans-serif" w:hAnsi="Times New Roman;sans-serif"/>
                  <w:b w:val="false"/>
                  <w:color w:val="0000FF"/>
                  <w:sz w:val="20"/>
                  <w:u w:val="single"/>
                </w:rPr>
                <w:t>Certain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78">
              <w:r>
                <w:rPr>
                  <w:rStyle w:val="InternetLink"/>
                  <w:rFonts w:ascii="Times New Roman;sans-serif" w:hAnsi="Times New Roman;sans-serif"/>
                  <w:b w:val="false"/>
                  <w:color w:val="0000FF"/>
                  <w:sz w:val="20"/>
                  <w:u w:val="single"/>
                </w:rPr>
                <w:t>58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81">
              <w:r>
                <w:rPr>
                  <w:rStyle w:val="InternetLink"/>
                  <w:rFonts w:ascii="Times New Roman;sans-serif" w:hAnsi="Times New Roman;sans-serif"/>
                  <w:b w:val="false"/>
                  <w:color w:val="0000FF"/>
                  <w:sz w:val="20"/>
                  <w:u w:val="single"/>
                </w:rPr>
                <w:t>Indemnification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81">
              <w:r>
                <w:rPr>
                  <w:rStyle w:val="InternetLink"/>
                  <w:rFonts w:ascii="Times New Roman;sans-serif" w:hAnsi="Times New Roman;sans-serif"/>
                  <w:b w:val="false"/>
                  <w:color w:val="0000FF"/>
                  <w:sz w:val="20"/>
                  <w:u w:val="single"/>
                </w:rPr>
                <w:t>59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84">
              <w:r>
                <w:rPr>
                  <w:rStyle w:val="InternetLink"/>
                  <w:rFonts w:ascii="Times New Roman;sans-serif" w:hAnsi="Times New Roman;sans-serif"/>
                  <w:b w:val="false"/>
                  <w:color w:val="0000FF"/>
                  <w:sz w:val="20"/>
                  <w:u w:val="singl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84">
              <w:r>
                <w:rPr>
                  <w:rStyle w:val="InternetLink"/>
                  <w:rFonts w:ascii="Times New Roman;sans-serif" w:hAnsi="Times New Roman;sans-serif"/>
                  <w:b w:val="false"/>
                  <w:color w:val="0000FF"/>
                  <w:sz w:val="20"/>
                  <w:u w:val="single"/>
                </w:rPr>
                <w:t>60</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90">
              <w:r>
                <w:rPr>
                  <w:rStyle w:val="InternetLink"/>
                  <w:rFonts w:ascii="Times New Roman;sans-serif" w:hAnsi="Times New Roman;sans-serif"/>
                  <w:b w:val="false"/>
                  <w:color w:val="000080"/>
                  <w:sz w:val="20"/>
                  <w:u w:val="single"/>
                </w:rPr>
                <w:t xml:space="preserve">Fiscal Year </w:t>
              </w:r>
            </w:hyperlink>
            <w:hyperlink w:anchor="iadba69f9383f4305beaac1257c1fa1a6_190">
              <w:r>
                <w:rPr>
                  <w:rStyle w:val="InternetLink"/>
                  <w:rFonts w:ascii="Times New Roman;sans-serif" w:hAnsi="Times New Roman;sans-serif"/>
                  <w:b w:val="false"/>
                  <w:color w:val="000080"/>
                  <w:sz w:val="20"/>
                  <w:u w:val="single"/>
                </w:rPr>
                <w:t>2024</w:t>
              </w:r>
            </w:hyperlink>
            <w:hyperlink w:anchor="iadba69f9383f4305beaac1257c1fa1a6_190">
              <w:r>
                <w:rPr>
                  <w:rStyle w:val="InternetLink"/>
                  <w:rFonts w:ascii="Times New Roman;sans-serif" w:hAnsi="Times New Roman;sans-serif"/>
                  <w:b w:val="false"/>
                  <w:color w:val="000080"/>
                  <w:sz w:val="20"/>
                  <w:u w:val="single"/>
                </w:rPr>
                <w:t xml:space="preserve"> Annual Report and SEC Filings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90">
              <w:r>
                <w:rPr>
                  <w:rStyle w:val="InternetLink"/>
                  <w:rFonts w:ascii="Times New Roman;sans-serif" w:hAnsi="Times New Roman;sans-serif"/>
                  <w:b w:val="false"/>
                  <w:color w:val="0000FF"/>
                  <w:sz w:val="20"/>
                  <w:u w:val="single"/>
                </w:rPr>
                <w:t>60</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dba69f9383f4305beaac1257c1fa1a6_193">
              <w:r>
                <w:rPr>
                  <w:rStyle w:val="InternetLink"/>
                  <w:rFonts w:ascii="Times New Roman;sans-serif" w:hAnsi="Times New Roman;sans-serif"/>
                  <w:b w:val="false"/>
                  <w:color w:val="0000FF"/>
                  <w:sz w:val="20"/>
                  <w:u w:val="single"/>
                </w:rPr>
                <w:t>Appendix 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ba69f9383f4305beaac1257c1fa1a6_193">
              <w:r>
                <w:rPr>
                  <w:rStyle w:val="InternetLink"/>
                  <w:rFonts w:ascii="Times New Roman;sans-serif" w:hAnsi="Times New Roman;sans-serif"/>
                  <w:b w:val="false"/>
                  <w:color w:val="0000FF"/>
                  <w:sz w:val="20"/>
                  <w:u w:val="single"/>
                </w:rPr>
                <w:t>62</w:t>
              </w:r>
            </w:hyperlink>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72490"/>
                <wp:effectExtent l="0" t="0" r="0" b="0"/>
                <wp:wrapNone/>
                <wp:docPr id="4" name="Frame4"/>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p>
                            <w:pPr>
                              <w:pStyle w:val="TextBody"/>
                              <w:bidi w:val="0"/>
                              <w:spacing w:lineRule="auto" w:line="331" w:before="0" w:after="200"/>
                              <w:ind w:left="0" w:right="0" w:firstLine="720"/>
                              <w:jc w:val="both"/>
                              <w:rPr>
                                <w:color w:val="000000"/>
                              </w:rPr>
                            </w:pPr>
                            <w:r>
                              <w:rPr>
                                <w:color w:val="000000"/>
                              </w:rPr>
                              <w:t>    </w:t>
                            </w:r>
                          </w:p>
                          <w:p>
                            <w:pPr>
                              <w:pStyle w:val="TextBody"/>
                              <w:bidi w:val="0"/>
                              <w:spacing w:lineRule="auto" w:line="331" w:before="0" w:after="20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ind w:left="0" w:right="0" w:firstLine="720"/>
                        <w:jc w:val="both"/>
                        <w:rPr>
                          <w:color w:val="000000"/>
                        </w:rPr>
                      </w:pPr>
                      <w:r>
                        <w:rPr>
                          <w:color w:val="000000"/>
                        </w:rPr>
                        <w:t>    </w:t>
                      </w:r>
                    </w:p>
                    <w:p>
                      <w:pPr>
                        <w:pStyle w:val="TextBody"/>
                        <w:bidi w:val="0"/>
                        <w:spacing w:lineRule="auto" w:line="331" w:before="0" w:after="20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ZOOM VIDEO COMMUNICATIONS, INC.</w:t>
      </w:r>
      <w:r>
        <w:rPr>
          <w:color w:val="000000"/>
        </w:rPr>
        <w:t xml:space="preserve">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0" w:after="0"/>
        <w:jc w:val="center"/>
        <w:rPr/>
      </w:pPr>
      <w:r>
        <w:rPr>
          <w:rFonts w:ascii="Times New Roman;sans-serif" w:hAnsi="Times New Roman;sans-serif"/>
          <w:b/>
          <w:color w:val="000000"/>
          <w:sz w:val="20"/>
        </w:rPr>
        <w:t>FOR 2024 ANNUAL MEETING OF STOCKHOLDERS</w:t>
      </w:r>
      <w:r>
        <w:rPr>
          <w:color w:val="000000"/>
        </w:rPr>
        <w:t xml:space="preserve">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TO BE HELD AT 10:00 A.M. PACIFIC TIME ON THURSDAY, JUNE 13, 2024</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providing you with these proxy materials in connection with the solicitation of proxies by our board of directors (the “Board of Directors” or “Board”) for use at the 2024 annual meeting of stockholders of Zoom Video Communications, Inc., a Delaware corporation (the "Company"), and any postponements, adjournments or continuations thereof (the “Annual Meeting”). The Annual Meeting will be held as a virtual meeting on Thursday, June 13, 2024 at 10:00 a.m. Pacific Time via a live interactive webcast on the internet at www.virtualshareholdermeeting.com/ZM2024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May 2, 2024 to all stockholders entitled to vote at the Annual Meeting.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list of stockholders entitled to vote will be available for 10 days prior to the Annual Meeting at our headquarters, 55 Almaden Blvd., 6th Floor, San Jose, California 95113. If you would like to view the stockholder list, please contact our Investor Relations department via email at investors@zoom.us or at 1-888-799-9666 to schedule an appointment.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THESE PROXY MATERIALS AND VOTING</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Why are you holding a virtual Annual Meeting?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Meeting will be held solely in a virtual format, which will be conducted via a live video webcast and online stockholder tools. We are using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How do I attend the Annual Meeting?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will be able to attend the virtual Annual Meeting online, submit your questions during the meeting and vote your shares electronically at the virtual meeting by visiting www.virtualshareholdermeeting.com/ZM2024.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 the check-in procedures. If you encounter any difficulties accessing the virtual meeting during the check-in or course of the Annual Meeting, please call the technical support number that will be posted on the Annual Meeting website log-in page.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9295"/>
                <wp:effectExtent l="0" t="0" r="0" b="0"/>
                <wp:wrapNone/>
                <wp:docPr id="5" name="Frame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What matters am I voting on?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will be voting 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election of the three nominees for Class II directors named herein to serve until our 2027 annual meeting of stockholders and until their successors are duly elected and qualified;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proposal to ratify the appointment of KPMG LLP as our independent registered public accounting firm for our fiscal year ending January 31, 2025;</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advisory approval of the compensation of our named executive officers, as disclosed in this proxy statement in accordance with SEC rules;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any other business as may properly come before the Annual Meeting or any adjournments or postponements thereof.</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How does the Board of Directors recommend I vote on these proposals?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recommends a vote: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FOR” the election of Jonathan Chadwick, Cindy Hoots, and Dan Scheinman as Class II directors;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FOR” the ratification of the appointment of KPMG LLP as our independent registered public accounting firm for our fiscal year ending January 31, 2025;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FOR” advisory approval of the compensation of our named executive officers, as disclosed in this proxy statement in accordance with SEC rules.</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Who is entitled to vote?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Holders of either class of our common stock as of the close of business on April 15, 2024 (the “Record Date”) may vote at the Annual Meeting. As of the Record Date, there were 264,799,617 shares of our Class A common stock outstanding and 45,629,708 shares of our Class B common stock outstanding. </w:t>
      </w:r>
      <w:r>
        <w:rPr>
          <w:rFonts w:ascii="Times New Roman;sans-serif" w:hAnsi="Times New Roman;sans-serif"/>
          <w:b w:val="false"/>
          <w:color w:val="000000"/>
          <w:sz w:val="20"/>
          <w:shd w:fill="FFFFFF" w:val="clear"/>
        </w:rPr>
        <w:t>Our Class A common stock and Class B common stock will vote as a single class on all matters described in this proxy statement for which your vote is being solicited. </w:t>
      </w:r>
      <w:r>
        <w:rPr>
          <w:color w:val="000000"/>
        </w:rPr>
        <w:t xml:space="preserve"> </w:t>
      </w:r>
      <w:r>
        <w:rPr>
          <w:rFonts w:ascii="Times New Roman;sans-serif" w:hAnsi="Times New Roman;sans-serif"/>
          <w:b w:val="false"/>
          <w:color w:val="000000"/>
          <w:sz w:val="20"/>
        </w:rPr>
        <w:t xml:space="preserve">Stockholders are not permitted to cumulate votes with respect to the election of directors. </w:t>
      </w:r>
      <w:r>
        <w:rPr>
          <w:rFonts w:ascii="Times New Roman;sans-serif" w:hAnsi="Times New Roman;sans-serif"/>
          <w:b w:val="false"/>
          <w:color w:val="000000"/>
          <w:sz w:val="20"/>
          <w:shd w:fill="FFFFFF" w:val="clear"/>
        </w:rPr>
        <w:t>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Registered Stockholders</w:t>
      </w:r>
      <w:r>
        <w:rPr>
          <w:rFonts w:ascii="Times New Roman;sans-serif" w:hAnsi="Times New Roman;sans-serif"/>
          <w:b w:val="false"/>
          <w:color w:val="000000"/>
          <w:sz w:val="20"/>
        </w:rPr>
        <w:t>. If shares of our common stock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shares of our common stock are held on your behalf in a brokerage account or by a bank or other nominee, you 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including any requirements to obtain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09295"/>
                <wp:effectExtent l="0" t="0" r="0" b="0"/>
                <wp:wrapNone/>
                <wp:docPr id="6" name="Frame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How do I vote?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there are four ways to vote: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by Internet at www.proxyvote.com, 24 hours a day, seven days a week, until 11:59 p.m. Eastern Time on June 12, 2024 (have your Notice or proxy card in hand when you visit the website);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by toll-free telephone until 11:59 p.m. Eastern Time on June 12, 2024 at 1-800-690-6903 (be sure to have your Notice or proxy card in hand when you call);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by completing and mailing your proxy card so it is received prior to the Annual Meeting (if you received printed proxy materials);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by attending and voting at the virtual Annual Meeting by visiting www.virtualshareholdermeeting.com/ZM2024, where stockholders may vote and submit questions (before and during) the Annual Meeting (have your Notice or proxy card in hand when you visit the website).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you plan to attend the Annual Meeting online, we recommend that you also vote by proxy prior to the Annual Meeting so that your vote will be counted if you later decide not to attend the Annual Meeting.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What is the vote required to approve each proposal?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Proposal No. 1</w:t>
      </w:r>
      <w:r>
        <w:rPr>
          <w:rFonts w:ascii="Times New Roman;sans-serif" w:hAnsi="Times New Roman;sans-serif"/>
          <w:b w:val="false"/>
          <w:color w:val="000000"/>
          <w:sz w:val="20"/>
        </w:rPr>
        <w:t>: The election of directors requires a plurality of the voting power of the shares of our common stock present virtually or represented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Proposal No. 2</w:t>
      </w:r>
      <w:r>
        <w:rPr>
          <w:rFonts w:ascii="Times New Roman;sans-serif" w:hAnsi="Times New Roman;sans-serif"/>
          <w:b w:val="false"/>
          <w:color w:val="000000"/>
          <w:sz w:val="20"/>
        </w:rPr>
        <w:t>: The ratification of the appointment of KPMG LLP as our independent registered public accounting firm for our fiscal year ending January 31, 2025, requires the affirmative vote of a majority of the voting power of the shares of our common stock present virtually or represented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09295"/>
                <wp:effectExtent l="0" t="0" r="0" b="0"/>
                <wp:wrapNone/>
                <wp:docPr id="7" name="Frame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Proposal No. 3</w:t>
      </w:r>
      <w:r>
        <w:rPr>
          <w:rFonts w:ascii="Times New Roman;sans-serif" w:hAnsi="Times New Roman;sans-serif"/>
          <w:b w:val="false"/>
          <w:color w:val="000000"/>
          <w:sz w:val="20"/>
        </w:rPr>
        <w:t>: Advisory approval of the compensation of our named executive officers requires the affirmative vote of a majority of the voting power of the shares of our common stock present virtually or represented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What is a quorum?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quorum is the minimum number of shares required to be present at the Annual Meeting to properly hold an annual meeting of stockholders and conduct business under our amended and restated bylaws and Delaware law. The presence, virtually or represented by proxy, of a majority of the voting power of the outstanding shares of our common stock entitled to vote at the Annual Meeting will constitute a quorum at the Annual Meeting. Abstentions, withhold votes and broker non-votes are counted as shares present and entitled to vote for purposes of determining a quorum.</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Can I change my vote?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Yes. If you are a stockholder of record, you can change your vote or revoke your proxy any time before the Annual Meeting by: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entering a new vote by Internet or by telephone;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completing and returning a later-dated proxy card;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notifying the Secretary of Zoom Video Communications, Inc., in writing received at the following address by the close of business on the business day immediately preceding the Annual Meeting, at Zoom Video Communications, Inc., 55 Almaden Blvd.,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San Jose, California 95113;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attending and voting at the virtual Annual Meeting (although attendance at the Annual Meeting will not, by itself, revoke a proxy).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street name stockholder, your broker, bank or other nominee can provide you with instructions on how to change your vote.</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What is the effect of giving a proxy?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Proxies are solicited by and on behalf of our Board of Directors. Eric S. Yuan and Kelly Steckelberg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Why did I receive a Notice of Internet Availability of Proxy Materials instead of a full set of proxy materials?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May 2, 2024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09295"/>
                <wp:effectExtent l="0" t="0" r="0" b="0"/>
                <wp:wrapNone/>
                <wp:docPr id="8" name="Frame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How are proxies solicited for the Annual Meeting?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online, by telephone, or by other means of communication. Our directors and employees will not be paid any additional compensation for soliciting proxies.</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How may my brokerage firm or other intermediary vote my shares if I fail to provide timely directions?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the sole “routine” matter being voted on at the Annual Meeting: the proposal to ratify the appointment of KPMG LLP as our independent registered public accounting firm for our fiscal year ending January 31, 2025. Your broker will not have discretion to vote on any other proposals, which are “non-routine” matters, absent direction from you.</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Where can I find the voting results of the Annual Meeting?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I share an address with another stockholder, and we received only one paper copy of the proxy materials. How may I obtain an additional copy of the proxy materials?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Zoom Video Communications,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extBody"/>
        <w:bidi w:val="0"/>
        <w:spacing w:lineRule="auto" w:line="288" w:before="0" w:after="0"/>
        <w:jc w:val="center"/>
        <w:rPr/>
      </w:pPr>
      <w:r>
        <w:rPr>
          <w:rFonts w:ascii="Times New Roman;sans-serif" w:hAnsi="Times New Roman;sans-serif"/>
          <w:b w:val="false"/>
          <w:color w:val="000000"/>
          <w:sz w:val="20"/>
        </w:rPr>
        <w:t>55 Almaden Blvd.,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Floor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San Jose, California 95113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 1-888-799-9666</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Email: investors@zoom.us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Street name stockholders may contact their broker, bank or other nominee to request information about householding.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9295"/>
                <wp:effectExtent l="0" t="0" r="0" b="0"/>
                <wp:wrapNone/>
                <wp:docPr id="9" name="Frame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What is the deadline to propose actions for consideration at next year’s annual meeting of stockholders or to nominate individuals to serve as directors?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Proposals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2025 annual meeting of stockholders, our Secretary must receive the written proposal at our principal executive offices not later than January 2, 2025.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Zoom Video Communications,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Corporate Secretary </w:t>
      </w:r>
    </w:p>
    <w:p>
      <w:pPr>
        <w:pStyle w:val="TextBody"/>
        <w:bidi w:val="0"/>
        <w:spacing w:lineRule="auto" w:line="288" w:before="0" w:after="0"/>
        <w:jc w:val="center"/>
        <w:rPr/>
      </w:pPr>
      <w:r>
        <w:rPr>
          <w:rFonts w:ascii="Times New Roman;sans-serif" w:hAnsi="Times New Roman;sans-serif"/>
          <w:b w:val="false"/>
          <w:color w:val="000000"/>
          <w:sz w:val="20"/>
        </w:rPr>
        <w:t>55 Almaden Blvd.,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Floor </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San Jose, California 95113</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our 2025 annual meeting of stockholders, our Secretary must receive the written notice at our principal executive offices: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not earlier than February 13, 2025;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not later than the close of business on March 15, 2025.</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we hold the 2025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2025 annual meeting of stockholders and no later than the close of business on the later of the following two 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90th day prior to the 2025 annual meeting of stockholders;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10th day following the day on which public announcement of the date of our 2025 annual meeting of stockholders is first made.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Nomination of Director Candidates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9295"/>
                <wp:effectExtent l="0" t="0" r="0" b="0"/>
                <wp:wrapNone/>
                <wp:docPr id="10" name="Frame1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Availability of Bylaws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contact our Secretary at the address set forth above for a copy of the relevant amended and restated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09295"/>
                <wp:effectExtent l="0" t="0" r="0" b="0"/>
                <wp:wrapNone/>
                <wp:docPr id="11" name="Frame1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BOARD OF DIRECTORS AND CORPORATE GOVERNANCE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affairs are managed under the direction of our Board of Directors, which is currently composed of nine members. Eight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March 31, 2024, and certain other information for each of the members of our Board of Directors with terms expiring at the Annual Meeting (who are also nominees for election as a director at the Annual Meeting) and for each of the continuing members of our Board of Directors:</w:t>
      </w:r>
    </w:p>
    <w:tbl>
      <w:tblPr>
        <w:tblW w:w="10205" w:type="dxa"/>
        <w:jc w:val="center"/>
        <w:tblInd w:w="0" w:type="dxa"/>
        <w:tblLayout w:type="fixed"/>
        <w:tblCellMar>
          <w:top w:w="28" w:type="dxa"/>
          <w:left w:w="28" w:type="dxa"/>
          <w:bottom w:w="28" w:type="dxa"/>
          <w:right w:w="28" w:type="dxa"/>
        </w:tblCellMar>
      </w:tblPr>
      <w:tblGrid>
        <w:gridCol w:w="799"/>
        <w:gridCol w:w="563"/>
        <w:gridCol w:w="566"/>
        <w:gridCol w:w="109"/>
        <w:gridCol w:w="109"/>
        <w:gridCol w:w="109"/>
        <w:gridCol w:w="185"/>
        <w:gridCol w:w="185"/>
        <w:gridCol w:w="186"/>
        <w:gridCol w:w="109"/>
        <w:gridCol w:w="109"/>
        <w:gridCol w:w="109"/>
        <w:gridCol w:w="145"/>
        <w:gridCol w:w="145"/>
        <w:gridCol w:w="146"/>
        <w:gridCol w:w="109"/>
        <w:gridCol w:w="109"/>
        <w:gridCol w:w="109"/>
        <w:gridCol w:w="611"/>
        <w:gridCol w:w="611"/>
        <w:gridCol w:w="618"/>
        <w:gridCol w:w="109"/>
        <w:gridCol w:w="109"/>
        <w:gridCol w:w="109"/>
        <w:gridCol w:w="304"/>
        <w:gridCol w:w="304"/>
        <w:gridCol w:w="305"/>
        <w:gridCol w:w="109"/>
        <w:gridCol w:w="109"/>
        <w:gridCol w:w="109"/>
        <w:gridCol w:w="333"/>
        <w:gridCol w:w="333"/>
        <w:gridCol w:w="335"/>
        <w:gridCol w:w="109"/>
        <w:gridCol w:w="109"/>
        <w:gridCol w:w="109"/>
        <w:gridCol w:w="456"/>
        <w:gridCol w:w="456"/>
        <w:gridCol w:w="657"/>
      </w:tblGrid>
      <w:tr>
        <w:trPr/>
        <w:tc>
          <w:tcPr>
            <w:tcW w:w="79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20"/>
              </w:rPr>
            </w:pPr>
            <w:r>
              <w:rPr>
                <w:rFonts w:ascii="Times New Roman;sans-serif" w:hAnsi="Times New Roman;sans-serif"/>
                <w:b/>
                <w:color w:val="000000"/>
                <w:sz w:val="20"/>
              </w:rPr>
              <w:t>Directors with Terms Expiring at the Annual Meeting/Nominees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Current Term 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Expiration of Term For Which Nominated</w:t>
            </w:r>
          </w:p>
        </w:tc>
      </w:tr>
      <w:tr>
        <w:trPr/>
        <w:tc>
          <w:tcPr>
            <w:tcW w:w="1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20"/>
              </w:rPr>
              <w:t>Jonathan Chadwick</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20"/>
              </w:rPr>
              <w:t>Cindy Hoots</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20"/>
              </w:rPr>
              <w:t>Dan Scheinman</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20"/>
              </w:rPr>
            </w:pPr>
            <w:r>
              <w:rPr>
                <w:rFonts w:ascii="Times New Roman;sans-serif" w:hAnsi="Times New Roman;sans-serif"/>
                <w:b/>
                <w:color w:val="000000"/>
                <w:sz w:val="20"/>
              </w:rPr>
              <w:t>Continuing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William R. McDermott</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Janet Napolitano</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20"/>
              </w:rPr>
              <w:t>Santiago Subotovsky</w:t>
            </w:r>
            <w:r>
              <w:rPr>
                <w:rFonts w:ascii="Times New Roman;sans-serif" w:hAnsi="Times New Roman;sans-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Peter Gassner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Lieut. Gen. H.R. McMaster</w:t>
            </w:r>
            <w:r>
              <w:rPr>
                <w:rFonts w:ascii="Times New Roman;sans-serif" w:hAnsi="Times New Roman;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(1)Member of our Audit Committee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(2)Member of our Compensation Committee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(3)Member of our Nominating and Corporate Governance Committee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(4)Member of our Cybersecurity Risk Management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Nominees for Director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Jonathan Chadwick.</w:t>
      </w:r>
      <w:r>
        <w:rPr>
          <w:color w:val="000000"/>
        </w:rPr>
        <w:t xml:space="preserve"> </w:t>
      </w:r>
      <w:r>
        <w:rPr>
          <w:rFonts w:ascii="Times New Roman;sans-serif" w:hAnsi="Times New Roman;sans-serif"/>
          <w:b w:val="false"/>
          <w:color w:val="000000"/>
          <w:sz w:val="20"/>
        </w:rPr>
        <w:t xml:space="preserve">Mr. Chadwick has served as a member of our Board of Directors since September 2017. Since April 2016, Mr. Chadwick has 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from October 2011 until November 2012, as a Corporate Vice President of Microsoft Corporation, a technology company, after its acquisition of Skype Communication S.a.r.l.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(“Cisco”), a multinational technology company. He also worked for Coopers &amp; Lybrand, an accounting firm (now PricewaterhouseCoopers) in various roles in the United States and United Kingdom. He currently serves on the boards of directors of ServiceNow, Inc. (“ServiceNow”), a digital workflow company, Confluent, Inc., a data infrastructure company, Samsara Inc., an IoT software company, and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9295"/>
                <wp:effectExtent l="0" t="0" r="0" b="0"/>
                <wp:wrapNone/>
                <wp:docPr id="12" name="Frame1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private companies. He previously served on the board of directors of Elastic N.V., a search and data analysis company, Cognizant Technology Solutions Corporation, an IT business services provider, and F5 Networks, Inc., an application networking delivery company. Mr. Chadwick qualified as a Chartered Accountant in England and holds a B.Sc. degree in Electrical and Electronic Engineering from the University of Bath.</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Chadwick is qualified to serve as a member of our Board of Directors because of his significant financial expertise as a Chief Financial Officer and service on the boards of directors of various public companies.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 xml:space="preserve">Cindy Hoots. </w:t>
      </w:r>
      <w:r>
        <w:rPr>
          <w:rFonts w:ascii="Times New Roman;sans-serif" w:hAnsi="Times New Roman;sans-serif"/>
          <w:b w:val="false"/>
          <w:color w:val="000000"/>
          <w:sz w:val="20"/>
        </w:rPr>
        <w:t>Ms. Hoots has served as a member of our Board of Directors since January 2023. Ms. Hoots has served as the Chief Digital Officer and Chief Information Officer at AstraZeneca PLC, a pharmaceutical company, since January 2020. From January 2018 to December 2019, she served as Global Vice President of Technology of Unilever PLC, a multinational consumer goods company. Prior to joining Unilever, Ms. Hoots served as Vice President of Next Generation Products, Commercial and Digital Transformation at British American Tobacco plc, a multinational tobacco manufacturing company, from 2016 to 2018. Ms. Hoots holds a B.S. in computer information systems from DeVry Institute of Technology.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Ms. Hoots is qualified to serve as a member of our Board of Directors because of her significant cybersecurity and technology expertise.</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 xml:space="preserve">Dan Scheinman. </w:t>
      </w:r>
      <w:r>
        <w:rPr>
          <w:rFonts w:ascii="Times New Roman;sans-serif" w:hAnsi="Times New Roman;sans-serif"/>
          <w:b w:val="false"/>
          <w:color w:val="000000"/>
          <w:sz w:val="20"/>
        </w:rPr>
        <w:t>Mr. Scheinman has served as a member of our Board of Directors since January 2013. Since April 2011, Mr. Scheinman has been an angel investor. From January 1997 to April 2011, Mr. Scheinman served in various roles at Cisco, most recently as Senior Vice President, Cisco Media Solutions Group. He currently serves on the boards of directors of Arista Networks, Inc., a cloud networking company, SentinelOne, Inc., a cybersecurity company, and several private companies. Mr. Scheinman holds a B.A. degree in Politics from Brandeis University and a J.D. from the Duke University School of Law.</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Scheinman is qualified to serve as a member of our Board of Directors because of his significant knowledge of our Company and the technology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William R. McDermott.</w:t>
      </w:r>
      <w:r>
        <w:rPr>
          <w:color w:val="000000"/>
        </w:rPr>
        <w:t xml:space="preserve"> </w:t>
      </w:r>
      <w:r>
        <w:rPr>
          <w:rFonts w:ascii="Times New Roman;sans-serif" w:hAnsi="Times New Roman;sans-serif"/>
          <w:b w:val="false"/>
          <w:color w:val="000000"/>
          <w:sz w:val="20"/>
        </w:rPr>
        <w:t>Mr. McDermott has served as a member of our Board of Directors since March 2022. Mr. McDermott has served as the Chief Executive Officer and a member of the board of directors of ServiceNow since November 2019 and was appointed Chairman of ServiceNow's board of directors in October 2022. From 2010 through 2014, Mr. McDermott served as Co-Chief Executive Officer, and from 2014 until October 2019, as sole Chief Executive Officer, of SAP SE (“SAP”), a multinational software company providing enterprise software. Mr. McDermott joined SAP in 2002 as Chief Executive Officer of SAP America, Inc., and served on the SAP Executive Board from 2008 until October 2019. Prior to joining SAP, Mr. McDermott served as Executive Vice President of Worldwide Sales and Operations at Siebel Systems, Inc. from 2001 to 2002 and served as President of Gartner, Inc. from 2000 to 2001. Mr. McDermott currently serves on the board of directors of Fisker Inc., an automotive technology company. Mr. McDermott previously served on the board of directors of Under Armour, Inc., a sporting goods company, ANSYS, Inc., a provider of engineering and simulation software and technologies, and SecureWorks Corp., a provider of intelligence-driven information security solutions. Mr. McDermott holds a B.A. in business management from Dowling College and an M.B.A from Northwestern University’s Kellogg School of Management, and has completed the Executive Development Program at the Wharton School of Business.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McDermott is qualified to serve as a member of our Board of Directors because of his significant expertise as a Chief Executive Officer in the technology industry and service on the boards of directors of various public companies.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Janet Napolitano</w:t>
      </w:r>
      <w:r>
        <w:rPr>
          <w:rFonts w:ascii="Times New Roman;sans-serif" w:hAnsi="Times New Roman;sans-serif"/>
          <w:b w:val="false"/>
          <w:color w:val="000000"/>
          <w:sz w:val="20"/>
        </w:rPr>
        <w:t xml:space="preserve">. Ms. Napolitano has served as a member of our Board of Directors since November 2020. Ms. Napolitano is a professor at the University of California Berkeley’s Goldman School of Public Policy. She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09295"/>
                <wp:effectExtent l="0" t="0" r="0" b="0"/>
                <wp:wrapNone/>
                <wp:docPr id="13" name="Frame1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Ms. Napolitano currently serves on the board of directors of Vir Biotechnology, Inc., a clinical-stage immunology company. Ms. Napolitano holds a B.S. in political science from Santa Clara University and a J.D. from the University of Virginia School of Law.</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Ms. Napolitano is qualified to serve as a member of our Board of Directors because of her extensive leadership experience in both education and government.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Santiago Subotovsky. </w:t>
      </w:r>
      <w:r>
        <w:rPr>
          <w:rFonts w:ascii="Times New Roman;sans-serif" w:hAnsi="Times New Roman;sans-serif"/>
          <w:b w:val="false"/>
          <w:color w:val="000000"/>
          <w:sz w:val="20"/>
        </w:rPr>
        <w:t>Mr. Subotovsky has served as a member of our Board of Directors since December 2014. Mr. Subotovsky is a General Partner at Emergence Capital, a venture capital firm, and has been with that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Subotovsky is qualified to serve on our Board of Directors because of his market knowledge and his experience serving as a director of various private companies.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 xml:space="preserve">Eric S. Yuan. </w:t>
      </w:r>
      <w:r>
        <w:rPr>
          <w:rFonts w:ascii="Times New Roman;sans-serif" w:hAnsi="Times New Roman;sans-serif"/>
          <w:b w:val="false"/>
          <w:color w:val="000000"/>
          <w:sz w:val="20"/>
        </w:rPr>
        <w:t>Mr. Yuan is the founder of our Company and has served as the Chairman of our Board of Directors, President and Chief Executive Officer since June 2011. From May 2007 to June 2011, Mr. Yuan served as Corporate Vice President of Engineering at Cisco. Mr. Yuan served in various roles, most recently as Vice President of Engineering, at WebEx Communications, Inc. ("WebEx"), an internet company, from August 1997 until its acquisition by Cisco in May 2007. Mr. Yuan currently serves on the board of directors of Intuit, Inc., a financial software company. Mr. Yuan holds a Bachelor’s degree in Applied Math from Shandong University of Science &amp; Technology and a Master’s degree in engineering from China University of Mining &amp; Technology.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Yuan was selected to serve on our Board of Directors because of the perspective and experience he brings as our founder, as well as his extensive experience with technology companies.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 xml:space="preserve">Peter Gassner. </w:t>
      </w:r>
      <w:r>
        <w:rPr>
          <w:rFonts w:ascii="Times New Roman;sans-serif" w:hAnsi="Times New Roman;sans-serif"/>
          <w:b w:val="false"/>
          <w:color w:val="000000"/>
          <w:sz w:val="20"/>
        </w:rPr>
        <w:t>Mr. Gassner has served as a member of our Board of Directors since October 2015. Since January 2007, Mr. Gassner has served as Chief Executive Officer and a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previously served on the board of directors of Guidewire Software, Inc., a software publisher. Mr. Gassner holds a B.S. in Computer Science from Oregon State University.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Gassner is qualified to serve as a member of our Board of Directors because of his significant management experience in the technology industry and service on the boards of directors of various public companies.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Lieut. Gen. H.R. McMaster, U.S. Army, retired</w:t>
      </w:r>
      <w:r>
        <w:rPr>
          <w:rFonts w:ascii="Times New Roman;sans-serif" w:hAnsi="Times New Roman;sans-serif"/>
          <w:b w:val="false"/>
          <w:color w:val="000000"/>
          <w:sz w:val="20"/>
        </w:rPr>
        <w:t>. General McMaster has served as a member of our Board of Directors since May 2020. Since 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34 years until his retirement in June 2018. From February 2017 to April 2018, General McMaster was the 26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Assistant to the President for National Security Affairs. He previously served on the board of NRx Pharmaceuticals, Inc. General McMaster holds a B.S. from the United States Military Academy at West Point and a M.A. and Ph.D. in History from the University of North Carolina at Chapel Hill.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9295"/>
                <wp:effectExtent l="0" t="0" r="0" b="0"/>
                <wp:wrapNone/>
                <wp:docPr id="14" name="Frame1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General McMaster is qualified to serve as a member of our Board of Directors because of his significant experience in leading large organizations, his knowledge of foreign affairs, and his expertise in strategic assessment and planning.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our Nasdaq Board Diversity Matrix for fiscal 2024 and last year's Board Diversity Matrix is available in our 2023 proxy statement filed with the SEC on May 5, 2023. The following Board Diversity Matrix sets forth certain self-identified personal demographic characteristics of our directors. Each of the categories listed in the below table has the meaning as it is used in Nasdaq Rule 5605(f). </w:t>
      </w:r>
    </w:p>
    <w:tbl>
      <w:tblPr>
        <w:tblW w:w="8971" w:type="dxa"/>
        <w:jc w:val="center"/>
        <w:tblInd w:w="0" w:type="dxa"/>
        <w:tblLayout w:type="fixed"/>
        <w:tblCellMar>
          <w:top w:w="28" w:type="dxa"/>
          <w:left w:w="28" w:type="dxa"/>
          <w:bottom w:w="28" w:type="dxa"/>
          <w:right w:w="28" w:type="dxa"/>
        </w:tblCellMar>
      </w:tblPr>
      <w:tblGrid>
        <w:gridCol w:w="1190"/>
        <w:gridCol w:w="1043"/>
        <w:gridCol w:w="1051"/>
        <w:gridCol w:w="125"/>
        <w:gridCol w:w="125"/>
        <w:gridCol w:w="125"/>
        <w:gridCol w:w="215"/>
        <w:gridCol w:w="215"/>
        <w:gridCol w:w="216"/>
        <w:gridCol w:w="125"/>
        <w:gridCol w:w="125"/>
        <w:gridCol w:w="125"/>
        <w:gridCol w:w="160"/>
        <w:gridCol w:w="160"/>
        <w:gridCol w:w="161"/>
        <w:gridCol w:w="125"/>
        <w:gridCol w:w="125"/>
        <w:gridCol w:w="125"/>
        <w:gridCol w:w="340"/>
        <w:gridCol w:w="340"/>
        <w:gridCol w:w="341"/>
        <w:gridCol w:w="125"/>
        <w:gridCol w:w="125"/>
        <w:gridCol w:w="125"/>
        <w:gridCol w:w="596"/>
        <w:gridCol w:w="596"/>
        <w:gridCol w:w="847"/>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8971" w:type="dxa"/>
            <w:gridSpan w:val="2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Board Diversity Matrix (as of May 2, 2024)</w:t>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Total Number of Directors</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3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333"/>
                <w:sz w:val="18"/>
              </w:rPr>
            </w:pPr>
            <w:r>
              <w:rPr>
                <w:rFonts w:ascii="Times New Roman;sans-serif" w:hAnsi="Times New Roman;sans-serif"/>
                <w:b/>
                <w:color w:val="333333"/>
                <w:sz w:val="18"/>
              </w:rPr>
              <w:t>Female</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333"/>
                <w:sz w:val="18"/>
              </w:rPr>
            </w:pPr>
            <w:r>
              <w:rPr>
                <w:rFonts w:ascii="Times New Roman;sans-serif" w:hAnsi="Times New Roman;sans-serif"/>
                <w:b/>
                <w:color w:val="333333"/>
                <w:sz w:val="18"/>
              </w:rPr>
              <w:t>Male</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333"/>
                <w:sz w:val="18"/>
              </w:rPr>
            </w:pPr>
            <w:r>
              <w:rPr>
                <w:rFonts w:ascii="Times New Roman;sans-serif" w:hAnsi="Times New Roman;sans-serif"/>
                <w:b/>
                <w:color w:val="333333"/>
                <w:sz w:val="18"/>
              </w:rPr>
              <w:t>Non-Binary</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333"/>
                <w:sz w:val="18"/>
              </w:rPr>
            </w:pPr>
            <w:r>
              <w:rPr>
                <w:rFonts w:ascii="Times New Roman;sans-serif" w:hAnsi="Times New Roman;sans-serif"/>
                <w:b/>
                <w:color w:val="333333"/>
                <w:sz w:val="18"/>
              </w:rPr>
              <w:t>Did Not Disclose Gender</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Directors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African American or Black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Alaskan Native or Native American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Asian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Hispanic or Latinx</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Native Hawaiian or Pacific Islander</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White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Two or More Races or Ethnicities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LGBTQ+</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Did Not Disclose Demographic Background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240" w:after="240"/>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is listed on the Nasdaq Global Select Market. Under the listing standards of The Nasdaq Stock Market, independent directors must comprise a majority of a listed company’s board of directors. In addition, the Nasdaq rules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undertaken a review of the independence of each of our directors. Based on information provided by each director concerning his or her background, employment and affiliations, our Board of Directors has determined that each of Mses. Hoots and Napolitano, General McMaster, and Messrs. Chadwick, Gassner, McDermott, Scheinman, and Subotovsky do not have a relationship with the company that would interfere with the exercise of independent judgment in carrying out the responsibilities of a director, and that each of these directors is “independent” as that term is defined under the applicable rules and regulations of the SEC and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09295"/>
                <wp:effectExtent l="0" t="0" r="0" b="0"/>
                <wp:wrapNone/>
                <wp:docPr id="15" name="Frame1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ownership of our capital stock by each non-employee director, and the transactions involving them described in the section titled “Certain Relationships and Related Person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Eric S. Yuan currently serves as both the Chairman of our Board of Directors and as our Chief Executive Officer. Our independent directors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Lead Independent Director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coordinates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and Stockholder Meetings and Committees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our fiscal year ended January 31, 2024, our Board of Directors held seven meetings (including regularly scheduled and special meetings), and each incumbent director, except Mr. McDermott, who was absent from two special meetings due to a pre-existing commitment and a family obligation, respectively,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our directors to attend our annual meeting of stockholders. All but three of our then-serving directors attended the annual meeting of stockholders in 2023. The three directors who were unable to attend had pre-existing scheduling conflicts.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established an Audit Committee, a Compensation Committee, a Nominating and Corporate Governance Committee, and a Cybersecurity Risk Management Committee. The composition and responsibilities of each of the committees of our Board of Directors is described below. Members will serve on these committees until their resignation or until otherwise determined by our Board of Directors.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Messrs. Chadwick and Scheinman and Ms. Hoots.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director who served on our Audit Committee during fiscal year 2024 can read and understand fundamental financial statements in accordance with applicable requirements. In arriving at these determinations, our Board of Directors has examined each Audit Committee member’s scope of experience and the nature of his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09295"/>
                <wp:effectExtent l="0" t="0" r="0" b="0"/>
                <wp:wrapNone/>
                <wp:docPr id="16" name="Frame1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helping our Board of Directors oversee our corporate accounting and financial reporting processes;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managing the selection, engagement, qualifications, independence and performance of a qualified firm to serve as the independent registered public accounting firm to audit our financial statements;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developing procedures for employees to submit concerns anonymously about questionable accounting or audit matters;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reviewing related person transactions;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pre-approving audit and permissible non-audit services to be performed by the 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2024, our Audit Committee held eight meetings.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Messrs. McDermott, Scheinman and Subotovsky. The chair of our Compensation Committee is Mr. Scheinman. Our Board of Directors has determined that each member of the Compensation Committee is independent, under the listing standards of The Nasdaq Stock Market, and each member of the Compensation Committee is a “non-employee director” as defined in Rule 16b-3 promulgated under the Exchange Act.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reviewing and recommending to our Board of Directors the compensation of our directors;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administering our equity incentive plans and other benefit programs;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reviewing and establishing general policies relating to compensation and benefits of our employees, including our overall compensation philosophy.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2024, our Compensation Committee held four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09295"/>
                <wp:effectExtent l="0" t="0" r="0" b="0"/>
                <wp:wrapNone/>
                <wp:docPr id="17" name="Frame1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General McMaster and Mr. Subotovsky. The chair of our Nominating and Corporate Governance Committee is Mr. Subotovsky. Our Board of Directors has determined that each member of the Nominating and Corporate Governance Committee is independent under the listing standards of The Nasdaq Stock Market.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Specific responsibilities of our Nominating and Corporate Governance Committee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considering and making recommendations to our Board of Directors regarding the composition and chairmanship of the committees of our Board of Directors;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developing and making recommendations to our Board of Directors regarding corporate governance guidelines and related matters;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overseeing periodic evaluations of the Board of Directors’ performance, including committees of the Board of Directors;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reviewing our Company’s practices and initiatives with respect to environmental, social and governance (“ESG”) matters expected to have a significant impact on our Company’s performance, business activities or reputation;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reviewing our Company’s succession planning process for our Chief Executive Officer and other members our executive management team, and assisting our Board of Directors in evaluating potential successors for these roles.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operates under a written charter that satisfies the applicable listing standards of The Nasdaq Stock Market. A copy of the charter of our Nominating and Corporate Governance Committee is available on our website at https://investors.zoom.us/corporate-governance. During our fiscal year ended January 31, 2024, our Nominating and Corporate Governance Committee held three meetings.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Management Committee consists of Ms. Hoots, General McMaster and Ms. Napolitano. The chair of our Cybersecurity Risk Management Committee is Ms. Hoots.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Specific responsibilities of our Cybersecurity Risk Management Committee include: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overseeing the quality and effectiveness of our policies and procedures with respect to our information technology and network systems, including encryption, network security and data security, as well as access to such systems;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reviewing and providing oversight on our policies and procedures in preparation for responding to any data security incidents;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overseeing management of internal and external risks related to our information technology systems and processes, including encryption, network security, data security, risk management frameworks, and any internal or third-party audits of such systems and processes.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copy of the charter of our Cybersecurity Risk Management Committee is available on our website at https://investors.zoom.us/corporate-governance. During our fiscal year ended January 31, 2024, our Cybersecurity Risk Management Committee held four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09295"/>
                <wp:effectExtent l="0" t="0" r="0" b="0"/>
                <wp:wrapNone/>
                <wp:docPr id="18" name="Frame1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mentioned above, our Compensation Committee consists of Messrs. McDermott, Scheinman and Subotovsky.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Considerations in Evaluating Director Nominees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it should be a diverse body, and our Nominating and Corporate Governance Committee considers a broad range of backgrounds and experiences. As set forth in our Corporate Governance Guidelines, in making determinations regarding nominations of directors, our Nominating and Corporate Governance Committee considers, among other factors, diversity factors, including race, ethnicity, gender, age and sexual orientation, among others. In furtherance of the foregoing, where a third-party search firm is engaged and requested to furnish a list of possible director candidates to us, such firm will be instructed to include women and candidates from underrepresented communities who meet the applicable business and search criteria.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Stockholder Recommendations for Nominations to the Board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Chief Legal Officer or our Legal Department in writing.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09295"/>
                <wp:effectExtent l="0" t="0" r="0" b="0"/>
                <wp:wrapNone/>
                <wp:docPr id="19" name="Frame1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has discretion to decide which individuals to recommend for nomination as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Under our amended and restated bylaws, stockholders may also nominate persons for our Board of Directors. Any nomination must comply with the requirements set forth in our amended and restated bylaws and should be sent in writing to our Chief Legal Officer or our Legal Department at Zoom Video Communications, Inc., 55 Almaden Blvd.,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San Jose, California 95113. To be timely for our 2025 annual meeting of stockholders, our Chief Legal Officer or Legal Department must receive the nomination no earlier than February 13, 2025 and no later than March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Communications with the Board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Chief Legal Officer at Zoom Video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Chief Legal Officer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Corporate Governance Guidelines and Code of Business Conduct and Ethics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https://investors.zoom.us/corporate-governance. We will post amendments to our Code of Business Conduct and Ethics or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Risk Management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 is inherent with every business, and we face a number of risks, including strategic, financial, business and operational, cyber 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at such other times as they deem appropriate.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09295"/>
                <wp:effectExtent l="0" t="0" r="0" b="0"/>
                <wp:wrapNone/>
                <wp:docPr id="20" name="Frame2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Management Committee and our Board of Directors address the primary cybersecurity risks associated with our business. Our Cybersecurity Risk Management Committee assists our Board of Directors in fulfilling its oversight responsibility.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Cybersecurity Risk Management Committee actively engages in such activities as (i) considering input from the Zoom cybersecurity team and others to better understand the threats to the security of Zoom's services and their impact on Zoom’s business and (ii) evaluating methods for validating the effectiveness of Zoom’s cybersecurity efforts. In particular, our Chief Information Security Officer provides regular briefings to our senior management and our Cybersecurity Risk Management Committee concerning relevant cybersecurity risks and the processes we have implemented to address them. Our Cybersecurity Risk Management Committee, and our Board of Directors also receive various reports, summaries, and presentations related to cybersecurity threats, risks, and mitigations.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compliance related risks. In addition, among other matters, management provides our Audit Committee periodic reports on our compliance programs and investment policy and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Prohibition on Hedging, Short Sales and Pledging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insider trading policy prohibits 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 Further, our insider trading policy provides that our directors and executive officers may only trade in our securities through a 10b5-1 trading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Environmental, Social, and Governance ("ESG")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ESG considerations are a key part of our overall business strategy and we are committed to maintaining a strong ESG program and providing transparent disclosure on our ESG initiatives. Our Nominating and Corporate Governance Committee has oversight over reviewing our practices and initiatives with respect to ESG matters expected to have a significant impact on us. Additionally, our Sustainability and ESG program reports into Investor Relations within the Finance and Workplace team, where our CFO is executive sponsor. We are dedicated to delivering happiness to and caring for our community, customers and employees. We seek to make the world a better place by providing technology that connects people and organizations, facilitates dialogue, enables education and inclusivity, enhances productivity, facilitates reductions in carbon emissions, and much more. We plan to release our fiscal 2024 Impact Report, which includes information regarding our ESG initiatives and policies, our environmental performance, our goal of reaching 100% renewable electricity in our operations by 2030, our workforce diversity data, and an index aligned to the Sustainability Accounting Standards Board (SASB) reporting standards. This report, along with further information about our ESG initiatives and policies, will be available on our website. Content available on our website is not incorporated herein and is not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09295"/>
                <wp:effectExtent l="0" t="0" r="0" b="0"/>
                <wp:wrapNone/>
                <wp:docPr id="21" name="Frame2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Non-Employee Director Compensation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Non-Employee Director Compensation Policy that provides for cash and equity compensation to directors who are not also serving as an employee or consultant to us (each an “Eligible Director”). The Non-Employee Director Compensation Policy was originally approved by our Board of Directors and effective in May 2019. Our Compensation Committee and Board of Directors periodically review the compensation for our Eligible Directors, with the assistance of their independent compensation consultant, Aon's Human Capital Solutions practice (formerly known as Radford), a division of Aon plc (“Aon”), including by reference to the peer group of companies used for executive compensation purposes and general trends and best practices in our industry for director compensation. When updating the Non-Employee Director Compensation Policy, our Compensation Committee and Board of Directors carefully consider market data analysis and recommendations from Aon, as well as the increased demands on, and time commitment required by, our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Non-Employee Director Compensation Policy (which was also effective for fiscal 2024) is described below. </w:t>
      </w:r>
    </w:p>
    <w:p>
      <w:pPr>
        <w:pStyle w:val="TextBody"/>
        <w:bidi w:val="0"/>
        <w:spacing w:lineRule="auto" w:line="288" w:before="0" w:after="24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Annual Cash Compensation</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1.Annual Board Service Retainer:</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Eligible Directors: $45,000 </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b.Chairperson or Lead Independent Director (in lieu of above): $65,000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2.Annual Committee Member Service Retainer:</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a.Member of the Audit Committee: $12,500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b.Member of the Compensation Committee: $10,000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c.Member of the Nominating and Corporate Governance Committee: $5,000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d.Member of the Cybersecurity Risk Management Committee: $10,000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3.Annual Committee Chair Service Retainer (in lieu of Committee Member Service Retainer):</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a.Chairperson of the Audit Committee: $27,500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b.Chairperson of the Compensation Committee: $20,000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c.Chairperson of the Nominating and Corporate Governance Committee: $10,000</w:t>
      </w:r>
    </w:p>
    <w:p>
      <w:pPr>
        <w:pStyle w:val="TextBody"/>
        <w:bidi w:val="0"/>
        <w:spacing w:lineRule="auto" w:line="288" w:before="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d.Chairperson of the Cybersecurity Risk Management Committee: $20,000</w:t>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09295"/>
                <wp:effectExtent l="0" t="0" r="0" b="0"/>
                <wp:wrapNone/>
                <wp:docPr id="22" name="Frame2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Compensation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Non-Employee Director Compensation Policy terms in place for fiscal 2024, each Eligible Director is eligible to receive an RSU calculated based on a grant value of $275,000 (the “Target RSU”). The RSU is automatically granted to each Eligible Director at the following times and is pro-rated as described below. All of the RSUs granted under the Non-Employee Director Compensation Policy are granted under the 2019 Equity Incentive Plan (the “2019 Plan”).</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Initial Appointment:</w:t>
      </w:r>
      <w:r>
        <w:rPr>
          <w:color w:val="000000"/>
        </w:rPr>
        <w:t xml:space="preserve"> </w:t>
      </w:r>
      <w:r>
        <w:rPr>
          <w:rFonts w:ascii="Times New Roman;sans-serif" w:hAnsi="Times New Roman;sans-serif"/>
          <w:b w:val="false"/>
          <w:color w:val="000000"/>
          <w:sz w:val="20"/>
        </w:rPr>
        <w:t xml:space="preserve">At the time an Eligible Director is first elected or appointed to the Board of Directors, on the date of such Eligible Director’s initial election or appointment to the Board (the “Eligibility Date”), such Eligible Director receives the Target RSU (the “Initial Grant”), pro-rated by the percentage (not to exceed 100%) obtained by dividing the total number of expected calendar days remaining until the first annual meeting of the Company’s stockholders (the “annual meeting”) occurring after the Eligibility Date by 365. The Initial Grant fully vests as of the day immediately preceding the first annual meeting date (or, if sooner, the one-year anniversary of the grant date of the Initial Grant), subject to the Eligible Director’s continuous service (as defined in the 2019 Plan) through each such applicable vesting date. If an Eligible Director is first elected or appointed to the Board of Directors on the date of an annual meeting, such Eligible Director receives the Annual Grant (defined below) instead of an Initial Grant.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Re-Election:</w:t>
      </w:r>
      <w:r>
        <w:rPr>
          <w:color w:val="000000"/>
        </w:rPr>
        <w:t xml:space="preserve"> </w:t>
      </w:r>
      <w:r>
        <w:rPr>
          <w:rFonts w:ascii="Times New Roman;sans-serif" w:hAnsi="Times New Roman;sans-serif"/>
          <w:b w:val="false"/>
          <w:color w:val="000000"/>
          <w:sz w:val="20"/>
        </w:rPr>
        <w:t xml:space="preserve">On the date of each of our annual meetings of stockholders, commencing on the applicable meeting date as described below, each Eligible Director who is (i) nominated at such annual meeting to be re-elected to the Board of Directors to serve a three-year term and (ii) continues to serve as a non-employee member of the Board of Directors following such annual meeting is granted the Target RSUs (each, an “Annual Grant”).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Non-Employee Director Compensation Policy was previously structured to provide equity compensation every three years, rather than annually. In February 2022, we shifted to a more typical annual grant program, but we phased-in the shift to Annual Grants gradually for certain of our non-employee directors who held outstanding equity awards that were previously granted and structured to provide compensation over a three-year period, to generally correspond to the time when such director’s current outstanding equity awards were expected to be fully vested. Accordingly, we began granting the new Annual Grants to our Eligible Directors as follows: at our 2022 annual meeting of stockholders to our Class III Eligible Directors; at our 2023 annual meeting of stockholders to our Class I Eligible Directors (and our Class II Eligible Directors who hold Pre-IPO Grants, as described below) and finally at the Annual Meeting to our remaining Class II Eligible Directors. Any Eligible Directors who joined our Board of Directors following the February 2022 amendments to our Non-Employee Director Compensation Policy receive the Annual Grant beginning with the first annual meeting on or following the date they become Eligible Directors. The Annual Grant vests in full on the one-year anniversary of the grant date (or, if sooner, the day immediately preceding the next annual meeting that occurs following the grant date), subject to the Eligible Director’s continuous service (as defined in the 2019 Plan) through each such applicable vesting date.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adjust to the above annual grant schedule, each Class II Eligible Director who held an unvested equity award as of the original May 2019 effective date of the Non-Employee Director Compensation Policy that remained partially unvested as of February 23, 2022 (a “Pre-IPO Grant”) received, on the date immediately following the date such Pre-IPO Grant became fully vested, a Target RSU (the “Interim Grant”), pro-rated by the percentage (not to exceed 100%) obtained by dividing the total number of expected calendar days remaining until the first annual meeting following the grant date of the Interim Grant by 365. The Interim Grant became fully vested as of the day immediately preceding the next annual meeting date.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RSUs granted pursuant to the Non-Employee Director Compensation Policy will accelerate and vest in full upon (i) the Eligible Director’s death or disability (as defined in the 2019 Plan) or (ii) a change in control (as defined in the 2019 Plan), subject to the Eligible Director’s continuous service through such date.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underlying each RSU granted under the Non-Employee Director Compensation Policy is determined by dividing the applicable grant value for such RSU (as pro-rated if applicable) by a 60-trading day trailing average closing stock price of our Class A common stock. The Compensation Committee uses the 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09295"/>
                <wp:effectExtent l="0" t="0" r="0" b="0"/>
                <wp:wrapNone/>
                <wp:docPr id="23" name="Frame2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trading day trailing average closing price, rather than a single day stock price on the date of grant, in order to provide a more stabilized stock value less susceptible to possible swings in the market. The Compensation Committee understands that this process can result in the ultimate grant date value of an award as required to be reported in the Director Compensation Table under ASC 718 being higher or lower than the Target RSU value, but has considered, in consultation with Aon, various approaches to granting equity awards, each of which have advantages and disadvantages, and determined that the process described above is the most appropriate for Zoom at this time.</w:t>
      </w:r>
    </w:p>
    <w:p>
      <w:pPr>
        <w:pStyle w:val="TextBody"/>
        <w:bidi w:val="0"/>
        <w:spacing w:lineRule="auto" w:line="288" w:before="0" w:after="24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Non-Employee Director Compensation for Fiscal Year 2024</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the total compensation that was earned by each of our non-employee directors in our fiscal year ended January 31, 2024. </w:t>
      </w:r>
    </w:p>
    <w:tbl>
      <w:tblPr>
        <w:tblW w:w="8179" w:type="dxa"/>
        <w:jc w:val="center"/>
        <w:tblInd w:w="0" w:type="dxa"/>
        <w:tblLayout w:type="fixed"/>
        <w:tblCellMar>
          <w:top w:w="28" w:type="dxa"/>
          <w:left w:w="28" w:type="dxa"/>
          <w:bottom w:w="28" w:type="dxa"/>
          <w:right w:w="28" w:type="dxa"/>
        </w:tblCellMar>
      </w:tblPr>
      <w:tblGrid>
        <w:gridCol w:w="807"/>
        <w:gridCol w:w="709"/>
        <w:gridCol w:w="718"/>
        <w:gridCol w:w="109"/>
        <w:gridCol w:w="109"/>
        <w:gridCol w:w="109"/>
        <w:gridCol w:w="849"/>
        <w:gridCol w:w="849"/>
        <w:gridCol w:w="852"/>
        <w:gridCol w:w="109"/>
        <w:gridCol w:w="109"/>
        <w:gridCol w:w="109"/>
        <w:gridCol w:w="534"/>
        <w:gridCol w:w="534"/>
        <w:gridCol w:w="536"/>
        <w:gridCol w:w="109"/>
        <w:gridCol w:w="109"/>
        <w:gridCol w:w="109"/>
        <w:gridCol w:w="236"/>
        <w:gridCol w:w="236"/>
        <w:gridCol w:w="338"/>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8"/>
              </w:rPr>
            </w:pPr>
            <w:r>
              <w:rPr>
                <w:rFonts w:ascii="Times New Roman;sans-serif" w:hAnsi="Times New Roman;sans-serif"/>
                <w:b/>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100"/>
              <w:jc w:val="center"/>
              <w:rPr/>
            </w:pPr>
            <w:r>
              <w:rPr>
                <w:rFonts w:ascii="Times New Roman;sans-serif" w:hAnsi="Times New Roman;sans-serif"/>
                <w:b/>
                <w:color w:val="000000"/>
                <w:sz w:val="18"/>
              </w:rPr>
              <w:t>Stock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both"/>
              <w:rPr/>
            </w:pPr>
            <w:r>
              <w:rPr>
                <w:rFonts w:ascii="Times New Roman;sans-serif" w:hAnsi="Times New Roman;sans-serif"/>
                <w:b w:val="false"/>
                <w:color w:val="000000"/>
                <w:sz w:val="18"/>
              </w:rPr>
              <w:t>Jonathan Chadwick</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72,500</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pPr>
            <w:r>
              <w:rPr>
                <w:rFonts w:ascii="Times New Roman;sans-serif" w:hAnsi="Times New Roman;sans-serif"/>
                <w:b w:val="false"/>
                <w:color w:val="000000"/>
                <w:sz w:val="18"/>
              </w:rPr>
              <w:t>Peter Gassner</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330,985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pPr>
            <w:r>
              <w:rPr>
                <w:rFonts w:ascii="Times New Roman;sans-serif" w:hAnsi="Times New Roman;sans-serif"/>
                <w:b w:val="false"/>
                <w:color w:val="000000"/>
                <w:sz w:val="18"/>
              </w:rPr>
              <w:t>Cindy Hoots</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363,485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William R. McDermott</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340,985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Lieut. Gen. H.R. McMaster</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345,985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Janet Napolitano</w:t>
            </w: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340,985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pPr>
            <w:r>
              <w:rPr>
                <w:rFonts w:ascii="Times New Roman;sans-serif" w:hAnsi="Times New Roman;sans-serif"/>
                <w:b w:val="false"/>
                <w:color w:val="000000"/>
                <w:sz w:val="18"/>
              </w:rPr>
              <w:t>Dan Scheinman</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383,485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pPr>
            <w:r>
              <w:rPr>
                <w:rFonts w:ascii="Times New Roman;sans-serif" w:hAnsi="Times New Roman;sans-serif"/>
                <w:b w:val="false"/>
                <w:color w:val="000000"/>
                <w:sz w:val="18"/>
              </w:rPr>
              <w:t>Santiago Subotovsky</w:t>
            </w:r>
            <w:r>
              <w:rPr>
                <w:rFonts w:ascii="Times New Roman;sans-serif" w:hAnsi="Times New Roman;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350,985</w:t>
            </w:r>
          </w:p>
        </w:tc>
      </w:tr>
    </w:tbl>
    <w:p>
      <w:pPr>
        <w:pStyle w:val="TextBody"/>
        <w:bidi w:val="0"/>
        <w:spacing w:lineRule="auto" w:line="288" w:before="0" w:after="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reported represent the aggregate grant date fair value of RSUs granted to our directors during the fiscal year ended January 31, 2024 under our 2019 Plan, computed in accordance with ASC Topic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2024. This amount does not reflect the actual economic value that may be realized by the non-employee director. Each of the RSUs reflected in the table above represent the Annual Grant granted to each relevant director on the date of our 2023 annual meeting of stockholders pursuant to our Non-Employee Director Compensation Policy.</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(2)As of January 31, 2024, Mr. Chadwick held RSUs for 380 shares of our Class A common stock, all of which remained unvested.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(3)As of January 31, 2024, Mr. Gassner held RSUs for 4,089 shares of our Class A common stock, all of which remained unvested.</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(4)As of January 31, 2024, Ms. Hoots held RSUs for 4,089 shares of our Class A common stock, all of which remained unvested.</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(5)As of January 31, 2024, Mr. McDermott held RSUs for 4,089 shares of our Class A common stock, all of which remained unvested.</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(6)As of January 31, 2024, Gen. McMaster held RSUs for 4,089 shares of our Class A common stock, all of which remained unvested.</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(7)As of January 31, 2024, Ms. Napolitano held RSUs for 4,089 shares of our Class A common stock, all of which remained unvested.</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(8)As of January 31, 2024, Mr. Scheinman held RSUs for 4,089 shares of our Class A common stock, all of which remained unvested. As of January 31, 2024, Mr. Scheinman held unexercised stock options for 100,000 shares of our Class B common stock, all of which were fully vested.</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(9)As of January 31, 2024, Mr. Subotovsky held RSUs for 4,089 shares of our Class A common stock, all of which remained unvested.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09295"/>
                <wp:effectExtent l="0" t="0" r="0" b="0"/>
                <wp:wrapNone/>
                <wp:docPr id="24" name="Frame2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Yuan, our Chief Executive Officer, is also a director but does not receive any additional compensation for his service as a director. See the section titled “Executive Compensation” for additional information about the compensation paid to Mr. Yuan.</w:t>
      </w:r>
    </w:p>
    <w:p>
      <w:pPr>
        <w:pStyle w:val="TextBody"/>
        <w:bidi w:val="0"/>
        <w:spacing w:before="0" w:after="24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09295"/>
                <wp:effectExtent l="0" t="0" r="0" b="0"/>
                <wp:wrapNone/>
                <wp:docPr id="25" name="Frame2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1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members. In accordance with our amended and restated certificate of incorporation, our Board of Directors is divided into three staggered classes of directors. At the Annual Meeting, three Class II directors will be elected for a three-year term to succeed the same class whose term is then expiring.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director’s term continues until the election and qualification of his or her successor, or such director’s earlier death, resignation or removal. This classification of our Board of Directors may have the effect of delaying or preventing changes in control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Nominees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has recommended, and our Board of Directors has approved, each of Jonathan Chadwick, Cindy Hoots and Dan Scheinman, as nominees for election as Class II directors at the Annual Meeting. If elected, each of Messrs. Chadwick and Scheinman and Ms. Hoots will serve as Class II directors until our 2027 annual meeting of stockholders and until their successors are duly elected and qualified. Each of the nominees is currently a director of our Company. Ms. Hoots has not previously been elected by our stockholders. Her candidacy was recommended by a third party search firm engaged by our Nominating and Corporate Governance Committee. After performing further evaluation of Ms. Hoots' particular experience, qualifications, attributes, and skills, the Nominating and Corporate Governance Committee recommended her election to the Board. For information concerning the nominees, please see the section titled “Board of Directors and Corporate Governance.”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and you sign your proxy card or vote by telephone or over the Internet but do not give instructions with respect to the voting of directors, your shares will be voted “For” the election of Messrs. Chadwick and Scheinman and Ms. Hoots. Each person nominated for election has agreed to serve if elected, and our management has no reason to believe that any nominee will be unable to serve;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election of directors requires a plurality of the voting power of the shares of our common stock present virtually or represented by proxy and entitled to vote generally on the election of directors. Broker non-votes will have no effect on this proposal.</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RECOMMENDS A VOTE “FOR”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EACH OF THE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09295"/>
                <wp:effectExtent l="0" t="0" r="0" b="0"/>
                <wp:wrapNone/>
                <wp:docPr id="26" name="Frame2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RATIFICATION OF APPOINTMENT OF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appointed KPMG LLP (“KPMG”), independent registered public accountants, to audit our consolidated financial statements for our fiscal year ending January 31, 2025. During our fiscal year ended January 31, 2024, KPMG served as our 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2025.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stockholders do not ratify the appointment of KPMG, our Board of Directors may reconsider the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fees for professional audit services and other services rendered to our Company by KPMG for our fiscal years ended January 31, 2024 and 2023. </w:t>
      </w:r>
    </w:p>
    <w:tbl>
      <w:tblPr>
        <w:tblW w:w="3628" w:type="dxa"/>
        <w:jc w:val="center"/>
        <w:tblInd w:w="0" w:type="dxa"/>
        <w:tblLayout w:type="fixed"/>
        <w:tblCellMar>
          <w:top w:w="28" w:type="dxa"/>
          <w:left w:w="28" w:type="dxa"/>
          <w:bottom w:w="28" w:type="dxa"/>
          <w:right w:w="28" w:type="dxa"/>
        </w:tblCellMar>
      </w:tblPr>
      <w:tblGrid>
        <w:gridCol w:w="514"/>
        <w:gridCol w:w="451"/>
        <w:gridCol w:w="459"/>
        <w:gridCol w:w="304"/>
        <w:gridCol w:w="304"/>
        <w:gridCol w:w="308"/>
        <w:gridCol w:w="109"/>
        <w:gridCol w:w="109"/>
        <w:gridCol w:w="109"/>
        <w:gridCol w:w="280"/>
        <w:gridCol w:w="280"/>
        <w:gridCol w:w="401"/>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Fiscal Year</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pPr>
            <w:r>
              <w:rPr>
                <w:rFonts w:ascii="Times New Roman;sans-serif" w:hAnsi="Times New Roman;sans-serif"/>
                <w:b w:val="false"/>
                <w:color w:val="000000"/>
                <w:sz w:val="18"/>
              </w:rPr>
              <w:t>Audit Fees</w:t>
            </w:r>
            <w:r>
              <w:rPr>
                <w:rFonts w:ascii="Times New Roman;sans-serif" w:hAnsi="Times New Roman;sans-serif"/>
                <w:b w:val="false"/>
                <w:color w:val="000000"/>
                <w:sz w:val="12"/>
              </w:rPr>
              <w:t>(1)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$5,208,072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$5,155,991</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Audit-related Fees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Tax Fees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All Other Fees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Total Fees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$5,208,072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$5,155,991</w:t>
            </w:r>
          </w:p>
        </w:tc>
      </w:tr>
    </w:tbl>
    <w:p>
      <w:pPr>
        <w:pStyle w:val="TextBody"/>
        <w:bidi w:val="0"/>
        <w:spacing w:lineRule="auto" w:line="288" w:before="0" w:after="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(1)Audit fees consist of professional services provided in connection with the audit of our annual consolidated financial statements (which was an integrated audit for fiscal years 2024 and 2023), the review of our unaudited quarterly consolidated financial statements, foreign statutory audits and services that are normally provided by KPMG LLP in connection with statutory and regulatory filings or engagements.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Auditor Independence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its charter and the policy described further below, our Audit Committee pre-approves audit and non-audit services rendered by our independent registered public accounting firm, KPMG. Our Audit Committee has determined that the rendering of the pre-approved non-audit services by KPMG is compatible with maintaining the independence of KPMG.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09295"/>
                <wp:effectExtent l="0" t="0" r="0" b="0"/>
                <wp:wrapNone/>
                <wp:docPr id="27" name="Frame2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Audit Committee Policy on Pre-Approval of Audit and Permissible Non-Audit Services of 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2023 and 2024 were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KPMG as our independent registered public accounting firm requires the affirmative vote of a majority of the voting power of the shares of our common stock present virtually or represented by proxy at the Annual Meeting and entitled to vote thereon. Abstentions will have the effect of a vote “Against” the proposal, and broker non-votes will have no effect.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RECOMMENDS A VOTE “FOR”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THE RATIFICATION OF THE APPOINTMENT OF KPMG LLP.</w:t>
      </w:r>
    </w:p>
    <w:p>
      <w:pPr>
        <w:pStyle w:val="TextBody"/>
        <w:bidi w:val="0"/>
        <w:spacing w:before="0" w:after="0"/>
        <w:jc w:val="left"/>
        <w:rPr/>
      </w:pPr>
      <w:r>
        <w:rPr/>
      </w:r>
    </w:p>
    <w:p>
      <w:pPr>
        <w:pStyle w:val="TextBody"/>
        <w:bidi w:val="0"/>
        <w:spacing w:before="24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09295"/>
                <wp:effectExtent l="0" t="0" r="0" b="0"/>
                <wp:wrapNone/>
                <wp:docPr id="28" name="Frame2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ADVISORY VOTE ON EXECUTIVE COMPENSATION</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shareholders’ interests. Compensation of our named executive officers is designed to enable us to attract and retain talented and experienced executives to lead our Company successfully in a competitive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our Board of Directors is asking the stockholders to indicate their support for the compensation of our named executive officers as described in this proxy statement by casting a non-binding advisory vote “FOR” the following resolution: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vote is advisory, it is not binding on us or our Board of Directors. Nevertheless, the views expressed by the stockholders, whether through this vote or otherwise, are important to management and our Board of Directors, and, accordingly, our Board of Directors and the Compensation Committee intend to consider the results of this vote in making determinations in the future regarding executive compensation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next scheduled say-on-pay vote will be held at the 2025 annual meeting of stockholders.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advisory vote on executive compensation requires the affirmative vote of a majority of the voting power of the shares of our common stock present virtually or represented by proxy at the Annual Meeting and entitled to vote thereon. Abstentions will have the effect of a vote “Against” the proposal, and broker non-votes will have no effect.</w:t>
      </w:r>
      <w:r>
        <w:rPr>
          <w:color w:val="000000"/>
        </w:rPr>
        <w:t xml:space="preserve"> </w:t>
      </w:r>
    </w:p>
    <w:p>
      <w:pPr>
        <w:pStyle w:val="TextBody"/>
        <w:bidi w:val="0"/>
        <w:spacing w:before="0" w:after="0"/>
        <w:ind w:left="0" w:right="0" w:firstLine="720"/>
        <w:jc w:val="both"/>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 VOTE “FOR” THE ADVISORY VOTE ON EXECUTIVE COMPENSATION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09295"/>
                <wp:effectExtent l="0" t="0" r="0" b="0"/>
                <wp:wrapNone/>
                <wp:docPr id="29" name="Frame2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a committee of the Board of Directors comprised solely of independent directors as required by the listing standards of The Nasdaq Stock Market and rules and regulations of the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Company’s financial reporting process, the management of the company is responsible for (i) establishing and maintaining internal controls and (ii) preparing the Company’s consolidated financial statements. The Company’s independent registered public accounting firm, KPMG LLP (“KPMG”), is responsible for performing an independent audit of the Company’s consolidated financial statements and internal control over financial reporting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pStyle w:val="TextBody"/>
        <w:bidi w:val="0"/>
        <w:spacing w:lineRule="auto" w:line="331" w:before="0" w:after="200"/>
        <w:ind w:left="0" w:right="0" w:hanging="360"/>
        <w:jc w:val="both"/>
        <w:rPr/>
      </w:pPr>
      <w:r>
        <w:rPr>
          <w:color w:val="000000"/>
        </w:rPr>
        <w:t>•</w:t>
      </w:r>
      <w:r>
        <w:rPr>
          <w:rFonts w:ascii="Times New Roman;sans-serif" w:hAnsi="Times New Roman;sans-serif"/>
          <w:b w:val="false"/>
          <w:color w:val="000000"/>
          <w:sz w:val="20"/>
        </w:rPr>
        <w:t>reviewed and discussed the audited financial statements with management and KPMG;</w:t>
      </w:r>
    </w:p>
    <w:p>
      <w:pPr>
        <w:pStyle w:val="TextBody"/>
        <w:bidi w:val="0"/>
        <w:spacing w:lineRule="auto" w:line="331" w:before="0" w:after="200"/>
        <w:ind w:left="0" w:right="0" w:hanging="360"/>
        <w:jc w:val="both"/>
        <w:rPr/>
      </w:pPr>
      <w:r>
        <w:rPr>
          <w:color w:val="000000"/>
        </w:rPr>
        <w:t>•</w:t>
      </w:r>
      <w:r>
        <w:rPr>
          <w:rFonts w:ascii="Times New Roman;sans-serif" w:hAnsi="Times New Roman;sans-serif"/>
          <w:b w:val="false"/>
          <w:color w:val="000000"/>
          <w:sz w:val="20"/>
        </w:rPr>
        <w:t>discussed with KPMG the matters required to be discussed by the statement on Auditing Standards No. 1301, Communications with Audit Committees, as adopted by the Public Company Accounting Oversight Board; and</w:t>
      </w:r>
    </w:p>
    <w:p>
      <w:pPr>
        <w:pStyle w:val="TextBody"/>
        <w:bidi w:val="0"/>
        <w:spacing w:lineRule="auto" w:line="331" w:before="0" w:after="200"/>
        <w:ind w:left="0" w:right="0" w:hanging="360"/>
        <w:jc w:val="both"/>
        <w:rPr/>
      </w:pPr>
      <w:r>
        <w:rPr>
          <w:color w:val="000000"/>
        </w:rPr>
        <w:t>•</w:t>
      </w:r>
      <w:r>
        <w:rPr>
          <w:rFonts w:ascii="Times New Roman;sans-serif" w:hAnsi="Times New Roman;sans-serif"/>
          <w:b w:val="false"/>
          <w:color w:val="000000"/>
          <w:sz w:val="20"/>
        </w:rPr>
        <w:t>reviewed the written communication provided from KPMG required by applicable requirements of the Public Company Accounting Oversight Board regarding the independent accountant’s communications with the Audit Committee concerning independence, and has discussed with KPMG its independence.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Audit Committee’s review and discussions with management and KPMG, the Audit Committee recommended to the Board of Directors that the audited financial statements be included in the Annual Report on Form 10-K for the fiscal year ended January 31, 2024 for filing with the Securities and Exchange Commission.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Respectfully submitted by the members of the Audit Committee of the Board of Directors: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Jonathan Chadwick (Chair)</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Cindy Hoots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Dan Scheinman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09295"/>
                <wp:effectExtent l="0" t="0" r="0" b="0"/>
                <wp:wrapNone/>
                <wp:docPr id="30" name="Frame3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certain information about our executive officers as of March 31, 2024. Our executive officers are appointed by, and serve at the discretion of, our Board of Directors. There are no family relationships among any of our directors or executive officers.</w:t>
      </w:r>
    </w:p>
    <w:tbl>
      <w:tblPr>
        <w:tblW w:w="7464" w:type="dxa"/>
        <w:jc w:val="center"/>
        <w:tblInd w:w="0" w:type="dxa"/>
        <w:tblLayout w:type="fixed"/>
        <w:tblCellMar>
          <w:top w:w="28" w:type="dxa"/>
          <w:left w:w="28" w:type="dxa"/>
          <w:bottom w:w="28" w:type="dxa"/>
          <w:right w:w="28" w:type="dxa"/>
        </w:tblCellMar>
      </w:tblPr>
      <w:tblGrid>
        <w:gridCol w:w="756"/>
        <w:gridCol w:w="549"/>
        <w:gridCol w:w="555"/>
        <w:gridCol w:w="109"/>
        <w:gridCol w:w="109"/>
        <w:gridCol w:w="109"/>
        <w:gridCol w:w="135"/>
        <w:gridCol w:w="135"/>
        <w:gridCol w:w="136"/>
        <w:gridCol w:w="109"/>
        <w:gridCol w:w="109"/>
        <w:gridCol w:w="109"/>
        <w:gridCol w:w="1327"/>
        <w:gridCol w:w="1327"/>
        <w:gridCol w:w="1890"/>
      </w:tblGrid>
      <w:tr>
        <w:trPr/>
        <w:tc>
          <w:tcPr>
            <w:tcW w:w="7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Chairman of the Board</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Chief Operating Officer</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President of Product and Engineering</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 xml:space="preserve">Eric S. Yuan. </w:t>
      </w:r>
      <w:r>
        <w:rPr>
          <w:rFonts w:ascii="Times New Roman;sans-serif" w:hAnsi="Times New Roman;sans-serif"/>
          <w:b w:val="false"/>
          <w:color w:val="000000"/>
          <w:sz w:val="20"/>
        </w:rPr>
        <w:t>Biographical information for Mr. Yuan is presented Under “Board of Directors and Corporate Governance” above.</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Aparna Bawa.</w:t>
      </w:r>
      <w:r>
        <w:rPr>
          <w:color w:val="000000"/>
        </w:rPr>
        <w:t xml:space="preserve"> </w:t>
      </w:r>
      <w:r>
        <w:rPr>
          <w:rFonts w:ascii="Times New Roman;sans-serif" w:hAnsi="Times New Roman;sans-serif"/>
          <w:b w:val="false"/>
          <w:color w:val="000000"/>
          <w:sz w:val="20"/>
        </w:rPr>
        <w:t>Ms. Bawa has served as our Chief Operating Officer since May 2020 and as our Secretary since February 2024. She previously served as our interim Chief Legal Officer from May 2020 to February 2024, our Chief Legal Officer August 2019 to May 2020, our General Counsel from September 2018 to May 2020, and as our Secretary from December 2018 to November 2020.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 xml:space="preserve">Velchamy Sankarlingam. </w:t>
      </w:r>
      <w:r>
        <w:rPr>
          <w:rFonts w:ascii="Times New Roman;sans-serif" w:hAnsi="Times New Roman;sans-serif"/>
          <w:b w:val="false"/>
          <w:color w:val="000000"/>
          <w:sz w:val="20"/>
        </w:rPr>
        <w:t>Mr. Sankarlingam has served as our President of Product and Engineering since June 2020. Prior to joining us, Mr. Sankarlingam was at VMware, a provider of cloud computing and virtualization software and services, from June 2010 to June 2020, where he served various roles, most recently as Senior Vice President, Cloud Services Development and Operations. Prior to that, he served in various positions at Cisco Webex from June 2003 to June 2010. Mr. Sankarlingam has also worked at IBM, Accenture, Standard Microsystems and Network Computing Devices. Mr. Sankarlingam holds a B.E. in Electronics and Communication Engineering from College of Engineering, Guindy, Chennai in India, a M.S. in Computer Science from Northern Illinois University, a M.S. in Business and Policy from Stony Brook University and completed the Stanford Executive Program at Stanford University.</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Kelly Steckelberg.</w:t>
      </w:r>
      <w:r>
        <w:rPr>
          <w:color w:val="000000"/>
        </w:rPr>
        <w:t xml:space="preserve"> </w:t>
      </w:r>
      <w:r>
        <w:rPr>
          <w:rFonts w:ascii="Times New Roman;sans-serif" w:hAnsi="Times New Roman;sans-serif"/>
          <w:b w:val="false"/>
          <w:color w:val="000000"/>
          <w:sz w:val="20"/>
        </w:rPr>
        <w:t>Ms. Steckelberg has served as our Chief Financial Officer since November 2017. Prior to joining us, Ms. Steckelberg served in 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where her roles included Consumer Segment Finance Senior Director and divisional Chief Financial Officer for Cisco WebEx. Prior to joining Cisco, Ms. Steckelberg served as Controller and Chief Accounting Officer at WebEx, from May 2006 until its acquisition by Cisco Systems, Inc. in May 2007. Ms. Steckelberg holds a B.B.A. in Accounting and an MPA from the University of Texas at Austin.</w:t>
      </w:r>
    </w:p>
    <w:p>
      <w:pPr>
        <w:pStyle w:val="TextBody"/>
        <w:bidi w:val="0"/>
        <w:spacing w:before="0" w:after="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09295"/>
                <wp:effectExtent l="0" t="0" r="0" b="0"/>
                <wp:wrapNone/>
                <wp:docPr id="31" name="Frame3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became a public company in April 2019 and ceased to be an emerging growth company effective as of February 1, 2021. We began holding annual say-on-pay advisory votes in 2021 and, consistent with the preference of our stockholders expressed in 2021, we are holding our fourth annual say-on-pay advisory vote in this proxy statement as Proposal No. 3.</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provides an overview of our executive compensation philosophy and objectives, discusses our executive compensation policies and analyzes how and why our Compensation Committee arrived at specific compensation decisions for fiscal year ended January 31, 2024, or fiscal 2024, for the individuals listed below, collectively referred to as our “named executive officers” or “NEOs.”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for fiscal 2024 are:</w:t>
      </w:r>
    </w:p>
    <w:p>
      <w:pPr>
        <w:pStyle w:val="TextBody"/>
        <w:bidi w:val="0"/>
        <w:spacing w:before="0" w:after="0"/>
        <w:jc w:val="both"/>
        <w:rPr/>
      </w:pPr>
      <w:r>
        <w:rPr/>
      </w:r>
    </w:p>
    <w:tbl>
      <w:tblPr>
        <w:tblW w:w="7015" w:type="dxa"/>
        <w:jc w:val="center"/>
        <w:tblInd w:w="0" w:type="dxa"/>
        <w:tblLayout w:type="fixed"/>
        <w:tblCellMar>
          <w:top w:w="28" w:type="dxa"/>
          <w:left w:w="28" w:type="dxa"/>
          <w:bottom w:w="28" w:type="dxa"/>
          <w:right w:w="28" w:type="dxa"/>
        </w:tblCellMar>
      </w:tblPr>
      <w:tblGrid>
        <w:gridCol w:w="674"/>
        <w:gridCol w:w="589"/>
        <w:gridCol w:w="596"/>
        <w:gridCol w:w="109"/>
        <w:gridCol w:w="109"/>
        <w:gridCol w:w="109"/>
        <w:gridCol w:w="1415"/>
        <w:gridCol w:w="1415"/>
        <w:gridCol w:w="1999"/>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18"/>
              </w:rPr>
            </w:pPr>
            <w:r>
              <w:rPr>
                <w:rFonts w:ascii="Times New Roman;sans-serif" w:hAnsi="Times New Roman;sans-serif"/>
                <w:b/>
                <w:color w:val="000000"/>
                <w:sz w:val="18"/>
              </w:rPr>
              <w:t>Position(s)</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 (principal executive officer)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Chief Financial Officer (principal financial officer)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Chief Operating Officer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President of Product and Engineering</w:t>
            </w:r>
          </w:p>
        </w:tc>
      </w:tr>
    </w:tbl>
    <w:p>
      <w:pPr>
        <w:pStyle w:val="TextBody"/>
        <w:bidi w:val="0"/>
        <w:spacing w:lineRule="auto" w:line="276" w:before="0" w:after="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Aside from the individuals described above, we did not have any other executive officers (as defined in Rule 3b-7 under the Exchange Act) serving at the end of fiscal 2024 and we did not have any other executive officers serving during fiscal 2024 who would otherwise qualify as “named executive officers” pursuant to SEC rules and guidance.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the years following our initial public offering in 2019, our business grew rapidly as we expanded from a video communications tool to a full collaboration platform. </w:t>
      </w:r>
      <w:r>
        <w:rPr>
          <w:rFonts w:ascii="Times New Roman;sans-serif" w:hAnsi="Times New Roman;sans-serif"/>
          <w:b w:val="false"/>
          <w:color w:val="000000"/>
          <w:sz w:val="20"/>
          <w:shd w:fill="FFFFFF" w:val="clear"/>
        </w:rPr>
        <w:t>Our trajectory was forever changed during the pandemic when the world faced one of its toughest challenges, and we mobilized as a company to keep people connected. Within 24 months of the onset of the pandemic, we grew significantly in size to manage this demand while enabling continued innovation.</w:t>
      </w:r>
      <w:r>
        <w:rPr>
          <w:color w:val="000000"/>
        </w:rPr>
        <w:t xml:space="preserve"> </w:t>
      </w:r>
      <w:r>
        <w:rPr>
          <w:rFonts w:ascii="Times New Roman;sans-serif" w:hAnsi="Times New Roman;sans-serif"/>
          <w:b w:val="false"/>
          <w:color w:val="000000"/>
          <w:sz w:val="20"/>
        </w:rPr>
        <w:t>This transition required the intense focus and dedication of our executives and employees, and we continue to transform our compensation program to adjust to the maturity, size, scale and growth of our business. Our stock price declined in connection with the COVID-19 pandemic recovery and changes in macroeconomic conditions, which also caused volatility and uncertainty in our business and the broader market. However, the design of our compensation program has remained consistent in its emphasis on a straightforward, transparent structure with a strong equity component over cash compensation, which our Compensation Committee believes best motivates our executive officers to drive long-term value creation.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Summary of Fiscal 2024 Performance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2024, we advanced toward our vision of one platform delivering limitless human connection. Fiscal 2024 was a difficult year from a macro perspective, and we faced those challenges head on. We became more disciplined and focused, while continuing to prioritize growth opportunities. As a result, we believe we are much better positioned than we were one year ago. Our platform moat is deeper, our contact center offering is more robust, and our go-to-market teams are primed with defined goals and sharpened expertise to drive growth and empower our customers.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2023, we announced a restructuring plan (the “Restructuring Plan”) intended to reduce operating costs and continue advancing our ongoing commitment to profitable growth. The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09295"/>
                <wp:effectExtent l="0" t="0" r="0" b="0"/>
                <wp:wrapNone/>
                <wp:docPr id="32" name="Frame3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a reduction of our workforce by approximately 15%. We believe the Restructuring Plan allowed us to weather the economic environment with greater focus and agility, deliver for our customers, and execute on Zoom's long-term vision.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fiscal 2024 business results provide context for stockholders reviewing our executive compensation disclosures: </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Total revenue for the fiscal year was $4,527.2 million, up 3.1% year over year.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0"/>
        </w:rPr>
        <w:t>Income from Operations:</w:t>
      </w:r>
      <w:r>
        <w:rPr>
          <w:color w:val="000000"/>
        </w:rPr>
        <w:t xml:space="preserve"> </w:t>
      </w:r>
      <w:r>
        <w:rPr>
          <w:rFonts w:ascii="Times New Roman;sans-serif" w:hAnsi="Times New Roman;sans-serif"/>
          <w:b w:val="false"/>
          <w:color w:val="000000"/>
          <w:sz w:val="20"/>
        </w:rPr>
        <w:t>GAAP income from operations for the fiscal year was $525.3 million, up from GAAP income from operations of $245.4 million for fiscal year 2023. Non-GAAP income from operations for the fiscal year was $1,774.9 million, up from $1,579.1 million for fiscal year 2023.</w:t>
      </w:r>
      <w:r>
        <w:rPr>
          <w:rFonts w:ascii="Times New Roman;sans-serif" w:hAnsi="Times New Roman;sans-serif"/>
          <w:b w:val="false"/>
          <w:color w:val="000000"/>
          <w:sz w:val="13"/>
        </w:rPr>
        <w:t>1</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 xml:space="preserve">Cash Flow: </w:t>
      </w:r>
      <w:r>
        <w:rPr>
          <w:rFonts w:ascii="Times New Roman;sans-serif" w:hAnsi="Times New Roman;sans-serif"/>
          <w:b w:val="false"/>
          <w:color w:val="000000"/>
          <w:sz w:val="20"/>
        </w:rPr>
        <w:t xml:space="preserve">Net cash provided by operating activities was $1,598.8 million for the fiscal year, up from $1,290.3 million for fiscal year 2023.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Summary of Fiscal 2024 Executive Compensation Program</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Our Compensation Committee closely considers our performance, business strategy and our transformation as a Company in making executive compensation decisions. The Compensation Committee develops compensation programs that it thinks are the most appropriate to drive results for our Company and our stockholders, and to ensure that our pay program aligns compensation with stockholder interests and our Company performance over the long-term.</w:t>
      </w:r>
      <w:r>
        <w:rPr>
          <w:color w:val="000000"/>
        </w:rPr>
        <w:t xml:space="preserve"> </w:t>
      </w:r>
      <w:r>
        <w:rPr>
          <w:rFonts w:ascii="Times New Roman;sans-serif" w:hAnsi="Times New Roman;sans-serif"/>
          <w:b w:val="false"/>
          <w:color w:val="000000"/>
          <w:sz w:val="20"/>
        </w:rPr>
        <w:t xml:space="preserve">During the five years since we first became a public company, our business has transformed significantly, and our compensation programs have also continued to evolve and transform to be appropriate for a company of our size and stage of business. As such, our compensation has varied and our practices may differ from the typical practices of public companies that have been operating for longer periods of time in a less volatile and dynamic environment.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operational and financial performance, and in light of the other factors described in this Compensation Discussion and Analysis, the Compensation Committee made the following named executive officer compensation decisions for fiscal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i/>
          <w:color w:val="000000"/>
          <w:sz w:val="20"/>
        </w:rPr>
        <w:t>Base Salary</w:t>
      </w:r>
      <w:r>
        <w:rPr>
          <w:rFonts w:ascii="Times New Roman;sans-serif" w:hAnsi="Times New Roman;sans-serif"/>
          <w:b w:val="false"/>
          <w:color w:val="000000"/>
          <w:sz w:val="20"/>
        </w:rPr>
        <w:t>: For fiscal 2024, in connection with our Restructuring Plan, we temporarily reduced our CEO’s base salary by 98% to $10,000, and we also reduced the base salaries of our other NEOs by 20%.</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Annual Performance Incentive</w:t>
      </w:r>
      <w:r>
        <w:rPr>
          <w:rFonts w:ascii="Times New Roman;sans-serif" w:hAnsi="Times New Roman;sans-serif"/>
          <w:b w:val="false"/>
          <w:color w:val="000000"/>
          <w:sz w:val="20"/>
        </w:rPr>
        <w:t xml:space="preserve">: We did not increase target incentive award opportunities, which continued to represent 8% of base salary for each named executive officer. We structured our fiscal 2024 performance incentive program to be based on two rigorous financial performance goals that drive our business: revenue and non-GAAP income from operations. We paid cash incentives to our NEOs under such plan based solely on achievement against such financial metrics, resulting in a payout at 90.1% of target for fiscal 2024. </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Equity Awards</w:t>
      </w:r>
      <w:r>
        <w:rPr>
          <w:rFonts w:ascii="Times New Roman;sans-serif" w:hAnsi="Times New Roman;sans-serif"/>
          <w:b w:val="false"/>
          <w:color w:val="000000"/>
          <w:sz w:val="20"/>
        </w:rPr>
        <w:t>: We granted annual RSU bonus awards and supplemental awards under our temporary company-wide supplemental grant program.</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Total Compensation</w:t>
      </w:r>
      <w:r>
        <w:rPr>
          <w:rFonts w:ascii="Times New Roman;sans-serif" w:hAnsi="Times New Roman;sans-serif"/>
          <w:b w:val="false"/>
          <w:color w:val="000000"/>
          <w:sz w:val="20"/>
        </w:rPr>
        <w:t xml:space="preserve">: Total compensation reported for our CEO for fiscal 2024 is approximately 63% lower compared to fiscal 2023 and total compensation reported for each of our other NEOs for fiscal 2024 is substantially lower compared to fiscal 2023, based on total compensation as reported in the Summary Compensation Table. This reduction in total compensation is primarily attributable to the fact that we did not grant new four-year “refresh” equity awards to our NEOs in fiscal 2024 and cash compensation was reduced in connection with our Restructuring Plan. </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See Appendix A to this proxy statement for information regarding our use of non-GAAP income from operations, including a reconciliation to its most directly comparable GAAP financial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09295"/>
                <wp:effectExtent l="0" t="0" r="0" b="0"/>
                <wp:wrapNone/>
                <wp:docPr id="33" name="Frame3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Early Fiscal 2025 Executive Compensation Changes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introduced performance-vesting equity awards into the equity compensation program for our employees, including our NEOs, for the fiscal year ending January 31, 2025. Specifically, in April 2024, we granted 100% of the annual RSU bonus awards for our NEOs in the form of performance-vesting RSUs that vest upon achievement of two key financial measures that drive our business.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Executive Compensation Policies and Practices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effectiveness of our executive compensation program from time to time and review risk mitigation and governance matters, which include maintaining the following best practices: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911"/>
        <w:gridCol w:w="1683"/>
        <w:gridCol w:w="1699"/>
        <w:gridCol w:w="109"/>
        <w:gridCol w:w="109"/>
        <w:gridCol w:w="109"/>
        <w:gridCol w:w="1364"/>
        <w:gridCol w:w="1364"/>
        <w:gridCol w:w="1857"/>
      </w:tblGrid>
      <w:tr>
        <w:trPr/>
        <w:tc>
          <w:tcPr>
            <w:tcW w:w="191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What We 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What We Don’t Do</w:t>
            </w:r>
          </w:p>
        </w:tc>
      </w:tr>
      <w:tr>
        <w:trPr/>
        <w:tc>
          <w:tcPr>
            <w:tcW w:w="5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Emphasize long-term equity incentives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Tie performance cash incentive opportunities to defined business objectives and include a reasonable cap</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Provide transparent disclosure of performance incentive targets and payout structure</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Assess risks of our compensation program</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Maintain a Compensation Committee comprised entirely of independent directors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Retain an independent compensation advisor</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ans-serif" w:hAnsi="Times New Roman;sans-serif"/>
                <w:b w:val="false"/>
                <w:color w:val="000000"/>
                <w:sz w:val="18"/>
              </w:rPr>
              <w:t>Maintain clawback policies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ans-serif" w:hAnsi="Times New Roman;sans-serif"/>
                <w:b w:val="false"/>
                <w:color w:val="000000"/>
                <w:sz w:val="18"/>
              </w:rPr>
              <w:t>No guaranteed “single-trigger” change in control payments</w:t>
            </w:r>
          </w:p>
          <w:p>
            <w:pPr>
              <w:pStyle w:val="TableContents"/>
              <w:bidi w:val="0"/>
              <w:spacing w:lineRule="auto" w:line="288" w:before="120" w:after="283"/>
              <w:ind w:left="0" w:right="0" w:firstLine="180"/>
              <w:jc w:val="both"/>
              <w:rPr/>
            </w:pPr>
            <w:r>
              <w:rPr>
                <w:rFonts w:ascii="Wingdings;sans-serif" w:hAnsi="Wingdings;sans-serif"/>
                <w:b w:val="false"/>
                <w:color w:val="000000"/>
                <w:sz w:val="18"/>
              </w:rPr>
              <w:t xml:space="preserve">û </w:t>
            </w:r>
            <w:r>
              <w:rPr>
                <w:rFonts w:ascii="Times New Roman;sans-serif" w:hAnsi="Times New Roman;sans-serif"/>
                <w:b w:val="false"/>
                <w:color w:val="000000"/>
                <w:sz w:val="18"/>
              </w:rPr>
              <w:t>No tax reimbursements or tax gross-ups on severance or change in control payments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ans-serif" w:hAnsi="Times New Roman;sans-serif"/>
                <w:b w:val="false"/>
                <w:color w:val="000000"/>
                <w:sz w:val="18"/>
              </w:rPr>
              <w:t>No special executive welfare or health benefits, or special executive retirement plans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ans-serif" w:hAnsi="Times New Roman;sans-serif"/>
                <w:b w:val="false"/>
                <w:color w:val="000000"/>
                <w:sz w:val="18"/>
              </w:rPr>
              <w:t>No guaranteed salary increases or bonuses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ans-serif" w:hAnsi="Times New Roman;sans-serif"/>
                <w:b w:val="false"/>
                <w:color w:val="000000"/>
                <w:sz w:val="18"/>
              </w:rPr>
              <w:t>No hedging or pledging of our stock</w:t>
            </w:r>
          </w:p>
          <w:p>
            <w:pPr>
              <w:pStyle w:val="TableContents"/>
              <w:bidi w:val="0"/>
              <w:spacing w:before="120" w:after="283"/>
              <w:ind w:left="0" w:right="0" w:firstLine="180"/>
              <w:jc w:val="left"/>
              <w:rPr/>
            </w:pPr>
            <w:r>
              <w:rPr/>
            </w:r>
          </w:p>
          <w:p>
            <w:pPr>
              <w:pStyle w:val="TableContents"/>
              <w:bidi w:val="0"/>
              <w:spacing w:before="0" w:after="0"/>
              <w:ind w:left="0" w:right="0" w:firstLine="180"/>
              <w:jc w:val="left"/>
              <w:rPr/>
            </w:pPr>
            <w:r>
              <w:rPr/>
            </w:r>
          </w:p>
          <w:p>
            <w:pPr>
              <w:pStyle w:val="TableContents"/>
              <w:bidi w:val="0"/>
              <w:spacing w:before="0" w:after="0"/>
              <w:ind w:left="0" w:right="0" w:firstLine="180"/>
              <w:jc w:val="left"/>
              <w:rPr/>
            </w:pPr>
            <w:r>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Advisory Vote on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Last year we sought our third advisory vote from our stockholders regarding our executive officer compensation program and received a support level of approximately 63.5%. Our Compensation Committee felt it was important to understand the reason for this level of support as compared to fiscal years 2022 and 2021 when we received vote support levels of approximately 99% and 94%, respectively. We engaged in a dialogue and had informative discussions with several of our institutional stockholders, including our two largest institutional investors (based on holdings of our Class A common stock), to gain a better understanding of their views regarding our executive compensation program, as well as other governance matters.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these discussions, our stockholders provided feedback regarding our executive compensation program as disclosed in our proxy statement filed in 2023.</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considered this feedback and spent considerable time evaluating our executive compensation program. Because our fiscal 2024 executive compensation program had already been developed at the time of our say-on-pay vote and subsequent stockholder outreach, the changes we made to our executive compensation program as a result of our say-on-pay vote and stockholder feedback are primarily reflected in compensation decisions for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09295"/>
                <wp:effectExtent l="0" t="0" r="0" b="0"/>
                <wp:wrapNone/>
                <wp:docPr id="34" name="Frame3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26"/>
        <w:gridCol w:w="970"/>
        <w:gridCol w:w="894"/>
        <w:gridCol w:w="109"/>
        <w:gridCol w:w="109"/>
        <w:gridCol w:w="109"/>
        <w:gridCol w:w="2211"/>
        <w:gridCol w:w="1853"/>
        <w:gridCol w:w="2424"/>
      </w:tblGrid>
      <w:tr>
        <w:trPr/>
        <w:tc>
          <w:tcPr>
            <w:tcW w:w="15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What we heard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How we responded</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generally expressed a desire to better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understand our equity compensation program, including the magnitude of compensation awarded to our CEO in fiscal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evolve our equity compensation program. In this proxy statement, we have included</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expanded disclosure regarding our equity compensation program and how we believe it, along with our cash incentive program, aligns pay with company performance.</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magnitude of our CEO's compensation for fiscal 2023 was primarily driven by the 4-year refresh award granted in fiscal 2023. Our CEO's equity compensation for fiscal 2024 is approximately 63% lower than for fiscal 2023 (based on the value reported in our Summary Compensation Table) and consists primarily of the</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one-time supplemental grant made under our Company-wide temporary supplemental grant program. Our CEO’s cash compensation for fiscal 2024 falls below the 25th percentile of peer company data.</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expressed concerns regarding our supplemental grant program and our four-year “refresh”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sunsetted our supplemental grant program. No equity awards granted after fiscal 2023 are eligible for supplemental grants and none of our employees (or NEOs) will receive supplemental grants after January 2024.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grant any four-year “refresh” grants to NEOs in fiscal 2024. The Compensation Committee will continue to evaluate our equity compensation program, including our “refresh” grants.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requested that we consider granting performance-vesting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2025, we introduced performance-vesting</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RSUs to replace our annual RSU bonus awards. Performance-vesting RSUs are only eligible to vest (with a cap of 100% of target) based upon achievement of two rigorous financial performance metrics.</w:t>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will monitor and continually evaluate our compensation program going forward in light of our stockholders' views and our transforming business needs. Our Compensation Committee expects to continue to consider the outcome of our say-on-pay votes and our stockholders' views when making future compensation decisions for our named executive officers.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Compensation Objectives and Philosophy</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Zoom’s compensation philosophy is to employ market-competitive compensation programs and relevant total rewards offerings that reflect Zoom’s culture and values in order to deliver happiness to its employees and recognize their value to our organization.</w:t>
      </w:r>
    </w:p>
    <w:p>
      <w:pPr>
        <w:pStyle w:val="TextBody"/>
        <w:bidi w:val="0"/>
        <w:spacing w:before="0" w:after="0"/>
        <w:jc w:val="left"/>
        <w:rPr/>
      </w:pPr>
      <w:r>
        <w:rPr/>
      </w:r>
    </w:p>
    <w:p>
      <w:pPr>
        <w:pStyle w:val="TextBody"/>
        <w:bidi w:val="0"/>
        <w:spacing w:lineRule="auto" w:line="276" w:before="0" w:after="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aims to achieve the following main objectives:</w:t>
      </w:r>
    </w:p>
    <w:p>
      <w:pPr>
        <w:pStyle w:val="TextBody"/>
        <w:bidi w:val="0"/>
        <w:spacing w:before="0" w:after="0"/>
        <w:ind w:left="0" w:right="0" w:hanging="2"/>
        <w:jc w:val="both"/>
        <w:rPr/>
      </w:pPr>
      <w:r>
        <w:rPr/>
      </w:r>
    </w:p>
    <w:p>
      <w:pPr>
        <w:pStyle w:val="TextBody"/>
        <w:bidi w:val="0"/>
        <w:spacing w:lineRule="auto" w:line="276" w:before="0" w:after="0"/>
        <w:ind w:left="0" w:right="0" w:hanging="362"/>
        <w:jc w:val="both"/>
        <w:rPr/>
      </w:pPr>
      <w:r>
        <w:rPr>
          <w:color w:val="000000"/>
        </w:rPr>
        <w:t>•</w:t>
      </w:r>
      <w:r>
        <w:rPr>
          <w:rFonts w:ascii="Times New Roman;sans-serif" w:hAnsi="Times New Roman;sans-serif"/>
          <w:b w:val="false"/>
          <w:color w:val="000000"/>
          <w:sz w:val="20"/>
        </w:rPr>
        <w:t>attract, retain, and reward top talent;</w:t>
      </w:r>
    </w:p>
    <w:p>
      <w:pPr>
        <w:pStyle w:val="TextBody"/>
        <w:bidi w:val="0"/>
        <w:spacing w:before="0" w:after="0"/>
        <w:ind w:left="0" w:right="0" w:hanging="2"/>
        <w:jc w:val="both"/>
        <w:rPr/>
      </w:pPr>
      <w:r>
        <w:rPr/>
      </w:r>
    </w:p>
    <w:p>
      <w:pPr>
        <w:pStyle w:val="TextBody"/>
        <w:bidi w:val="0"/>
        <w:spacing w:lineRule="auto" w:line="276" w:before="0" w:after="0"/>
        <w:ind w:left="0" w:right="0" w:hanging="362"/>
        <w:jc w:val="both"/>
        <w:rPr/>
      </w:pPr>
      <w:r>
        <w:rPr>
          <w:color w:val="000000"/>
        </w:rPr>
        <w:t>•</w:t>
      </w:r>
      <w:r>
        <w:rPr>
          <w:rFonts w:ascii="Times New Roman;sans-serif" w:hAnsi="Times New Roman;sans-serif"/>
          <w:b w:val="false"/>
          <w:color w:val="000000"/>
          <w:sz w:val="20"/>
        </w:rPr>
        <w:t>provide incentives that motivate and reward for achievement of our key performance goals that increase stockholder value over the long term;</w:t>
      </w:r>
    </w:p>
    <w:p>
      <w:pPr>
        <w:pStyle w:val="TextBody"/>
        <w:bidi w:val="0"/>
        <w:spacing w:before="0" w:after="0"/>
        <w:ind w:left="0" w:right="0" w:hanging="2"/>
        <w:jc w:val="both"/>
        <w:rPr/>
      </w:pPr>
      <w:r>
        <w:rPr/>
      </w:r>
    </w:p>
    <w:p>
      <w:pPr>
        <w:pStyle w:val="TextBody"/>
        <w:bidi w:val="0"/>
        <w:spacing w:lineRule="auto" w:line="276" w:before="0" w:after="0"/>
        <w:ind w:left="0" w:right="0" w:hanging="362"/>
        <w:jc w:val="both"/>
        <w:rPr/>
      </w:pPr>
      <w:r>
        <w:rPr>
          <w:color w:val="000000"/>
        </w:rPr>
        <w:t>•</w:t>
      </w:r>
      <w:r>
        <w:rPr>
          <w:rFonts w:ascii="Times New Roman;sans-serif" w:hAnsi="Times New Roman;sans-serif"/>
          <w:b w:val="false"/>
          <w:color w:val="000000"/>
          <w:sz w:val="20"/>
        </w:rPr>
        <w:t>apply a market-based compensation structure that balances internal equity and that reflects our culture and values; and</w:t>
      </w:r>
    </w:p>
    <w:p>
      <w:pPr>
        <w:pStyle w:val="TextBody"/>
        <w:bidi w:val="0"/>
        <w:spacing w:before="0" w:after="0"/>
        <w:ind w:left="0" w:right="0" w:hanging="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09295"/>
                <wp:effectExtent l="0" t="0" r="0" b="0"/>
                <wp:wrapNone/>
                <wp:docPr id="35" name="Frame3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2"/>
        <w:jc w:val="both"/>
        <w:rPr/>
      </w:pPr>
      <w:r>
        <w:rPr>
          <w:color w:val="000000"/>
        </w:rPr>
        <w:t>•</w:t>
      </w:r>
      <w:r>
        <w:rPr>
          <w:rFonts w:ascii="Times New Roman;sans-serif" w:hAnsi="Times New Roman;sans-serif"/>
          <w:b w:val="false"/>
          <w:color w:val="000000"/>
          <w:sz w:val="20"/>
        </w:rPr>
        <w:t>align our executives’ interests with those of our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Elements of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aims to take a holistic approach to compensation and generally consists of, and is intended to strike a balance among, the following three principal components: base salary, performance-based incentive compensation, and equity incentive compensation. We also provide our executive officers with severance and change-in-control related payments and benefits, as well as benefits available to all our employees, including retirement benefits under our 401(k) plan and participation in various employee health and welfare benefit plans. The following chart summarizes the three main elements of our executive compensation, their objectives, and key features.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56"/>
        <w:gridCol w:w="401"/>
        <w:gridCol w:w="405"/>
        <w:gridCol w:w="109"/>
        <w:gridCol w:w="109"/>
        <w:gridCol w:w="109"/>
        <w:gridCol w:w="897"/>
        <w:gridCol w:w="897"/>
        <w:gridCol w:w="906"/>
        <w:gridCol w:w="109"/>
        <w:gridCol w:w="109"/>
        <w:gridCol w:w="109"/>
        <w:gridCol w:w="1947"/>
        <w:gridCol w:w="1511"/>
        <w:gridCol w:w="2131"/>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Key Features</w:t>
            </w:r>
          </w:p>
        </w:tc>
      </w:tr>
      <w:tr>
        <w:trPr/>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Base Salary </w:t>
              <w:br/>
              <w:t>(fixed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Provides financial stability and security through a fixed amount of cash for performing job responsibilities.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Fixed compensation that is periodically reviewed and adjusted if and when appropriate.</w:t>
            </w:r>
          </w:p>
        </w:tc>
      </w:tr>
      <w:tr>
        <w:trPr/>
        <w:tc>
          <w:tcPr>
            <w:tcW w:w="126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Performance Incentive (at-risk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Motivates and rewards for attaining performance goals that are key drivers of our annual operating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Incentive opportunities are dependent upon specific performance goals (which may be corporate performance goals and/or individual performance goals or sales goals in the case of executives subject to our sales compensation plan). Each goal has a defined threshold level necessary for any payout and a reasonable cap on payout. Actual incentive amounts earned are determined after the end of the performance period, taking into account the extent to which the performance goals have been achieved (and any relative weightings of such goals).</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Equity Incentive </w:t>
            </w:r>
          </w:p>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(at-risk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Motivates and rewards for Company performance by aligning executives’ interests with stockholder interests and changes in stockholder value. Attracts highly qualified executives and encourages their continued employment over the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Since our initial public offering, equity incentives have been provided in the form of RSUs. Equity incentives may be granted as and when we determine appropriate for new hires, promotions, refresh, or other special circumstances, such as to encourage retention or as a reward for significant achievement. Although we have not historically granted equity incentives on a regular annual cadence, we introduced annual RSU bonus awards in fiscal 2023 for retention purposes and continued such awards in fiscal 2024. For fiscal 2025, we introduced performance-vesting RSUs to replace the annual time-vesting RSU bonus awards. </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maximize stockholder value.</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do not have formal policies for allocating compensation among salary, performance incentive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the Compensation Committee typically structures a significant portion of our named executive officers’ compensation package to be comprised of long-term equity awards in order to align the executive officers’ incentives with the interests of our stockholders and focus our executives on achieving key corporate goals that drive our business.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09295"/>
                <wp:effectExtent l="0" t="0" r="0" b="0"/>
                <wp:wrapNone/>
                <wp:docPr id="36" name="Frame3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How We Determine Executive Compensation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Role of Our Compensation Committee, Management, and the Board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is appointed by the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is primarily responsible for establishing and reviewing our general compensation strategy. The Compensation Committee meets periodically throughout the year to, among other things, manage and evaluate our executive compensation program and generally determines on an annual basis the principal components of compensation (base salary, performance incentive, and equity awards) for our executive officers which may be subject to final approval by our Board of Directors. However, decisions may occur at other times for new hires, promotions or other special circumstances as our Compensation Committee determines appropriate. The Compensation Committee does not delegate authority to approve executive officer compensation. The Compensation Committee does not maintain a formal policy regarding the timing of equity awards to our executive officers. Historically, the Compensation Committee has granted equity awards to executive officers when it determines appropriate, which typically includes when an executive officer is hired or promoted, when such grants are substantially vested, and at other times the Compensation Committee determines appropriate for retention or other purposes. Although we have not historically granted annual equity awards, beginning in March 2022, we incorporated annual RSU bonus awards for our employees in good standing, including our executive officers. The Compensation Committee typically grants equity awards on regularly scheduled dates that occur twice a quarter. The Compensation Committee will continue to evaluate its equity grant policies as we continue to evolve and grow as a public company.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its independent compensation consultant, as described below under “Role of Compensation Consultant,” our Compensation Committee works with and receives information and analyses from management, including within our legal, finance, and human resources departments, and our Chief Executive Officer, and considers such information and analyses along with the information from its independent compensation consultant, in determining the structure and amount of compensation to be paid to our executive officers, including our named executive officers. Other than with respect to his own compensation, our Chief Executive Officer evaluates and provides to the Compensation Committee executive officer performance assessments and his recommendations and proposals regarding executive officer compensation programs and decisions affecting base salaries, performance incentives, equity compensation, and other compensation-related matters outside of the presence of any other named executive officers. Members of management, including our Chief Executive Officer, may attend portions of our Compensation Committee’s meetings. However, our Compensation Committee retains the final authority to make all compensation decisions. While the Chief Executive Officer discusses his recommendations with the Compensation Committee, he does not participate in the deliberations concerning, or the determination of, his own compensation.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pStyle w:val="TextBody"/>
        <w:bidi w:val="0"/>
        <w:spacing w:before="0" w:after="0"/>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continued to retain Aon as its independent compensation consultant during fiscal 2024, due to its extensive analytical and compensation expertise relating to technology companies. In this capacity, Aon advised the Compensation Committee on compensation matters related to the executive and director compensation structure. In fiscal 2024, Aon assisted with, among other things:</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conducting an executive market pay analysis;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9295"/>
                <wp:effectExtent l="0" t="0" r="0" b="0"/>
                <wp:wrapNone/>
                <wp:docPr id="37" name="Frame3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developing a group of peer companies to use as a reference in making executive compensation decisions;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evaluating current executive pay practices and considering alternative compensation programs;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reviewing our director compensation policies and practices;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assisting in the development of this Compensation Disclosure and Analysis.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the sole authority to engage and terminate Aon’s services, as well as to approve its compensation. Aon makes recommendations to the Compensation Committee but has no authority to make compensation decisions on behalf of the Compensation Committee or Zoom. Aon reported to the Compensation Committee and had direct access to the chairperson and the other members of the Compensation Committee. Beyond data and advice related to executive and director compensation matters, Aon did not provide other services to us in fiscal 2024.</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analyzed whether the work of Aon as the compensation consultant raised any conflict of interest, considering relevant factors in accordance with SEC guidelines. Based on its analysis, the Compensation Committee determined that the work of Aon and the individual compensation advisors has not created any conflict of interest.</w:t>
      </w:r>
    </w:p>
    <w:p>
      <w:pPr>
        <w:pStyle w:val="TextBody"/>
        <w:bidi w:val="0"/>
        <w:spacing w:before="0" w:after="0"/>
        <w:ind w:left="0" w:right="0" w:hanging="2"/>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Competitive Market Compensation Data</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believes that it is important when making compensation decisions to be informed as to the current practices of comparable public companies with which we compete for top talent. To this end, the Compensation Committee works annually with Aon to review and amend the list of our peer group companies to be used in connection with assessing compensation practices and pay levels. The Compensation Committee believes that the peer and market data provided by Aon, along with other factors, is an important reference point when setting compensation for our named executive officers because competition for executive management is intense in our industry and the retention of our talented leadership team is critical to our success.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Fiscal 2024 Peer Group</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with recommendations from Aon, the Compensation Committee identified a group of companies that would be appropriate peers for fiscal 2024 compensation decisions, based on the following criteria:</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i/>
          <w:color w:val="000000"/>
          <w:sz w:val="20"/>
        </w:rPr>
        <w:t>Industry</w:t>
      </w:r>
      <w:r>
        <w:rPr>
          <w:rFonts w:ascii="Times New Roman;sans-serif" w:hAnsi="Times New Roman;sans-serif"/>
          <w:b w:val="false"/>
          <w:color w:val="000000"/>
          <w:sz w:val="20"/>
        </w:rPr>
        <w:t>: software and technology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i/>
          <w:color w:val="000000"/>
          <w:sz w:val="20"/>
        </w:rPr>
        <w:t>Market Capitalization</w:t>
      </w:r>
      <w:r>
        <w:rPr>
          <w:rFonts w:ascii="Times New Roman;sans-serif" w:hAnsi="Times New Roman;sans-serif"/>
          <w:b w:val="false"/>
          <w:color w:val="000000"/>
          <w:sz w:val="20"/>
        </w:rPr>
        <w:t>: 0.3x to 3x of our market value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i/>
          <w:color w:val="000000"/>
          <w:sz w:val="20"/>
        </w:rPr>
        <w:t>Revenues</w:t>
      </w:r>
      <w:r>
        <w:rPr>
          <w:rFonts w:ascii="Times New Roman;sans-serif" w:hAnsi="Times New Roman;sans-serif"/>
          <w:b w:val="false"/>
          <w:color w:val="000000"/>
          <w:sz w:val="20"/>
        </w:rPr>
        <w:t>: 0.5x to 3x of our revenues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The peer group of companies that the Compensation Committee referenced for the purpose of informing fiscal 2024 executive compensation decisions is listed below. At the time of review in August 2022, our trailing 12-month revenue was approximately $4.2 billion (falling near the 73rd percentile of the peers) and our 30-day average market capitalization was approximately $32 billion (falling near the 55th percentile of the peers).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09295"/>
                <wp:effectExtent l="0" t="0" r="0" b="0"/>
                <wp:wrapNone/>
                <wp:docPr id="38" name="Frame3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5943600" cy="2009775"/>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5943600" cy="20097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Factors Used in Determining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sets the compensation of our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that may vary from year to year. In making executive compensation decisions, the Compensation Committee generally takes into consideration the following factors: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840"/>
        <w:gridCol w:w="1618"/>
        <w:gridCol w:w="1621"/>
        <w:gridCol w:w="109"/>
        <w:gridCol w:w="109"/>
        <w:gridCol w:w="109"/>
        <w:gridCol w:w="109"/>
        <w:gridCol w:w="109"/>
        <w:gridCol w:w="109"/>
        <w:gridCol w:w="1469"/>
        <w:gridCol w:w="1135"/>
        <w:gridCol w:w="15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Zoom’s performance and existing business needs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Zoom’s culture and values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named executive officer’s individual performance, scope of job function and criticality of the skill 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Committee’s independent judgment</w:t>
            </w:r>
          </w:p>
          <w:p>
            <w:pPr>
              <w:pStyle w:val="TableContents"/>
              <w:bidi w:val="0"/>
              <w:spacing w:before="0" w:after="0"/>
              <w:jc w:val="left"/>
              <w:rPr/>
            </w:pPr>
            <w:r>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need to attract new talent and retain existing talent in a highly competitive industry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named executive officer’s current equity ownership and total compensation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Officer’s recommendations (for executive officers other than the 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compensation cost and impact on stockholder dilution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pay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and peer data provided by our compensation consultant</w:t>
            </w:r>
          </w:p>
        </w:tc>
      </w:tr>
      <w:tr>
        <w:trPr/>
        <w:tc>
          <w:tcPr>
            <w:tcW w:w="3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Recommendations from our compensation consultant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Fiscal 2024 Executive Compensation Program</w:t>
      </w:r>
    </w:p>
    <w:p>
      <w:pPr>
        <w:pStyle w:val="TextBody"/>
        <w:bidi w:val="0"/>
        <w:spacing w:before="0" w:after="0"/>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Restructuring Plan, we temporarily reduced the annual base salaries of each of our named executive officers for fiscal 2024 to the amounts listed below.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09295"/>
                <wp:effectExtent l="0" t="0" r="0" b="0"/>
                <wp:wrapNone/>
                <wp:docPr id="40" name="Frame3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9728" w:type="dxa"/>
        <w:jc w:val="center"/>
        <w:tblInd w:w="0" w:type="dxa"/>
        <w:tblLayout w:type="fixed"/>
        <w:tblCellMar>
          <w:top w:w="28" w:type="dxa"/>
          <w:left w:w="28" w:type="dxa"/>
          <w:bottom w:w="28" w:type="dxa"/>
          <w:right w:w="28" w:type="dxa"/>
        </w:tblCellMar>
      </w:tblPr>
      <w:tblGrid>
        <w:gridCol w:w="674"/>
        <w:gridCol w:w="591"/>
        <w:gridCol w:w="595"/>
        <w:gridCol w:w="109"/>
        <w:gridCol w:w="109"/>
        <w:gridCol w:w="109"/>
        <w:gridCol w:w="764"/>
        <w:gridCol w:w="764"/>
        <w:gridCol w:w="767"/>
        <w:gridCol w:w="109"/>
        <w:gridCol w:w="109"/>
        <w:gridCol w:w="109"/>
        <w:gridCol w:w="1028"/>
        <w:gridCol w:w="1028"/>
        <w:gridCol w:w="2863"/>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Fiscal 2024 Base Salary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Percentage Decrease in Base Salary from January 31, 2023(%)</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3"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76" w:before="0" w:after="0"/>
        <w:ind w:left="0" w:right="0" w:firstLine="45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76" w:before="0" w:after="0"/>
        <w:ind w:left="0" w:right="0" w:firstLine="450"/>
        <w:jc w:val="both"/>
        <w:rPr>
          <w:rFonts w:ascii="Times New Roman;sans-serif" w:hAnsi="Times New Roman;sans-serif"/>
          <w:b w:val="false"/>
          <w:color w:val="000000"/>
          <w:sz w:val="18"/>
        </w:rPr>
      </w:pPr>
      <w:r>
        <w:rPr>
          <w:rFonts w:ascii="Times New Roman;sans-serif" w:hAnsi="Times New Roman;sans-serif"/>
          <w:b w:val="false"/>
          <w:color w:val="000000"/>
          <w:sz w:val="18"/>
        </w:rPr>
        <w:t>(1) Effective February 1, 2023.</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temporary base salary reduction ended on February 1, 2024, upon which the annual base salaries of each of our named executive officers reverted to $450,000, which was the annual base salary amount effective at the end of fiscal 2023.</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Performance Cash Incentive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Officer Incentive Plan (the “Officer Incentive Plan”) applies to certain key executives, including each of our named executive officers. The Officer Incentive Plan provides for the opportunity to earn cash incentive payments based upon the attainment of certain corporate, financial, or operational measures or objectives appropriate for the fiscal year. Each participant has a target annual performance incentive opportunity that corresponds to achievement of 100% of the corporate performance goals. The corporate performance goals and incentive formulas are adopted annually by the Compensation Committee and communicated to each executive participant. If the corporate performance goals are met, the Compensation Committee will determine if incentive payments are made as soon as practicable thereafter. </w:t>
      </w:r>
    </w:p>
    <w:p>
      <w:pPr>
        <w:pStyle w:val="TextBody"/>
        <w:bidi w:val="0"/>
        <w:spacing w:before="0" w:after="0"/>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Fiscal 2024 Target Amounts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2024, each of our named executive officers participated in the Officer Incentive Plan and was eligible to receive a cash incentive bonus at an annual target of 8% of base salary. The target percentages applicable to such named executive officers for fiscal 2024 have remained unchanged for the past three fiscal years. The Compensation Committee is aware that the 8% targets for our named executive officers fall significantly below the annual incentive opportunities offered by our peer companies. Nonetheless, the Compensation Committee believes that the 8% target cash bonuses are appropriate because it structures executive compensation to be primarily comprised of equity awards in order to focus our executive officers on achievement of our long-term strategic and financial goals, thereby aligning their interests with those of our stockholders. Additionally, 8% target cash incentives are the same cash incentive opportunities we offer to all non-commissioned employees across our organization, which we believe builds trust, transparency, and teamwork.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Fiscal 2024 Performance Goals and Achievement</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established revenue and non-GAAP income from operations as the corporate performance goals applicable to the fiscal 2024 plan year. The Compensation Committee chose these metrics because they align with our primary objectives to drive revenue growth and operating performance and leverage. Non-GAAP income from operations is an important indicator of our ability to effectively manage operating expenses given our revenue growth. We believe non-GAAP income from operations, as a supplement to GAAP financial measures, is useful to investors in evaluating our ongoing operational performance and enhancing an overall understanding of our past financial performance and allows for greater transparency with respect to metrics used by our management in its financial and operational decision-making. The Compensation Committee set the targets for revenue and non-GAAP income from operations at levels higher than actual revenue and non-GAAP income from operations results for fiscal 2023.</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annual corporate performance goals, their relative weightings and payout methodology are summarized in the chart below. The incentive payout each participant could receive under the Officer Incentive Plan was capped at 200% of such participant’s target incentive.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09295"/>
                <wp:effectExtent l="0" t="0" r="0" b="0"/>
                <wp:wrapNone/>
                <wp:docPr id="41" name="Frame4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9"/>
        <w:gridCol w:w="544"/>
        <w:gridCol w:w="546"/>
        <w:gridCol w:w="109"/>
        <w:gridCol w:w="109"/>
        <w:gridCol w:w="109"/>
        <w:gridCol w:w="787"/>
        <w:gridCol w:w="787"/>
        <w:gridCol w:w="789"/>
        <w:gridCol w:w="109"/>
        <w:gridCol w:w="109"/>
        <w:gridCol w:w="109"/>
        <w:gridCol w:w="220"/>
        <w:gridCol w:w="220"/>
        <w:gridCol w:w="221"/>
        <w:gridCol w:w="109"/>
        <w:gridCol w:w="109"/>
        <w:gridCol w:w="109"/>
        <w:gridCol w:w="426"/>
        <w:gridCol w:w="426"/>
        <w:gridCol w:w="427"/>
        <w:gridCol w:w="109"/>
        <w:gridCol w:w="109"/>
        <w:gridCol w:w="109"/>
        <w:gridCol w:w="374"/>
        <w:gridCol w:w="374"/>
        <w:gridCol w:w="375"/>
        <w:gridCol w:w="109"/>
        <w:gridCol w:w="109"/>
        <w:gridCol w:w="109"/>
        <w:gridCol w:w="417"/>
        <w:gridCol w:w="417"/>
        <w:gridCol w:w="60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color w:val="000000"/>
                <w:sz w:val="18"/>
              </w:rPr>
            </w:pPr>
            <w:r>
              <w:rPr>
                <w:rFonts w:ascii="Times New Roman;sans-serif" w:hAnsi="Times New Roman;sans-serif"/>
                <w:b/>
                <w:color w:val="000000"/>
                <w:sz w:val="18"/>
              </w:rPr>
              <w:t>Corporate Performance Goal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199" w:before="0" w:after="0"/>
              <w:jc w:val="center"/>
              <w:rPr/>
            </w:pPr>
            <w:r>
              <w:rPr>
                <w:rFonts w:ascii="Times New Roman;sans-serif" w:hAnsi="Times New Roman;sans-serif"/>
                <w:b/>
                <w:color w:val="000000"/>
                <w:sz w:val="18"/>
              </w:rPr>
              <w:t>Payout Formula</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Actual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Payout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Weighted Payout Percentage</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Less than threshold achievement ($4,336.5 million): no payout</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Target achievement ($4,564.7 million): 100% payout funding</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Maximum achievement ($5,021.2 million): 200% payout funding</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$4,527.2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66.9%</w:t>
            </w:r>
          </w:p>
        </w:tc>
      </w:tr>
      <w:tr>
        <w:trPr/>
        <w:tc>
          <w:tcPr>
            <w:tcW w:w="1709" w:type="dxa"/>
            <w:gridSpan w:val="3"/>
            <w:tcBorders/>
            <w:tcMar>
              <w:top w:w="0" w:type="dxa"/>
              <w:left w:w="0" w:type="dxa"/>
              <w:bottom w:w="0" w:type="dxa"/>
              <w:right w:w="0" w:type="dxa"/>
            </w:tcMar>
            <w:vAlign w:val="center"/>
          </w:tcPr>
          <w:p>
            <w:pPr>
              <w:pStyle w:val="TableContents"/>
              <w:bidi w:val="0"/>
              <w:spacing w:lineRule="auto" w:line="199" w:before="0" w:after="0"/>
              <w:jc w:val="left"/>
              <w:rPr/>
            </w:pPr>
            <w:r>
              <w:rPr>
                <w:rFonts w:ascii="Times New Roman;sans-serif" w:hAnsi="Times New Roman;sans-serif"/>
                <w:b w:val="false"/>
                <w:color w:val="000000"/>
                <w:sz w:val="18"/>
              </w:rPr>
              <w:t>Non-GAAP Income from Operations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Less than threshold achievement ($1,184.6 million): no payout</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Target achievement ($1,692.3 million): 100% payout funding</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Maximum achievement ($2,200.0 million or above): 200% payout funding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$1,774.9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23.3%</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90.1%</w:t>
            </w:r>
          </w:p>
        </w:tc>
      </w:tr>
    </w:tbl>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76" w:before="0" w:after="0"/>
        <w:jc w:val="both"/>
        <w:rPr/>
      </w:pPr>
      <w:r>
        <w:rPr>
          <w:rFonts w:ascii="Times New Roman;sans-serif" w:hAnsi="Times New Roman;sans-serif"/>
          <w:b w:val="false"/>
          <w:color w:val="000000"/>
          <w:sz w:val="18"/>
        </w:rPr>
        <w:t xml:space="preserve">(1) Non-GAAP Income from Operations is a non-GAAP financial measure, which represents the GAAP income (loss) from operations excluding stock-based compensation expense and related payroll taxes, acquisition-related expenses, restructuring expenses, and litigation settlements, net. </w:t>
      </w:r>
      <w:r>
        <w:rPr>
          <w:rFonts w:ascii="Times New Roman;sans-serif" w:hAnsi="Times New Roman;sans-serif"/>
          <w:b w:val="false"/>
          <w:color w:val="000000"/>
          <w:sz w:val="18"/>
          <w:shd w:fill="FFFFFF" w:val="clear"/>
        </w:rPr>
        <w:t>We exclude stock-based compensation expense because it is non-cash in nature and excluding this expense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We exclude these restructuring expenses because they are distinct from ongoing operational costs and we do not believe they are reflective of current and expected future business performance and operating results.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Payout funding for achievement between threshold, target and maximum achievement levels was determined under the following payout scale: for achievement levels between threshold and target, 20% payout funding would occur for each 1% (6% in the case of non-GAAP Income from Operations) of achievement above threshold; for achievement levels between target and maximum, the 100% target payout funding would be increased by 20% payout funding for each 2% (6% in the case of non-GAAP Income from Operations) of achievement above target, in each case with linear interpolation between such levels.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assessed the corporate performance goal achievement following the end of fiscal 2024 and approved payouts under the Officer Incentive Plan based solely on our performance relative to the corporate performance goals and our payout methodology described above. Accordingly, each of our NEOs received the following aggregate cash incentive bonus payments under the Officer Incentive Plan for fiscal 2024. Incentive payouts were calculated based on the fiscal 2024 base salary rates that had been temporarily reduced for fiscal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09295"/>
                <wp:effectExtent l="0" t="0" r="0" b="0"/>
                <wp:wrapNone/>
                <wp:docPr id="42" name="Frame4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7163" w:type="dxa"/>
        <w:jc w:val="left"/>
        <w:tblInd w:w="0" w:type="dxa"/>
        <w:tblLayout w:type="fixed"/>
        <w:tblCellMar>
          <w:top w:w="28" w:type="dxa"/>
          <w:left w:w="28" w:type="dxa"/>
          <w:bottom w:w="28" w:type="dxa"/>
          <w:right w:w="28" w:type="dxa"/>
        </w:tblCellMar>
      </w:tblPr>
      <w:tblGrid>
        <w:gridCol w:w="765"/>
        <w:gridCol w:w="673"/>
        <w:gridCol w:w="677"/>
        <w:gridCol w:w="109"/>
        <w:gridCol w:w="109"/>
        <w:gridCol w:w="109"/>
        <w:gridCol w:w="479"/>
        <w:gridCol w:w="479"/>
        <w:gridCol w:w="481"/>
        <w:gridCol w:w="109"/>
        <w:gridCol w:w="109"/>
        <w:gridCol w:w="109"/>
        <w:gridCol w:w="602"/>
        <w:gridCol w:w="602"/>
        <w:gridCol w:w="1751"/>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Target Incentive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 xml:space="preserve">Form of Awards. </w:t>
      </w:r>
      <w:r>
        <w:rPr>
          <w:rFonts w:ascii="Times New Roman;sans-serif" w:hAnsi="Times New Roman;sans-serif"/>
          <w:b w:val="false"/>
          <w:color w:val="000000"/>
          <w:sz w:val="20"/>
        </w:rPr>
        <w:t>Since our initial public offering, we have granted equity compensation to our executive officers primarily in the form of RSU awards. The Compensation Committee regularly reviews market trends regarding equity compensation structures in connection with making executive compensation decisions. For fiscal 2024, the Compensation Committee determined that RSUs continued to be the most appropriate incentive structure for our executive officers at this time to deliver meaningful incentives that align our named executive officers’ interests with those of our stockholders by providing a return directly in line with our stock price. RSU awards encourage retention through vesting over the recipient’s continued employment with us, cover fewer shares than stock options, minimize dilution to stockholders, are straightforward and understandable to our employees, and are the predominant type of equity award utilized by the peer companies with whom we compete for talent. Beginning in fiscal 2025, we introduced performance-vesting RSUs into our executive compensation program.</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grant equity awards on fixed dates determined in advance, although there may be occasions when grants are made on other dates, such as new hires or other special circumstances. The timing of equity award grants to our executive officers is not coordinated in a manner that intentionally benefits our executive officers.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 xml:space="preserve">Targeted Grant Value and Resulting Shares. </w:t>
      </w:r>
      <w:r>
        <w:rPr>
          <w:rFonts w:ascii="Times New Roman;sans-serif" w:hAnsi="Times New Roman;sans-serif"/>
          <w:b w:val="false"/>
          <w:color w:val="000000"/>
          <w:sz w:val="20"/>
        </w:rPr>
        <w:t>The Compensation Committee typically approves a target dollar-denominated grant value for each equity award, which is then translated into the number of RSUs that are granted. We generally determine the number of RSUs underlying each grant by dividing the RSU target grant value by our average closing price over the 30-trading day period ending 14 days prior to the grant date. The Compensation Committee generally uses a historical average closing market price to determine the number of shares subject to each equity award, rather than a single day stock price on the date of grant, in order to provide a more stabilized stock value less susceptible to possible swings in the market. The Compensation Committee understands that using a historical average stock price can result in the ultimate grant date value of an award as required to be reported in the Summary Compensation Table and the Grants of Plan-Based Awards table under ASC 718 being higher or lower than the target grant value but has considered this, in consultation with Aon, and determined that the process described above is the most appropriate as a general practice for us at this time.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 xml:space="preserve">Equity Grant Programs. </w:t>
      </w:r>
      <w:r>
        <w:rPr>
          <w:rFonts w:ascii="Times New Roman;sans-serif" w:hAnsi="Times New Roman;sans-serif"/>
          <w:b w:val="false"/>
          <w:color w:val="000000"/>
          <w:sz w:val="20"/>
        </w:rPr>
        <w:t>We generally grant equity awards to our named executive officers under the same programs and methodology that apply to all employees across our organization, which we believe builds trust, transparency, and teamwork. Our equity programs have evolved over the years since we became a public company in 2019, and our Compensation Committee continues to evaluate the most appropriate compensation programs to attract and retain employees and motivate and reward them for our long-term performance.</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 xml:space="preserve">Four-Year Refresh Awards. </w:t>
      </w:r>
      <w:r>
        <w:rPr>
          <w:rFonts w:ascii="Times New Roman;sans-serif" w:hAnsi="Times New Roman;sans-serif"/>
          <w:b w:val="false"/>
          <w:color w:val="000000"/>
          <w:sz w:val="20"/>
        </w:rPr>
        <w:t>Historically, our general approach to equity compensation has been to make grants when existing equity (whether new hire or refresh awards) is substantially or fully vested, or otherwise not providing sufficient retention and incentive for our employees. Accordingly, we have typically granted equity awards upon an executive officer's commencement of employment or promotion that vest over a four-year period, followed by four-year “refresh” grants when these awards are substantially vested. The value of our four-year equity awards generally appears higher than grant values of other companies, when viewed on a single year basis. As such, these awards should generally be viewed in the context of compensation over a four-year period. We did not grant any four-year refresh awards to our NEOs in fiscal 2024.</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 xml:space="preserve">Annual RSU Bonus Awards. </w:t>
      </w:r>
      <w:r>
        <w:rPr>
          <w:rFonts w:ascii="Times New Roman;sans-serif" w:hAnsi="Times New Roman;sans-serif"/>
          <w:b w:val="false"/>
          <w:color w:val="000000"/>
          <w:sz w:val="20"/>
        </w:rPr>
        <w:t xml:space="preserve">Beginning in fiscal 2023, we granted annual RSU bonus awards to our employees in good standing, including our named executive officers. Annual RSU bonus awards are intended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9295"/>
                <wp:effectExtent l="0" t="0" r="0" b="0"/>
                <wp:wrapNone/>
                <wp:docPr id="43" name="Frame4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 our annual cash incentive program, generally vest over a one-year period, and therefore are sized significantly smaller than four-year refresh grants. Our annual incentive target cash opportunity of 8% of base salary is low compared to the annual incentive compensation offered by companies with which we compete. Rather than increasing cash-based compensation, the Compensation Committee determined RSUs were more appropriate as a retention tool and in line with our philosophy of emphasizing equity ownership and aligning our executives’ interests with those of our stockholders.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RSU bonus awards granted to each of our NEOs reflect amounts that, when combined with the annual target 8% cash incentive opportunity, make our NEOs’ annual cash compensation more competitive with those offered by our peer companies. To promote fairness and teamwork, our Compensation Committee structured the size of awards to be consistent for employees at similar levels. Accordingly, as CEO, Mr. Yuan received the largest award and each of our other NEOs received a smaller, equal-size award in fiscal 2024. All NEO awards reflected the same target grant values as those approved in fiscal 2023. The fiscal 2024 annual RSU bonus awards granted to each of our NEOs in April 2023 are set forth in the following table. </w:t>
      </w:r>
    </w:p>
    <w:p>
      <w:pPr>
        <w:pStyle w:val="TextBody"/>
        <w:bidi w:val="0"/>
        <w:spacing w:before="0" w:after="0"/>
        <w:ind w:left="0" w:right="0" w:firstLine="720"/>
        <w:jc w:val="both"/>
        <w:rPr/>
      </w:pPr>
      <w:r>
        <w:rPr/>
      </w:r>
    </w:p>
    <w:tbl>
      <w:tblPr>
        <w:tblW w:w="6611" w:type="dxa"/>
        <w:jc w:val="center"/>
        <w:tblInd w:w="0" w:type="dxa"/>
        <w:tblLayout w:type="fixed"/>
        <w:tblCellMar>
          <w:top w:w="28" w:type="dxa"/>
          <w:left w:w="28" w:type="dxa"/>
          <w:bottom w:w="28" w:type="dxa"/>
          <w:right w:w="28" w:type="dxa"/>
        </w:tblCellMar>
      </w:tblPr>
      <w:tblGrid>
        <w:gridCol w:w="765"/>
        <w:gridCol w:w="673"/>
        <w:gridCol w:w="677"/>
        <w:gridCol w:w="109"/>
        <w:gridCol w:w="109"/>
        <w:gridCol w:w="109"/>
        <w:gridCol w:w="1221"/>
        <w:gridCol w:w="1221"/>
        <w:gridCol w:w="1727"/>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RSU Bonus Award Target Grant Value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 xml:space="preserve">Supplemental Award Program (Temporary). </w:t>
      </w:r>
      <w:r>
        <w:rPr>
          <w:rFonts w:ascii="Times New Roman;sans-serif" w:hAnsi="Times New Roman;sans-serif"/>
          <w:b w:val="false"/>
          <w:color w:val="000000"/>
          <w:sz w:val="20"/>
        </w:rPr>
        <w:t>Our supplemental award program was a temporary program that applied to all employees in good standing (including our NEOs) who were granted equity awards at times when our stock price was at extraordinarily high levels. Fiscal 2021 and the first half of fiscal 2022 were unprecedented times for Zoom as the COVID-19 pandemic unfolded, our ability to rapidly respond and execute drove strong financial results, and our stock price increased over 600% from pre-pandemic levels. In the following periods, our stock price has declined in connection with the COVID-19 pandemic recovery and changes in macroeconomic conditions that have caused volatility and uncertainty in our business and the broader market. Because of these factors, the Compensation Committee determined that RSUs granted during the three-year period measured February 2020 through January 2023 (the “Supplemental Timeframe”) had not delivered the retention value that we intended. Accordingly, beginning in October 2021 and continuing through January 2024, the Compensation Committee (or its authorized delegate, with respect to grants to certain non-executive officers) approved supplemental RSU awards to employees holding awards that were granted during the Supplemental Timeframe. Eligibility for a supplemental grant and the size of the supplemental grants was determined based on a uniform formulaic approach for all employees, including our NEOs. Generally, eligibility for a supplemental grant was reviewed annually for each eligible award and the size of the supplemental grant was based on the difference between the intended value of the eligible award as of the time of grant and our subsequent stock price around the time of the supplemental grant. Accordingly, our Compensation Committee approved supplemental grants for our NEOs on the same terms and formula that applied to all of our employees. We sunsetted our supplemental grant program, and no further supplemental grants will be made under this program after January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accompanying footnotes set forth information regarding supplemental awards granted to each of our NEOs in fiscal 2024, including the original award to which the supplemental award relates. To determine the number of RSUs for these fiscal 2024 supplemental grants, we divided the target grant value by either a historical trading price average or, in some cases, the closing price around the one year anniversary of the applicable eligible award to which the supplemental grant related, which the Compensation Committee determined was most appropriate from a retention standpoint.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09295"/>
                <wp:effectExtent l="0" t="0" r="0" b="0"/>
                <wp:wrapNone/>
                <wp:docPr id="44" name="Frame4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6147" w:type="dxa"/>
        <w:jc w:val="center"/>
        <w:tblInd w:w="0" w:type="dxa"/>
        <w:tblLayout w:type="fixed"/>
        <w:tblCellMar>
          <w:top w:w="28" w:type="dxa"/>
          <w:left w:w="28" w:type="dxa"/>
          <w:bottom w:w="28" w:type="dxa"/>
          <w:right w:w="28" w:type="dxa"/>
        </w:tblCellMar>
      </w:tblPr>
      <w:tblGrid>
        <w:gridCol w:w="765"/>
        <w:gridCol w:w="673"/>
        <w:gridCol w:w="677"/>
        <w:gridCol w:w="109"/>
        <w:gridCol w:w="109"/>
        <w:gridCol w:w="109"/>
        <w:gridCol w:w="1083"/>
        <w:gridCol w:w="1083"/>
        <w:gridCol w:w="1539"/>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Award Target Grant Value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$23,777,191</w:t>
            </w:r>
            <w:r>
              <w:rPr>
                <w:rFonts w:ascii="Times New Roman;sans-serif" w:hAnsi="Times New Roman;sans-serif"/>
                <w:b w:val="false"/>
                <w:color w:val="000000"/>
                <w:sz w:val="13"/>
              </w:rPr>
              <w:t>(1)</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$11,537,825</w:t>
            </w:r>
            <w:r>
              <w:rPr>
                <w:rFonts w:ascii="Times New Roman;sans-serif" w:hAnsi="Times New Roman;sans-serif"/>
                <w:b w:val="false"/>
                <w:color w:val="000000"/>
                <w:sz w:val="13"/>
              </w:rPr>
              <w:t>(1)</w:t>
            </w:r>
          </w:p>
        </w:tc>
      </w:tr>
      <w:tr>
        <w:trPr/>
        <w:tc>
          <w:tcPr>
            <w:tcW w:w="211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$7,430,368</w:t>
            </w:r>
            <w:r>
              <w:rPr>
                <w:rFonts w:ascii="Times New Roman;sans-serif" w:hAnsi="Times New Roman;sans-serif"/>
                <w:b w:val="false"/>
                <w:color w:val="000000"/>
                <w:sz w:val="13"/>
              </w:rPr>
              <w:t>(1)</w:t>
            </w:r>
          </w:p>
        </w:tc>
      </w:tr>
      <w:tr>
        <w:trPr/>
        <w:tc>
          <w:tcPr>
            <w:tcW w:w="211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$2,464,828</w:t>
            </w:r>
            <w:r>
              <w:rPr>
                <w:rFonts w:ascii="Times New Roman;sans-serif" w:hAnsi="Times New Roman;sans-serif"/>
                <w:b w:val="false"/>
                <w:color w:val="000000"/>
                <w:sz w:val="13"/>
              </w:rPr>
              <w:t>(2)</w:t>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Velchamy Sankarlingam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$6,585,995</w:t>
            </w:r>
            <w:r>
              <w:rPr>
                <w:rFonts w:ascii="Times New Roman;sans-serif" w:hAnsi="Times New Roman;sans-serif"/>
                <w:b w:val="false"/>
                <w:color w:val="000000"/>
                <w:sz w:val="13"/>
              </w:rPr>
              <w:t>(3)</w:t>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$2,328,540</w:t>
            </w:r>
            <w:r>
              <w:rPr>
                <w:rFonts w:ascii="Times New Roman;sans-serif" w:hAnsi="Times New Roman;sans-serif"/>
                <w:b w:val="false"/>
                <w:color w:val="000000"/>
                <w:sz w:val="13"/>
              </w:rPr>
              <w:t>(4)</w:t>
            </w:r>
          </w:p>
        </w:tc>
      </w:tr>
    </w:tbl>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Granted in July 2023, relates to 4-year refresh award granted in July 2022 when our stock price was $120 per share; vests over a three-year period.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Granted in April 2023, relates to promotion award granted in September 2020 when our stock price was $370 per share; vests over a one-year period.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Granted in April 2023, relates to new hire award granted in July 2020 when our stock price was $266 per share; vests over a one-year period.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 Granted in September 2023, relates to retention award granted in September 2022 when our stock price was $83 per share; vests over a three-year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Features of Our Executive Compensation Program</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Employment Offer Letters</w:t>
      </w:r>
    </w:p>
    <w:p>
      <w:pPr>
        <w:pStyle w:val="TextBody"/>
        <w:bidi w:val="0"/>
        <w:spacing w:before="0" w:after="0"/>
        <w:ind w:left="0" w:right="0" w:firstLine="36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maintain employee offer letters with each of our named executive officers that set forth the initial terms and conditions of their employment, including position, base salary and severance benefits described below.</w:t>
      </w:r>
      <w:r>
        <w:rPr>
          <w:color w:val="000000"/>
        </w:rPr>
        <w:t xml:space="preserve"> </w:t>
      </w:r>
      <w:r>
        <w:rPr>
          <w:rFonts w:ascii="Times New Roman;sans-serif" w:hAnsi="Times New Roman;sans-serif"/>
          <w:b w:val="false"/>
          <w:color w:val="000000"/>
          <w:sz w:val="20"/>
        </w:rPr>
        <w:t>The terms of each of our named executive officers’ incentive opportunities are governed by our Officer Incentive Plan described above.</w:t>
      </w:r>
      <w:r>
        <w:rPr>
          <w:color w:val="000000"/>
        </w:rPr>
        <w:t xml:space="preserve"> </w:t>
      </w:r>
      <w:r>
        <w:rPr>
          <w:rFonts w:ascii="Times New Roman;sans-serif" w:hAnsi="Times New Roman;sans-serif"/>
          <w:b w:val="false"/>
          <w:color w:val="000000"/>
          <w:sz w:val="20"/>
        </w:rPr>
        <w:t>Each of our named executive officers is an at-will employee.</w:t>
      </w:r>
      <w:r>
        <w:rPr>
          <w:color w:val="000000"/>
        </w:rPr>
        <w:t xml:space="preserv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Severance and Change in Control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named executive officers is eligible for severance benefits upon certain types of involuntary termination events, including involuntary terminations in connection with a change in control of our Company.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Compensation Committee believes severance benefits are important from a retention perspective to provide some level of protection to our executive officers who might be terminated involuntarily, including in connection with a change in control and that the amounts are reasonable and maintain the competitiveness of our executive compensation and retention program. Further, the Compensation Committee believes this structure serves to mitigate the distraction and loss of key executive officers that may occur in connection with potential or actual change in control. Such payments protect the interests of our stockholders by enhancing executive focus, including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We do not have any agreements with our named executive officers guaranteeing any tax gross-up payments on severance or change in control benefits.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Severance and Change in Control Plan (the “Severance Plan”) that provides severance protection to certain Company employees, including each of our named executive officers. The Severance Plan provides for “double trigger” benefits upon involuntary terminations that occur in connection with a change in control and limited equity acceleration benefits upon an involuntary termination that occurs outside of the change-in-control context.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more detailed description of the Severance Plan and each of our named executive officer’s potential payments and benefits upon a termination or change in control is provided below under “Potential Payments upon Termination or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09295"/>
                <wp:effectExtent l="0" t="0" r="0" b="0"/>
                <wp:wrapNone/>
                <wp:docPr id="45" name="Frame4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401(k) Plan, ESPP, Welfare and Health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We have the ability to make discretionary matching and discretionary employer contributions to the 401(k) plan. For fiscal 2024, we made (i) a discretionary matching employer contribution equal to 50% of each participant’s deferral contributions to the extent such contributions do not exceed 3% of the participant’s 401(k) plan compensation on a payroll by payroll basis and (ii) a true-up discretionary matching contribution in the first quarter of the following fiscal year (typically by the end of April), in the same amount for participants employed on the last working day of the plan year of the 401(k) plan.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our employees, including our named executive officers, the opportunity to purchase shares of our common stock at a discount under our 2019 Employee Stock Purchase Plan, or “ESPP.” Pursuant to the ESPP, all eligible employees, including the eligible named executive officers, may allocate up to 20% of the participant’s earnings (as defined in the ESPP) for that year to purchase our Class A common stock at a 15% discount to the market price, subject to specified limits. Mr. Yuan is not currently eligible to participate in the ESPP because he owns, directly and indirectly, shares of our common stock comprising more than five percent of the total combined voting power or value of all classes of stock of the Company.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Perquisites and Other Personal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 We pay the premiums for term life insurance and disability insurance, subject to certain limitations, for all of our employees, including our named executive officers.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safety concerns resulting from Mr. Yuan’s position as our founder and CEO, we pay for costs related to security for Mr. Yuan at his personal residence and when he travels for both business and non-business reasons, including the cost of ground transportation. Our security practices for Mr. Yuan’s transportation and personal security are consistent with best practices as assessed by an independent third-party security firm. As assessed, Mr. Yuan is inextricably linked to Zoom’s activities and stability. Therefore, we implement certain security procedures for Mr. Yuan as part of the overall security plan to mitigate risk of harm. The costs for Mr. Yuan’s personal security were higher in fiscal 2024 compared to fiscal 2023 primarily as a result of increased travel, increased security measures and a rise in the cost of security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9295"/>
                <wp:effectExtent l="0" t="0" r="0" b="0"/>
                <wp:wrapNone/>
                <wp:docPr id="46" name="Frame4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provide perquisites or other personal benefits in limited circumstances. All future practices with respect to perquisites or other personal benefits will be approved and subject to periodic review by the Compensation Committee.</w:t>
      </w:r>
    </w:p>
    <w:p>
      <w:pPr>
        <w:pStyle w:val="TextBody"/>
        <w:bidi w:val="0"/>
        <w:spacing w:before="0" w:after="0"/>
        <w:ind w:left="0" w:right="0" w:hanging="2"/>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Pension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Nonqualified Deferred Compensation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2024, our U.S. employees, including our named executive officers, did not contribute to, or earn any amounts with respect to, any defined contribution or other plan sponsored by us that provides for the deferral of compensation on a basis that is not tax-qualified.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Tax and Accounting Implications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for Stock-Based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Deductibility of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162(m) of the Code (“Section 162(m)”), compensation paid to any publicly held corporation’s “covered employees” that exceeds $1 million per taxable year for any covered employee is generally non-deductible unless the compensation qualifies for the reliance period exception for certain compensation paid by corporations that became publicly held on or before December 20, 2019.</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Compensation Policies and Practices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Clawback Policies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voluntarily adopted an incentive compensation recoupment (the “Recoupment Policy”) that became effective in connection with our initial public offering in 2019, ahead of final guidance by the SEC regarding the clawback rules required under the Dodd-Frank Wall Street Reform and Consumer Protection Act (the “SEC Clawback Rules”). Under the Recoupment Policy, if an officer’s misconduct contributes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 month period preceding the restatement obligation as noted above. Our Board of Directors has the authority and discretion to determine whether an event covered by the Recoupment Policy has occurred and, depending on the facts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09295"/>
                <wp:effectExtent l="0" t="0" r="0" b="0"/>
                <wp:wrapNone/>
                <wp:docPr id="47" name="Frame4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circumstances, may (but need not) require full or partial forfeiture and/or prepayment of the incentive compensation described above.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In November 2023, we adopted a clawback policy (the “Clawback Policy”) that complies with the new listing standards adopted by Nasdaq that implement the SEC </w:t>
      </w:r>
      <w:r>
        <w:rPr>
          <w:rFonts w:ascii="Times New Roman;sans-serif" w:hAnsi="Times New Roman;sans-serif"/>
          <w:b w:val="false"/>
          <w:color w:val="000000"/>
          <w:sz w:val="20"/>
        </w:rPr>
        <w:t xml:space="preserve">Clawback Rules and applies to our executive officers (as defined in applicable SEC Clawback Rules). The Clawback Policy requires the Company to recover from covered executive officers the amount of erroneously awarded compensation resulting from an accounting restatement due to the material noncompliance of the Company with any financial reporting requirement under the securities laws. The Clawback Policy applies to incentive compensation that is received by a covered officer on or after October 2, 2023, as further described in the Clawback Policy, which is filed as an exhibit to our Annual Report on Form 10-K.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Policy Prohibiting Hedging and Pledging of Our Equity Securities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Compensation Risk Assessment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reviewed our compensation policies and practices, in consultation with Aon and outside counsel, to assess whether they encourage employees to take inappropriate risks. After conducting this review of compensation-related risk, the Compensation Committee has concluded that our compensation policies and practices are not reasonably likely to have a material adverse effect on our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Compensation Committee Report</w:t>
      </w:r>
      <w:r>
        <w:rPr>
          <w:rFonts w:ascii="Times New Roman;sans-serif" w:hAnsi="Times New Roman;sans-serif"/>
          <w:b/>
          <w:color w:val="000000"/>
          <w:sz w:val="16"/>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with management the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January 31, 2024.</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William R. McDermott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Dan Scheinman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Santiago Subotovsky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w:t>
      </w:r>
      <w:r>
        <w:rPr>
          <w:rFonts w:ascii="Times New Roman;sans-serif" w:hAnsi="Times New Roman;sans-serif"/>
          <w:b w:val="false"/>
          <w:color w:val="000000"/>
          <w:sz w:val="18"/>
        </w:rPr>
        <w:t>The material in this report is not “soliciting material,” is furnished to, but not deemed “filed” with, the Commission and is not deemed to be incorporated by reference in any of our filings under the Securities Act or the Exchange Act, other than our Annual Report on Form 10-K, where it shall be deemed to be “furnished,” whether made before or after the date hereof and irrespective of any general incorporation language in any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09295"/>
                <wp:effectExtent l="0" t="0" r="0" b="0"/>
                <wp:wrapNone/>
                <wp:docPr id="48" name="Frame4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Summary Compensation Table for Fiscal Year 2024</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all of the compensation awarded to or earned by or paid to our named executive officers during the fiscal years ended January 31, 2024, 2023, and 2022. </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837"/>
        <w:gridCol w:w="504"/>
        <w:gridCol w:w="506"/>
        <w:gridCol w:w="109"/>
        <w:gridCol w:w="109"/>
        <w:gridCol w:w="109"/>
        <w:gridCol w:w="160"/>
        <w:gridCol w:w="160"/>
        <w:gridCol w:w="161"/>
        <w:gridCol w:w="109"/>
        <w:gridCol w:w="109"/>
        <w:gridCol w:w="109"/>
        <w:gridCol w:w="284"/>
        <w:gridCol w:w="221"/>
        <w:gridCol w:w="218"/>
        <w:gridCol w:w="109"/>
        <w:gridCol w:w="109"/>
        <w:gridCol w:w="109"/>
        <w:gridCol w:w="454"/>
        <w:gridCol w:w="299"/>
        <w:gridCol w:w="300"/>
        <w:gridCol w:w="109"/>
        <w:gridCol w:w="109"/>
        <w:gridCol w:w="109"/>
        <w:gridCol w:w="578"/>
        <w:gridCol w:w="578"/>
        <w:gridCol w:w="579"/>
        <w:gridCol w:w="109"/>
        <w:gridCol w:w="109"/>
        <w:gridCol w:w="109"/>
        <w:gridCol w:w="478"/>
        <w:gridCol w:w="478"/>
        <w:gridCol w:w="479"/>
        <w:gridCol w:w="109"/>
        <w:gridCol w:w="109"/>
        <w:gridCol w:w="109"/>
        <w:gridCol w:w="280"/>
        <w:gridCol w:w="280"/>
        <w:gridCol w:w="409"/>
      </w:tblGrid>
      <w:tr>
        <w:trPr/>
        <w:tc>
          <w:tcPr>
            <w:tcW w:w="8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pPr>
            <w:r>
              <w:rPr>
                <w:rFonts w:ascii="Times New Roman;sans-serif" w:hAnsi="Times New Roman;sans-serif"/>
                <w:b/>
                <w:color w:val="000000"/>
                <w:sz w:val="18"/>
              </w:rPr>
              <w:t>Stock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pPr>
            <w:r>
              <w:rPr>
                <w:rFonts w:ascii="Times New Roman;sans-serif" w:hAnsi="Times New Roman;sans-serif"/>
                <w:b/>
                <w:color w:val="000000"/>
                <w:sz w:val="18"/>
              </w:rPr>
              <w:t>Non-Equity Incentive Plan Compensation ($)</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184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 xml:space="preserve">Eric S. Yuan, </w:t>
            </w:r>
            <w:r>
              <w:rPr>
                <w:rFonts w:ascii="Times New Roman;sans-serif" w:hAnsi="Times New Roman;sans-serif"/>
                <w:b w:val="false"/>
                <w:i/>
                <w:color w:val="000000"/>
                <w:sz w:val="18"/>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26,246,026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1,825,347</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28,082,133</w:t>
            </w:r>
          </w:p>
        </w:tc>
      </w:tr>
      <w:tr>
        <w:trPr/>
        <w:tc>
          <w:tcPr>
            <w:tcW w:w="184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402,962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74,311,158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1,245,563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75,959,683</w:t>
            </w:r>
          </w:p>
        </w:tc>
      </w:tr>
      <w:tr>
        <w:trPr/>
        <w:tc>
          <w:tcPr>
            <w:tcW w:w="184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1,115,089</w:t>
            </w:r>
          </w:p>
        </w:tc>
      </w:tr>
      <w:tr>
        <w:trPr/>
        <w:tc>
          <w:tcPr>
            <w:tcW w:w="184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361,385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12,999,347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5,858</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13,392,538</w:t>
            </w:r>
          </w:p>
        </w:tc>
      </w:tr>
      <w:tr>
        <w:trPr/>
        <w:tc>
          <w:tcPr>
            <w:tcW w:w="18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426,196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36,322,225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36,748,421</w:t>
            </w:r>
          </w:p>
        </w:tc>
      </w:tr>
      <w:tr>
        <w:trPr/>
        <w:tc>
          <w:tcPr>
            <w:tcW w:w="18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393,694</w:t>
            </w:r>
          </w:p>
        </w:tc>
      </w:tr>
      <w:tr>
        <w:trPr/>
        <w:tc>
          <w:tcPr>
            <w:tcW w:w="1847"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Aparna Bawa, </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Operating Officer and Interim Chief Legal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361,385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11,102,206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7,903</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11,497,442</w:t>
            </w:r>
          </w:p>
        </w:tc>
      </w:tr>
      <w:tr>
        <w:trPr/>
        <w:tc>
          <w:tcPr>
            <w:tcW w:w="18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426,923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27,611,195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28,038,118</w:t>
            </w:r>
          </w:p>
        </w:tc>
      </w:tr>
      <w:tr>
        <w:trPr/>
        <w:tc>
          <w:tcPr>
            <w:tcW w:w="18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402,308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419,940</w:t>
            </w:r>
          </w:p>
        </w:tc>
      </w:tr>
      <w:tr>
        <w:trPr/>
        <w:tc>
          <w:tcPr>
            <w:tcW w:w="184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 xml:space="preserve">Velchamy Sankarlingam, </w:t>
            </w:r>
            <w:r>
              <w:rPr>
                <w:rFonts w:ascii="Times New Roman;sans-serif" w:hAnsi="Times New Roman;sans-serif"/>
                <w:b w:val="false"/>
                <w:i/>
                <w:color w:val="000000"/>
                <w:sz w:val="18"/>
              </w:rPr>
              <w:t>President of Product and Engineering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361,385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9,699,411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6,046</w:t>
            </w: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10,092,791</w:t>
            </w:r>
          </w:p>
        </w:tc>
      </w:tr>
      <w:tr>
        <w:trPr/>
        <w:tc>
          <w:tcPr>
            <w:tcW w:w="184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13,760,601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14,212,332</w:t>
            </w:r>
          </w:p>
        </w:tc>
      </w:tr>
      <w:tr>
        <w:trPr/>
        <w:tc>
          <w:tcPr>
            <w:tcW w:w="184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314,955</w:t>
            </w:r>
          </w:p>
        </w:tc>
      </w:tr>
    </w:tbl>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amounts reported in this column represent the aggregate grant date fair value of stock awards granted in each respective fiscal year as determined in accordance with FASB ASC Topic 718. These amounts may not actually reflect to the actual value that will be realized by our NEOs. The assumptions used to calculate the value of stock awards are set forth under Note 9 of the Notes to Consolidated Financial Statements contained in our Annual Report on Form 10-K for the fiscal year ended January 31,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amounts disclosed represent the applicable named executive officer’s total performance incentive bonus earned for each respective fiscal year.</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$1,824,136 paid by us for ground transportation, personal and residential security services for Mr. Yuan, as well as $1,211 in 401(k) match contributions, as further described above under "Compensation Discussion and Analysis."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amounts paid by us in 401(k) match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Grants of Plan-Based Awards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for the fiscal year ended January 31, 2024, certain information regarding grants of plan-based awards to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09295"/>
                <wp:effectExtent l="0" t="0" r="0" b="0"/>
                <wp:wrapNone/>
                <wp:docPr id="49" name="Frame4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18"/>
        <w:gridCol w:w="378"/>
        <w:gridCol w:w="280"/>
        <w:gridCol w:w="109"/>
        <w:gridCol w:w="109"/>
        <w:gridCol w:w="109"/>
        <w:gridCol w:w="230"/>
        <w:gridCol w:w="230"/>
        <w:gridCol w:w="231"/>
        <w:gridCol w:w="109"/>
        <w:gridCol w:w="109"/>
        <w:gridCol w:w="109"/>
        <w:gridCol w:w="204"/>
        <w:gridCol w:w="204"/>
        <w:gridCol w:w="205"/>
        <w:gridCol w:w="109"/>
        <w:gridCol w:w="109"/>
        <w:gridCol w:w="109"/>
        <w:gridCol w:w="377"/>
        <w:gridCol w:w="377"/>
        <w:gridCol w:w="172"/>
        <w:gridCol w:w="137"/>
        <w:gridCol w:w="137"/>
        <w:gridCol w:w="137"/>
        <w:gridCol w:w="377"/>
        <w:gridCol w:w="280"/>
        <w:gridCol w:w="137"/>
        <w:gridCol w:w="137"/>
        <w:gridCol w:w="137"/>
        <w:gridCol w:w="137"/>
        <w:gridCol w:w="377"/>
        <w:gridCol w:w="377"/>
        <w:gridCol w:w="172"/>
        <w:gridCol w:w="109"/>
        <w:gridCol w:w="109"/>
        <w:gridCol w:w="109"/>
        <w:gridCol w:w="419"/>
        <w:gridCol w:w="419"/>
        <w:gridCol w:w="420"/>
        <w:gridCol w:w="109"/>
        <w:gridCol w:w="109"/>
        <w:gridCol w:w="109"/>
        <w:gridCol w:w="516"/>
        <w:gridCol w:w="342"/>
        <w:gridCol w:w="506"/>
      </w:tblGrid>
      <w:tr>
        <w:trPr/>
        <w:tc>
          <w:tcPr>
            <w:tcW w:w="5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Award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8"/>
              </w:rPr>
              <w:t>Estimated Possible Payouts Under Non-Equity Incentive Plan Awards</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8"/>
              </w:rPr>
              <w:t>All Other Stock Awards: Number of Shares of Stock or Units (#)</w:t>
            </w:r>
            <w:r>
              <w:rPr>
                <w:rFonts w:ascii="Times New Roman;sans-serif" w:hAnsi="Times New Roman;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8"/>
              </w:rPr>
              <w:t>Grant Date Fair Value of Stock and Option Awards ($)</w:t>
            </w:r>
            <w:r>
              <w:rPr>
                <w:rFonts w:ascii="Times New Roman;sans-serif" w:hAnsi="Times New Roman;sans-serif"/>
                <w:b/>
                <w:color w:val="000000"/>
                <w:sz w:val="12"/>
              </w:rPr>
              <w:t>(3)</w:t>
            </w:r>
          </w:p>
        </w:tc>
      </w:tr>
      <w:tr>
        <w:trPr/>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Threshold ($)</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Target</w:t>
              <w:br/>
              <w:t> ($)</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Maximum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4/6/2023</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995,194</w:t>
            </w:r>
          </w:p>
        </w:tc>
      </w:tr>
      <w:tr>
        <w:trPr/>
        <w:tc>
          <w:tcPr>
            <w:tcW w:w="117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7/11/2023</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362,071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25,250,832</w:t>
            </w:r>
          </w:p>
        </w:tc>
      </w:tr>
      <w:tr>
        <w:trPr/>
        <w:tc>
          <w:tcPr>
            <w:tcW w:w="117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4/6/2023</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746,378</w:t>
            </w:r>
          </w:p>
        </w:tc>
      </w:tr>
      <w:tr>
        <w:trPr/>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7/11/2023</w:t>
            </w: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175,695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12,252,969</w:t>
            </w:r>
          </w:p>
        </w:tc>
      </w:tr>
      <w:tr>
        <w:trPr/>
        <w:tc>
          <w:tcPr>
            <w:tcW w:w="1176" w:type="dxa"/>
            <w:gridSpan w:val="3"/>
            <w:vMerge w:val="restart"/>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4/6/2023</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2,464,886</w:t>
            </w:r>
          </w:p>
        </w:tc>
      </w:tr>
      <w:tr>
        <w:trPr/>
        <w:tc>
          <w:tcPr>
            <w:tcW w:w="117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4/6/2023</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746,378</w:t>
            </w:r>
          </w:p>
        </w:tc>
      </w:tr>
      <w:tr>
        <w:trPr/>
        <w:tc>
          <w:tcPr>
            <w:tcW w:w="117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7/11/2023</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7,890,942</w:t>
            </w:r>
          </w:p>
        </w:tc>
      </w:tr>
      <w:tr>
        <w:trPr/>
        <w:tc>
          <w:tcPr>
            <w:tcW w:w="117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4/6/2023</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6,586,058</w:t>
            </w:r>
          </w:p>
        </w:tc>
      </w:tr>
      <w:tr>
        <w:trPr/>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4/6/2023</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746,378</w:t>
            </w:r>
          </w:p>
        </w:tc>
      </w:tr>
      <w:tr>
        <w:trPr/>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9/12/2023</w:t>
            </w: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2,366,975</w:t>
            </w:r>
          </w:p>
        </w:tc>
      </w:tr>
    </w:tbl>
    <w:p>
      <w:pPr>
        <w:pStyle w:val="TextBody"/>
        <w:bidi w:val="0"/>
        <w:spacing w:lineRule="auto" w:line="276"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the range of possible payouts to our NEOs for fiscal 2024 under the Officer Incentive Plan as further described above under “Compensation Discussion and Analysis.”</w:t>
      </w:r>
    </w:p>
    <w:p>
      <w:pPr>
        <w:pStyle w:val="TextBody"/>
        <w:bidi w:val="0"/>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RSU awards granted under the 2019 Plan.</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(3)</w:t>
      </w:r>
      <w:r>
        <w:rPr>
          <w:color w:val="000000"/>
        </w:rPr>
        <w:t xml:space="preserve"> </w:t>
      </w:r>
      <w:r>
        <w:rPr>
          <w:rFonts w:ascii="Times New Roman;sans-serif" w:hAnsi="Times New Roman;sans-serif"/>
          <w:b w:val="false"/>
          <w:color w:val="000000"/>
          <w:sz w:val="18"/>
        </w:rPr>
        <w:t>The grant date fair value of each equity award is computed in accordance with FASB ASC 718. The amounts reported in this column reflect the accounting cost for these RSUs and do not correspond to the actual economic value that may be received by each NEO upon the vesting or settlement of the RSUs.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(4)Represents an annual RSU bonus award that vests 100% on the one-year anniversary of the grant date, subject to each NEO's continuous service with us through such date.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(5)Represents a supplemental RSU award that vests over a one-year period in equal quarterly installments, subject to each NEO's continuous service with us through each such date.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(6)Represents a supplemental RSU award that vests over a three-year period in equal quarterly installments, subject to each NEO's continuous service with us through each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09295"/>
                <wp:effectExtent l="0" t="0" r="0" b="0"/>
                <wp:wrapNone/>
                <wp:docPr id="50" name="Frame4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Outstanding Equity Awards at 2024 Fiscal Year-End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and exercisable and unexercisable stock options and unvested RSU awards held by our named executive officers as of January 31, 2024. The market value for the stock awards was calculated by multiplying the number of shares of our common stock subject to each award by $64.61, which was the closing market price of our common stock on January 31, 2024.</w:t>
      </w:r>
    </w:p>
    <w:tbl>
      <w:tblPr>
        <w:tblW w:w="10205" w:type="dxa"/>
        <w:jc w:val="center"/>
        <w:tblInd w:w="0" w:type="dxa"/>
        <w:tblLayout w:type="fixed"/>
        <w:tblCellMar>
          <w:top w:w="28" w:type="dxa"/>
          <w:left w:w="28" w:type="dxa"/>
          <w:bottom w:w="28" w:type="dxa"/>
          <w:right w:w="28" w:type="dxa"/>
        </w:tblCellMar>
      </w:tblPr>
      <w:tblGrid>
        <w:gridCol w:w="518"/>
        <w:gridCol w:w="378"/>
        <w:gridCol w:w="281"/>
        <w:gridCol w:w="109"/>
        <w:gridCol w:w="109"/>
        <w:gridCol w:w="109"/>
        <w:gridCol w:w="207"/>
        <w:gridCol w:w="207"/>
        <w:gridCol w:w="208"/>
        <w:gridCol w:w="109"/>
        <w:gridCol w:w="109"/>
        <w:gridCol w:w="109"/>
        <w:gridCol w:w="345"/>
        <w:gridCol w:w="345"/>
        <w:gridCol w:w="346"/>
        <w:gridCol w:w="115"/>
        <w:gridCol w:w="115"/>
        <w:gridCol w:w="116"/>
        <w:gridCol w:w="390"/>
        <w:gridCol w:w="390"/>
        <w:gridCol w:w="391"/>
        <w:gridCol w:w="115"/>
        <w:gridCol w:w="115"/>
        <w:gridCol w:w="116"/>
        <w:gridCol w:w="315"/>
        <w:gridCol w:w="315"/>
        <w:gridCol w:w="316"/>
        <w:gridCol w:w="115"/>
        <w:gridCol w:w="115"/>
        <w:gridCol w:w="116"/>
        <w:gridCol w:w="345"/>
        <w:gridCol w:w="345"/>
        <w:gridCol w:w="346"/>
        <w:gridCol w:w="109"/>
        <w:gridCol w:w="109"/>
        <w:gridCol w:w="109"/>
        <w:gridCol w:w="256"/>
        <w:gridCol w:w="256"/>
        <w:gridCol w:w="258"/>
        <w:gridCol w:w="111"/>
        <w:gridCol w:w="111"/>
        <w:gridCol w:w="111"/>
        <w:gridCol w:w="399"/>
        <w:gridCol w:w="357"/>
        <w:gridCol w:w="339"/>
      </w:tblGrid>
      <w:tr>
        <w:trPr/>
        <w:tc>
          <w:tcPr>
            <w:tcW w:w="5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6" w:type="dxa"/>
            <w:gridSpan w:val="27"/>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Securities</w:t>
              <w:br/>
              <w:t>Underlying</w:t>
              <w:br/>
              <w:t>Unexercised</w:t>
              <w:br/>
              <w:t>Options</w:t>
              <w:br/>
              <w:t>Exercisable</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Underlying</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Unexercised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Unexercisable</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pPr>
            <w:r>
              <w:rPr>
                <w:rFonts w:ascii="Times New Roman;sans-serif" w:hAnsi="Times New Roman;sans-serif"/>
                <w:b/>
                <w:color w:val="000000"/>
                <w:sz w:val="18"/>
              </w:rPr>
              <w:t>Option Exercise Price Per Share</w:t>
            </w:r>
            <w:r>
              <w:rPr>
                <w:rFonts w:ascii="Times New Roman;sans-serif" w:hAnsi="Times New Roman;sans-serif"/>
                <w:b/>
                <w:color w:val="000000"/>
                <w:sz w:val="12"/>
              </w:rPr>
              <w:t>(1)</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shares or</w:t>
              <w:br/>
              <w:t>units of</w:t>
              <w:br/>
              <w:t>stock that</w:t>
              <w:br/>
              <w:t>have not</w:t>
              <w:br/>
              <w:t>vested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Market value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shares or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units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stock that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have not</w:t>
            </w:r>
          </w:p>
          <w:p>
            <w:pPr>
              <w:pStyle w:val="TableContents"/>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vested</w:t>
            </w:r>
          </w:p>
        </w:tc>
      </w:tr>
      <w:tr>
        <w:trPr/>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07/08/2022</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382,812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$24,733,483</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04/06/2023</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13,851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$894,913</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07/11/2023</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301,726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$19,494,517</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09/24/2018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09/24/2028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01/06/2018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533,085</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01/06/2028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07/08/2022</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185,760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$12,001,954</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04/06/2023</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$671,169</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07/11/2023</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146,413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$9,459,744</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09/04/2020</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5,132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$331,579</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04/08/2022</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4,470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$288,807</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07/08/2022</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119,629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$7,729,230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04/06/2023</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$671,169</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04/06/2023</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8,577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$554,160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07/11/2023</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94,290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$6,092,077</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07/08/2020</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12,655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$817,640</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04/08/2022</w:t>
            </w: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8,428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$544,533</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09/09/2022</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46,458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$3,001,651</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04/06/2023</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10,388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$671,169</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04/06/2023</w:t>
            </w: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22,916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$1,480,603</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09/12/2023</w:t>
            </w: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30,877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$1,994,963</w:t>
            </w:r>
          </w:p>
        </w:tc>
      </w:tr>
    </w:tbl>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(1)All of the options were granted with a per share exercise price equal to the fair market value of one share of our common stock on the date of grant, as determined in good faith by our Board of Directors or Compensation Committee.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(2)6.25% of the shares subject to the award will vest in 16 equal quarterly installments after the grant date, subject to the NEO's continuous service with us as of each such vesting date.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(3)100% of the shares subject to the award will vest on the one-year anniversary of the grant date, subject to the NEO's continuous service with us as of such vesting date.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(4)8.33% of the shares vest subject to the award will vest in 12 equal quarterly installments, subject to the NEO's continuous service with us through each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09295"/>
                <wp:effectExtent l="0" t="0" r="0" b="0"/>
                <wp:wrapNone/>
                <wp:docPr id="51" name="Frame5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(5)One-fourth of the shares subject to the award will vest on the one-year anniversary of the grant date and the remaining shares subject to the award vest in 12 equal quarterly installments measured thereafter, subject to the NEO’s continuous service with us as of each such vesting date.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(6)12.5% of the shares subject to the award will vest in 8 equal quarterly installments after the grant date, subject to the NEO’s continuous service with us as of each such vesting date.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(7)25% of the shares subject to the award will vest in 4 equal quarterly installments after the grant date, subject to the NEO's continuous service with us as of each such vesting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Option Exercises and Stock Vested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for the fiscal year ended January 31, 2024, certain information regarding option exercises and stock vested during the last fiscal year with respect to our named executive officers: </w:t>
      </w:r>
    </w:p>
    <w:tbl>
      <w:tblPr>
        <w:tblW w:w="8331" w:type="dxa"/>
        <w:jc w:val="center"/>
        <w:tblInd w:w="0" w:type="dxa"/>
        <w:tblLayout w:type="fixed"/>
        <w:tblCellMar>
          <w:top w:w="28" w:type="dxa"/>
          <w:left w:w="28" w:type="dxa"/>
          <w:bottom w:w="28" w:type="dxa"/>
          <w:right w:w="28" w:type="dxa"/>
        </w:tblCellMar>
      </w:tblPr>
      <w:tblGrid>
        <w:gridCol w:w="674"/>
        <w:gridCol w:w="589"/>
        <w:gridCol w:w="596"/>
        <w:gridCol w:w="109"/>
        <w:gridCol w:w="109"/>
        <w:gridCol w:w="109"/>
        <w:gridCol w:w="369"/>
        <w:gridCol w:w="367"/>
        <w:gridCol w:w="326"/>
        <w:gridCol w:w="145"/>
        <w:gridCol w:w="145"/>
        <w:gridCol w:w="145"/>
        <w:gridCol w:w="479"/>
        <w:gridCol w:w="482"/>
        <w:gridCol w:w="416"/>
        <w:gridCol w:w="109"/>
        <w:gridCol w:w="109"/>
        <w:gridCol w:w="109"/>
        <w:gridCol w:w="368"/>
        <w:gridCol w:w="368"/>
        <w:gridCol w:w="316"/>
        <w:gridCol w:w="132"/>
        <w:gridCol w:w="132"/>
        <w:gridCol w:w="132"/>
        <w:gridCol w:w="480"/>
        <w:gridCol w:w="481"/>
        <w:gridCol w:w="535"/>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Shares</w:t>
              <w:br/>
              <w:t>Acquired</w:t>
              <w:br/>
              <w:t>on Exercise</w:t>
              <w:br/>
              <w:t>(#)</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Value Realized</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on Exercise</w:t>
            </w:r>
          </w:p>
          <w:p>
            <w:pPr>
              <w:pStyle w:val="TableContents"/>
              <w:bidi w:val="0"/>
              <w:spacing w:lineRule="auto" w:line="276"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Shares</w:t>
              <w:br/>
              <w:t>Acquired</w:t>
              <w:br/>
              <w:t>on Vesting</w:t>
              <w:b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Value Realized</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on Vesting</w:t>
            </w:r>
          </w:p>
          <w:p>
            <w:pPr>
              <w:pStyle w:val="TableContents"/>
              <w:bidi w:val="0"/>
              <w:spacing w:lineRule="auto" w:line="276"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(2)</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93,750 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5,879,962 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15,033,320 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171,519 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11,464,112 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109,901 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7,455,064 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8,361,869 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10,417,766 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value realized on exercise is based on the difference between the closing price of our Class A common stock on the date of exercise and the applicable exercise price of those options, and does not represent actual amounts received by our NEOs as a result of the option exercises.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value realized on vesting is determined by multiplying the number of vested RSUs by the closing price of our Class A common stock on the vesting date. The value realized on vesting does not reflect the actual value received by each NEO because a portion of the shares reflected in the table above were sold to satisfy the NEO’s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Employment, Severance and Change in Control Agreements</w:t>
      </w:r>
    </w:p>
    <w:p>
      <w:pPr>
        <w:pStyle w:val="TextBody"/>
        <w:bidi w:val="0"/>
        <w:spacing w:lineRule="auto" w:line="276"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We have entered into offer letters with each of our named executive officers. In December 2018, we entered into a confirmatory offer letter with each of Mr. Yuan, Ms. Steckelberg, and Ms. Bawa. We entered into an offer letter with Mr. Sankarlingam in May 2020. The offer letters have no specific term and provide for at-will employment and “double trigger” severance benefits upon an involuntary termination in connection with a change in control, as described below under “Potential Payments upon Termination or Change in Control.”</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We maintain a Severance and Change in Control Plan (the “Severance Plan”) that was adopted in August 2022 and provides severance protection to certain Company employees, including each of our named executive officers. The Severance Plan generally replaces and supersedes the severance and change in control benefits in our named executive officers’ offer letters. The Severance Plan provides that, upon an involuntary termination without cause or resignation for good reason, in each case, within the change-in-control period (3 months prior to, or 12 months following, a change in control), the named executive officer will be entitled to receive, subject to the execution and delivery of an effective release of claims in our favor, (1) a cash payment equal to six months of annual base salary; (2) continued COBRA premium payments for six months following termination; and (3) 100% acceleration of any then-outstanding equity awards. The Severance Plan also provides that upon an involuntary termination without cause or resignation for good reason, in each case, outside of the change in control period, each of our named executive officers will be entitled to 12 months of acceleration of vesting for outstanding and unvested time-based equity awards. The terms “cause,” “good reason” and “change in control” are defined as set forth in the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09295"/>
                <wp:effectExtent l="0" t="0" r="0" b="0"/>
                <wp:wrapNone/>
                <wp:docPr id="52" name="Frame5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lineRule="auto" w:line="276"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Each of our named executive officers is eligible for severance benefits pursuant to the terms of our Severance and Change in Control Plan, as further described above under “Employment Severance and Change in Control Benefits.” In addition, each of our named executive officers hold equity awards that are subject to the terms of the equity incentive plan and award agreement thereunder under which such awards were granted. The following table presents information concerning estimated payments and benefits that would be provided in the circumstances described above for each of the named executive officers serving as of the end of the fiscal year ending January 31, 2024. The payments and benefits set forth below are estimated assuming that the termination or change in control event occurred on the last business day of our fiscal year ending January 31, 2024 using the closing market price of our Class A common stock on that date. Actual payments and benefits could be different if such events were to occur on any other date or at any other price or if any other assumptions are used to estimate potential payments and benefits. </w:t>
      </w:r>
    </w:p>
    <w:tbl>
      <w:tblPr>
        <w:tblW w:w="10832" w:type="dxa"/>
        <w:jc w:val="center"/>
        <w:tblInd w:w="0" w:type="dxa"/>
        <w:tblLayout w:type="fixed"/>
        <w:tblCellMar>
          <w:top w:w="28" w:type="dxa"/>
          <w:left w:w="28" w:type="dxa"/>
          <w:bottom w:w="28" w:type="dxa"/>
          <w:right w:w="28" w:type="dxa"/>
        </w:tblCellMar>
      </w:tblPr>
      <w:tblGrid>
        <w:gridCol w:w="500"/>
        <w:gridCol w:w="353"/>
        <w:gridCol w:w="243"/>
        <w:gridCol w:w="109"/>
        <w:gridCol w:w="109"/>
        <w:gridCol w:w="109"/>
        <w:gridCol w:w="290"/>
        <w:gridCol w:w="290"/>
        <w:gridCol w:w="291"/>
        <w:gridCol w:w="109"/>
        <w:gridCol w:w="109"/>
        <w:gridCol w:w="109"/>
        <w:gridCol w:w="445"/>
        <w:gridCol w:w="445"/>
        <w:gridCol w:w="446"/>
        <w:gridCol w:w="109"/>
        <w:gridCol w:w="109"/>
        <w:gridCol w:w="109"/>
        <w:gridCol w:w="350"/>
        <w:gridCol w:w="350"/>
        <w:gridCol w:w="351"/>
        <w:gridCol w:w="109"/>
        <w:gridCol w:w="109"/>
        <w:gridCol w:w="109"/>
        <w:gridCol w:w="453"/>
        <w:gridCol w:w="267"/>
        <w:gridCol w:w="196"/>
        <w:gridCol w:w="109"/>
        <w:gridCol w:w="109"/>
        <w:gridCol w:w="109"/>
        <w:gridCol w:w="355"/>
        <w:gridCol w:w="355"/>
        <w:gridCol w:w="356"/>
        <w:gridCol w:w="109"/>
        <w:gridCol w:w="109"/>
        <w:gridCol w:w="109"/>
        <w:gridCol w:w="370"/>
        <w:gridCol w:w="370"/>
        <w:gridCol w:w="371"/>
        <w:gridCol w:w="109"/>
        <w:gridCol w:w="109"/>
        <w:gridCol w:w="109"/>
        <w:gridCol w:w="469"/>
        <w:gridCol w:w="259"/>
        <w:gridCol w:w="368"/>
      </w:tblGrid>
      <w:tr>
        <w:trPr/>
        <w:tc>
          <w:tcPr>
            <w:tcW w:w="5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40" w:before="0" w:after="100"/>
              <w:jc w:val="center"/>
              <w:rPr/>
            </w:pPr>
            <w:r>
              <w:rPr>
                <w:rFonts w:ascii="Times New Roman;sans-serif" w:hAnsi="Times New Roman;sans-serif"/>
                <w:b/>
                <w:color w:val="000000"/>
                <w:sz w:val="18"/>
              </w:rPr>
              <w:t>Involuntary Termination in Connection with a Change in Control</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Involuntary Termination not in Connection with a Change in 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Certain Change in Control Transactions without Termination</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Death or Disability of NEO ($)</w:t>
            </w:r>
            <w:r>
              <w:rPr>
                <w:rFonts w:ascii="Times New Roman;sans-serif" w:hAnsi="Times New Roman;sans-serif"/>
                <w:b/>
                <w:color w:val="000000"/>
                <w:sz w:val="12"/>
              </w:rPr>
              <w:t>(6)</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Cash Severance</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COBRA Premium Reimbursement ($)</w:t>
            </w:r>
            <w:r>
              <w:rPr>
                <w:rFonts w:ascii="Times New Roman;sans-serif" w:hAnsi="Times New Roman;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Equity Acceleration</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Partial Equity Acceleration</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Equity Acceleration</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Equity Acceleration</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(4)</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45,122,913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45,134,802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18,586,036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45,122,913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45,122,913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22,132,866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22,314,645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9,255,835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22,132,866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22,132,866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15,667,020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15,852,755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7,374,198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15,667,020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15,667,020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8,510,558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8,696,293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5,330,842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8,510,558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8,510,558</w:t>
            </w:r>
          </w:p>
        </w:tc>
      </w:tr>
    </w:tbl>
    <w:p>
      <w:pPr>
        <w:pStyle w:val="TextBody"/>
        <w:bidi w:val="0"/>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(1)An “involuntary termination” means a termination without cause or a resignation for good reason and other than due to death or disability. An involuntary termination that occurs three months prior to, or twelve months following a change in control is considered occurring “in connection with” such change in control for purposes of each of the NEO’s severance benefits listed above.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six months of the NEO's annual base salary.</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six months of potential COBRA premiums, which if elected by executive would be paid on their behalf.</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(4)The value of equity acceleration is calculated based on the closing price of $64.61 per share of our Class A common stock as of January 31, 2024, multiplied by the number of unvested RSUs subject to acceleration. All of the unvested outstanding equity awards held by our NEOs as of January 31, 2024 were RSUs.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(5)These benefits represent full equity acceleration of all awards under the terms of the 2019 Plan if, upon a corporate transaction (as defined in the 2019 Plan), the equity awards will terminate and will not be assumed or continued by the successor or acquirer entity or substituted for a similar award of the successor or acquirer entity and the NEOs do not terminate employment prior to such corporate transaction. For a description of the potential vesting acceleration provisions in the 2019 Plan, see “Equity Plans – 2019 Equity Incentive Plan” below.</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(6)These benefits represent full equity acceleration of all RSU awards upon death or disability of a NEO, pursuant to the terms of the RSU agreements provided to NEOs under the 2019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Pay Ratio</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As required by Section 953(b) of the Dodd-Frank Act and Item 402(u) of Regulation S-K, we are providing the following information about the relationship of the annual total compensation of our median employee and the annual total compensation of our CEO.</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Our pay ratio is a reasonable estimate calculated in a manner consistent with SEC rules. The SEC’s regulations for identifying the median employee, calculating annual total compensation and determining the pay ratio allow companies to use different methodologies, exemptions, estimates and assumptions. Therefore, our pay ratio disclosure may not be comparable to that reported by other companies, as other companies not only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9295"/>
                <wp:effectExtent l="0" t="0" r="0" b="0"/>
                <wp:wrapNone/>
                <wp:docPr id="53" name="Frame5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different employee populations and compensation practices but also may utilize different methodologies, exclusions, estimates, and assumptions in calculating their own pay ratios.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To identify the median of the annual total compensation of all our employees, the methodology and the material assumptions, adjustments and estimates that we used were as follows:</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333333"/>
        </w:rPr>
        <w:t>•</w:t>
      </w:r>
      <w:r>
        <w:rPr>
          <w:rFonts w:ascii="Times New Roman;sans-serif" w:hAnsi="Times New Roman;sans-serif"/>
          <w:b w:val="false"/>
          <w:color w:val="333333"/>
          <w:sz w:val="20"/>
        </w:rPr>
        <w:t>We examined the compensation of all of our full-time and part-time employees (other than our CEO) as of November 1, 2023 including individuals employed through a third-party provider. We did not include any independent contractors or contingent workers in our employee population for purposes of this determination.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333333"/>
        </w:rPr>
        <w:t>•</w:t>
      </w:r>
      <w:r>
        <w:rPr>
          <w:rFonts w:ascii="Times New Roman;sans-serif" w:hAnsi="Times New Roman;sans-serif"/>
          <w:b w:val="false"/>
          <w:color w:val="333333"/>
          <w:sz w:val="20"/>
        </w:rPr>
        <w:t>To identify our median employee, we utilized a consistently applied compensation measure consisting of base salary paid, bonus or commission payments made and the grant date fair value, calculated in accordance with ASC 718, of equity awards granted, in each case during the period from February 1, 2023 through November 1, 2023. We selected this compensation measure as it captures the principal forms of compensation delivered to our employees and this information is readily available with respect to our employees.</w:t>
      </w:r>
    </w:p>
    <w:p>
      <w:pPr>
        <w:pStyle w:val="TextBody"/>
        <w:bidi w:val="0"/>
        <w:spacing w:before="0" w:after="0"/>
        <w:jc w:val="both"/>
        <w:rPr/>
      </w:pPr>
      <w:r>
        <w:rPr/>
      </w:r>
    </w:p>
    <w:p>
      <w:pPr>
        <w:pStyle w:val="TextBody"/>
        <w:bidi w:val="0"/>
        <w:spacing w:lineRule="auto" w:line="276" w:before="0" w:after="0"/>
        <w:ind w:left="0" w:right="0" w:hanging="360"/>
        <w:jc w:val="both"/>
        <w:rPr/>
      </w:pPr>
      <w:r>
        <w:rPr>
          <w:color w:val="333333"/>
        </w:rPr>
        <w:t>•</w:t>
      </w:r>
      <w:r>
        <w:rPr>
          <w:rFonts w:ascii="Times New Roman;sans-serif" w:hAnsi="Times New Roman;sans-serif"/>
          <w:b w:val="false"/>
          <w:color w:val="333333"/>
          <w:sz w:val="20"/>
        </w:rPr>
        <w:t>We annualized the base salary and commission payments for employees who were employed for less than the full fiscal year and then pro-rated these amounts to reflect the period from February 1, 2023 through November 1, 2023.</w:t>
      </w:r>
    </w:p>
    <w:p>
      <w:pPr>
        <w:pStyle w:val="TextBody"/>
        <w:bidi w:val="0"/>
        <w:spacing w:before="0" w:after="0"/>
        <w:jc w:val="both"/>
        <w:rPr/>
      </w:pPr>
      <w:r>
        <w:rPr/>
      </w:r>
    </w:p>
    <w:p>
      <w:pPr>
        <w:pStyle w:val="TextBody"/>
        <w:bidi w:val="0"/>
        <w:spacing w:lineRule="auto" w:line="276" w:before="0" w:after="0"/>
        <w:ind w:left="0" w:right="0" w:hanging="360"/>
        <w:jc w:val="both"/>
        <w:rPr/>
      </w:pPr>
      <w:r>
        <w:rPr>
          <w:color w:val="333333"/>
        </w:rPr>
        <w:t>•</w:t>
      </w:r>
      <w:r>
        <w:rPr>
          <w:rFonts w:ascii="Times New Roman;sans-serif" w:hAnsi="Times New Roman;sans-serif"/>
          <w:b w:val="false"/>
          <w:color w:val="333333"/>
          <w:sz w:val="20"/>
        </w:rPr>
        <w:t>For employees paid other than in U.S. dollars, we converted their compensation to U.S. dollars using foreign exchange rates in effect as of November 1, 2023. We did not make any cost-of-living adjustments for employees outside of the United States.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After applying the methodology described above, we determined the identity of our median employee for fiscal 2024 and then calculated that employee’s annual total compensation in accordance with the requirements of Item 402(c)(2)(x) of Regulation S-K.</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As set forth in the Summary Compensation Table, our CEO’s annual total compensation for fiscal 2024 was $28,082,133. The median of the annual total compensation of all of our employees (except for our CEO) for fiscal 2024 was $238,500, resulting in a CEO to median employee pay ratio of approximately 118:1.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402(v) Pay Versus Performance</w:t>
      </w:r>
    </w:p>
    <w:p>
      <w:pPr>
        <w:pStyle w:val="TextBody"/>
        <w:bidi w:val="0"/>
        <w:spacing w:before="0" w:after="0"/>
        <w:jc w:val="both"/>
        <w:rPr/>
      </w:pPr>
      <w:r>
        <w:rPr/>
      </w:r>
    </w:p>
    <w:p>
      <w:pPr>
        <w:pStyle w:val="TextBody"/>
        <w:bidi w:val="0"/>
        <w:spacing w:lineRule="auto" w:line="266" w:before="0" w:after="0"/>
        <w:ind w:left="0" w:right="0" w:firstLine="720"/>
        <w:jc w:val="both"/>
        <w:rPr/>
      </w:pPr>
      <w:r>
        <w:rPr>
          <w:rFonts w:ascii="Times New Roman;sans-serif" w:hAnsi="Times New Roman;sans-serif"/>
          <w:b w:val="false"/>
          <w:color w:val="333333"/>
          <w:sz w:val="20"/>
        </w:rPr>
        <w:t>The disclosure included in this section is prescribed by SEC rules and does not necessarily align with how we or our Compensation Committee view the link between our performance and our named executive officers’ pay.</w:t>
      </w:r>
      <w:r>
        <w:rPr>
          <w:color w:val="333333"/>
        </w:rPr>
        <w:t xml:space="preserve"> </w:t>
      </w:r>
      <w:r>
        <w:rPr>
          <w:rFonts w:ascii="Times New Roman;sans-serif" w:hAnsi="Times New Roman;sans-serif"/>
          <w:b w:val="false"/>
          <w:color w:val="333333"/>
          <w:sz w:val="20"/>
        </w:rPr>
        <w:t>For additional information about our pay-for-performance philosophy and how we align executive compensation with Company performance, refer to the “Compensation Discussion and Analysis” section beginning on page 28.</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ans-serif" w:hAnsi="Times New Roman;sans-serif"/>
          <w:b/>
          <w:i/>
          <w:color w:val="333333"/>
          <w:sz w:val="20"/>
        </w:rPr>
      </w:pPr>
      <w:r>
        <w:rPr>
          <w:rFonts w:ascii="Times New Roman;sans-serif" w:hAnsi="Times New Roman;sans-serif"/>
          <w:b/>
          <w:i/>
          <w:color w:val="333333"/>
          <w:sz w:val="20"/>
        </w:rPr>
        <w:t>Required Tabular Disclosure of Pay Versus Performance</w:t>
      </w:r>
    </w:p>
    <w:p>
      <w:pPr>
        <w:pStyle w:val="TextBody"/>
        <w:bidi w:val="0"/>
        <w:spacing w:before="0" w:after="0"/>
        <w:ind w:left="0" w:right="0" w:firstLine="720"/>
        <w:jc w:val="left"/>
        <w:rPr/>
      </w:pPr>
      <w:r>
        <w:rPr/>
      </w:r>
    </w:p>
    <w:p>
      <w:pPr>
        <w:pStyle w:val="TextBody"/>
        <w:bidi w:val="0"/>
        <w:spacing w:lineRule="auto" w:line="266" w:before="0" w:after="0"/>
        <w:ind w:left="0" w:right="0" w:firstLine="720"/>
        <w:jc w:val="both"/>
        <w:rPr/>
      </w:pPr>
      <w:r>
        <w:rPr>
          <w:rFonts w:ascii="Times New Roman;sans-serif" w:hAnsi="Times New Roman;sans-serif"/>
          <w:b w:val="false"/>
          <w:color w:val="333333"/>
          <w:sz w:val="20"/>
        </w:rPr>
        <w:t>The amounts set forth below under the headings “Compensation Actually Paid to PEO” and “Average Compensation Actually Paid to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r>
        <w:rPr>
          <w:color w:val="333333"/>
        </w:rPr>
        <w:t xml:space="preser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09295"/>
                <wp:effectExtent l="0" t="0" r="0" b="0"/>
                <wp:wrapNone/>
                <wp:docPr id="54" name="Frame5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1385"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415"/>
        <w:gridCol w:w="415"/>
        <w:gridCol w:w="161"/>
        <w:gridCol w:w="109"/>
        <w:gridCol w:w="109"/>
        <w:gridCol w:w="109"/>
        <w:gridCol w:w="415"/>
        <w:gridCol w:w="415"/>
        <w:gridCol w:w="161"/>
        <w:gridCol w:w="109"/>
        <w:gridCol w:w="109"/>
        <w:gridCol w:w="109"/>
        <w:gridCol w:w="365"/>
        <w:gridCol w:w="275"/>
        <w:gridCol w:w="276"/>
        <w:gridCol w:w="109"/>
        <w:gridCol w:w="109"/>
        <w:gridCol w:w="109"/>
        <w:gridCol w:w="224"/>
        <w:gridCol w:w="224"/>
        <w:gridCol w:w="31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Summary Compensation Table for PEO</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Compensation Actually Paid to PEO</w:t>
            </w:r>
            <w:r>
              <w:rPr>
                <w:rFonts w:ascii="Times New Roman;sans-serif" w:hAnsi="Times New Roman;sans-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Average Summary Compensation Table Total for non-PEO NEOs</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Average Compensation Actually Paid to non-PEO NEOs</w:t>
            </w:r>
            <w:r>
              <w:rPr>
                <w:rFonts w:ascii="Times New Roman;sans-serif" w:hAnsi="Times New Roman;sans-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Value of Initial Fixed $100 Investment Based 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Total Shareholder Return</w:t>
            </w:r>
            <w:r>
              <w:rPr>
                <w:rFonts w:ascii="Times New Roman;sans-serif" w:hAnsi="Times New Roman;sans-serif"/>
                <w:b/>
                <w:color w:val="000000"/>
                <w:sz w:val="10"/>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Peer Group Total Shareholder Return</w:t>
            </w:r>
            <w:r>
              <w:rPr>
                <w:rFonts w:ascii="Times New Roman;sans-serif" w:hAnsi="Times New Roman;sans-serif"/>
                <w:b/>
                <w:color w:val="000000"/>
                <w:sz w:val="10"/>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Net Income </w:t>
            </w:r>
            <w:r>
              <w:rPr>
                <w:rFonts w:ascii="Times New Roman;sans-serif" w:hAnsi="Times New Roman;sans-serif"/>
                <w:b/>
                <w:color w:val="000000"/>
                <w:sz w:val="10"/>
              </w:rPr>
              <w:t>(6)</w:t>
            </w:r>
            <w:r>
              <w:rPr>
                <w:color w:val="000000"/>
              </w:rPr>
              <w:t xml:space="preserve">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(in millions)</w:t>
            </w:r>
            <w:r>
              <w:rPr>
                <w:rFonts w:ascii="Times New Roman;sans-serif" w:hAnsi="Times New Roman;sans-serif"/>
                <w:b/>
                <w:color w:val="000000"/>
                <w:sz w:val="10"/>
              </w:rPr>
              <w:t>(7)</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$28,082,133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$21,165,565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$11,660,924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$8,969,101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$637,462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$4,527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$75,959,683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$43,840,026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$32,519,158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$20,324,162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$4,393</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$1,115,089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($26,702,869)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($19,780,384)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$1,375,639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$89,602,053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$10,281,937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$78,892,651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$672,316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$2,651</w:t>
            </w:r>
          </w:p>
        </w:tc>
      </w:tr>
    </w:tbl>
    <w:p>
      <w:pPr>
        <w:pStyle w:val="TextBody"/>
        <w:bidi w:val="0"/>
        <w:spacing w:lineRule="auto" w:line="276" w:before="0" w:after="0"/>
        <w:ind w:left="0" w:right="0" w:hanging="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w:t>
      </w:r>
    </w:p>
    <w:p>
      <w:pPr>
        <w:pStyle w:val="TextBody"/>
        <w:bidi w:val="0"/>
        <w:spacing w:lineRule="auto" w:line="266" w:before="0" w:after="0"/>
        <w:ind w:left="0" w:right="0" w:hanging="360"/>
        <w:jc w:val="both"/>
        <w:rPr/>
      </w:pPr>
      <w:r>
        <w:rPr>
          <w:rFonts w:ascii="Times New Roman;sans-serif" w:hAnsi="Times New Roman;sans-serif"/>
          <w:b w:val="false"/>
          <w:color w:val="333333"/>
          <w:sz w:val="18"/>
        </w:rPr>
        <w:t>(1)</w:t>
      </w:r>
      <w:r>
        <w:rPr>
          <w:color w:val="333333"/>
        </w:rPr>
        <w:t>    </w:t>
      </w:r>
      <w:r>
        <w:rPr>
          <w:rFonts w:ascii="Times New Roman;sans-serif" w:hAnsi="Times New Roman;sans-serif"/>
          <w:b w:val="false"/>
          <w:color w:val="333333"/>
          <w:sz w:val="20"/>
        </w:rPr>
        <w:t xml:space="preserve">The following individuals are our PEO and other non-PEO NEOs for each fiscal year: </w:t>
      </w:r>
    </w:p>
    <w:p>
      <w:pPr>
        <w:pStyle w:val="TextBody"/>
        <w:bidi w:val="0"/>
        <w:spacing w:before="0" w:after="0"/>
        <w:ind w:left="0" w:right="0" w:hanging="360"/>
        <w:jc w:val="both"/>
        <w:rPr/>
      </w:pPr>
      <w:r>
        <w:rPr/>
      </w:r>
    </w:p>
    <w:tbl>
      <w:tblPr>
        <w:tblW w:w="8947" w:type="dxa"/>
        <w:jc w:val="center"/>
        <w:tblInd w:w="0" w:type="dxa"/>
        <w:tblLayout w:type="fixed"/>
        <w:tblCellMar>
          <w:top w:w="28" w:type="dxa"/>
          <w:left w:w="28" w:type="dxa"/>
          <w:bottom w:w="28" w:type="dxa"/>
          <w:right w:w="28" w:type="dxa"/>
        </w:tblCellMar>
      </w:tblPr>
      <w:tblGrid>
        <w:gridCol w:w="368"/>
        <w:gridCol w:w="324"/>
        <w:gridCol w:w="327"/>
        <w:gridCol w:w="109"/>
        <w:gridCol w:w="109"/>
        <w:gridCol w:w="109"/>
        <w:gridCol w:w="367"/>
        <w:gridCol w:w="367"/>
        <w:gridCol w:w="375"/>
        <w:gridCol w:w="109"/>
        <w:gridCol w:w="109"/>
        <w:gridCol w:w="109"/>
        <w:gridCol w:w="1804"/>
        <w:gridCol w:w="1804"/>
        <w:gridCol w:w="2557"/>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Non-PEO NEOs</w:t>
            </w:r>
          </w:p>
        </w:tc>
      </w:tr>
      <w:tr>
        <w:trPr/>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 Aparna Bawa and Velchamy Sankarlingam</w:t>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 Aparna Bawa, Velchamy Sankarlingam and Greg Tomb</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 Ryan Azus, Aparna Bawa and Janine Pelosi</w:t>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 Ryan Azus, Aparna Bawa and Velchamy Sankarlingam</w:t>
            </w:r>
          </w:p>
        </w:tc>
      </w:tr>
    </w:tbl>
    <w:p>
      <w:pPr>
        <w:pStyle w:val="TextBody"/>
        <w:bidi w:val="0"/>
        <w:spacing w:lineRule="auto" w:line="266" w:before="0" w:after="0"/>
        <w:ind w:left="0" w:right="0" w:hanging="360"/>
        <w:jc w:val="both"/>
        <w:rPr>
          <w:rFonts w:ascii="Times New Roman;sans-serif" w:hAnsi="Times New Roman;sans-serif"/>
          <w:b w:val="false"/>
          <w:color w:val="333333"/>
          <w:sz w:val="18"/>
        </w:rPr>
      </w:pPr>
      <w:r>
        <w:rPr>
          <w:rFonts w:ascii="Times New Roman;sans-serif" w:hAnsi="Times New Roman;sans-serif"/>
          <w:b w:val="false"/>
          <w:color w:val="333333"/>
          <w:sz w:val="18"/>
        </w:rPr>
        <w:t>(2)     Represents the amount of total compensation reported for Mr. Yuan (our PEO) and the average total compensation for our non-PEO NEOs for each corresponding year in the “Total” column of the Summary Compensation Table. Refer to “Summary Compensation table for Fiscal Year 2024.”</w:t>
      </w:r>
    </w:p>
    <w:p>
      <w:pPr>
        <w:pStyle w:val="TextBody"/>
        <w:bidi w:val="0"/>
        <w:spacing w:lineRule="auto" w:line="266" w:before="0" w:after="0"/>
        <w:ind w:left="0" w:right="0" w:hanging="360"/>
        <w:jc w:val="both"/>
        <w:rPr>
          <w:rFonts w:ascii="Times New Roman;sans-serif" w:hAnsi="Times New Roman;sans-serif"/>
          <w:b w:val="false"/>
          <w:color w:val="333333"/>
          <w:sz w:val="18"/>
        </w:rPr>
      </w:pPr>
      <w:r>
        <w:rPr>
          <w:rFonts w:ascii="Times New Roman;sans-serif" w:hAnsi="Times New Roman;sans-serif"/>
          <w:b w:val="false"/>
          <w:color w:val="333333"/>
          <w:sz w:val="18"/>
        </w:rPr>
        <w:t>(3)    Represents the amount of CAP for Mr. Yuan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NEOs' total compensation for fiscal 2024 as reported in the Summary Compensation Table to determine the CAP:</w:t>
      </w:r>
    </w:p>
    <w:p>
      <w:pPr>
        <w:pStyle w:val="TextBody"/>
        <w:bidi w:val="0"/>
        <w:spacing w:before="0" w:after="0"/>
        <w:ind w:left="0" w:right="0" w:hanging="360"/>
        <w:jc w:val="both"/>
        <w:rPr/>
      </w:pPr>
      <w:r>
        <w:rPr/>
      </w:r>
    </w:p>
    <w:tbl>
      <w:tblPr>
        <w:tblW w:w="12360" w:type="dxa"/>
        <w:jc w:val="center"/>
        <w:tblInd w:w="0" w:type="dxa"/>
        <w:tblLayout w:type="fixed"/>
        <w:tblCellMar>
          <w:top w:w="28" w:type="dxa"/>
          <w:left w:w="28" w:type="dxa"/>
          <w:bottom w:w="28" w:type="dxa"/>
          <w:right w:w="28" w:type="dxa"/>
        </w:tblCellMar>
      </w:tblPr>
      <w:tblGrid>
        <w:gridCol w:w="228"/>
        <w:gridCol w:w="201"/>
        <w:gridCol w:w="202"/>
        <w:gridCol w:w="109"/>
        <w:gridCol w:w="109"/>
        <w:gridCol w:w="109"/>
        <w:gridCol w:w="289"/>
        <w:gridCol w:w="289"/>
        <w:gridCol w:w="293"/>
        <w:gridCol w:w="109"/>
        <w:gridCol w:w="109"/>
        <w:gridCol w:w="109"/>
        <w:gridCol w:w="440"/>
        <w:gridCol w:w="440"/>
        <w:gridCol w:w="441"/>
        <w:gridCol w:w="109"/>
        <w:gridCol w:w="109"/>
        <w:gridCol w:w="109"/>
        <w:gridCol w:w="440"/>
        <w:gridCol w:w="440"/>
        <w:gridCol w:w="441"/>
        <w:gridCol w:w="109"/>
        <w:gridCol w:w="109"/>
        <w:gridCol w:w="109"/>
        <w:gridCol w:w="460"/>
        <w:gridCol w:w="340"/>
        <w:gridCol w:w="341"/>
        <w:gridCol w:w="109"/>
        <w:gridCol w:w="109"/>
        <w:gridCol w:w="109"/>
        <w:gridCol w:w="380"/>
        <w:gridCol w:w="380"/>
        <w:gridCol w:w="381"/>
        <w:gridCol w:w="109"/>
        <w:gridCol w:w="109"/>
        <w:gridCol w:w="109"/>
        <w:gridCol w:w="355"/>
        <w:gridCol w:w="340"/>
        <w:gridCol w:w="341"/>
        <w:gridCol w:w="109"/>
        <w:gridCol w:w="109"/>
        <w:gridCol w:w="109"/>
        <w:gridCol w:w="415"/>
        <w:gridCol w:w="340"/>
        <w:gridCol w:w="341"/>
        <w:gridCol w:w="109"/>
        <w:gridCol w:w="109"/>
        <w:gridCol w:w="109"/>
        <w:gridCol w:w="346"/>
        <w:gridCol w:w="346"/>
        <w:gridCol w:w="49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 Total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Deduct: Grant Date Fair Value of the “Stock Awards” and “Option Awards” Columns in the Summary Compensation Table for Applicable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Add: Fair Value at Applicable FY End of Awards Granted During Applicable FY that Remain Unvested as of Applicable FY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Add: Change in Fair Value from the end of the Prior FY to the end of the Applicable FY of Awards Granted during Prior FY that were Outstanding and Unvested as of Applicable FY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Add: Vesting Date Fair Value of Awards Granted During Prior FY that Vested During Applicable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Add: Change in Fair Value as of Vesting Date of Awards Granted in Prior FYs for which Applicable Vesting Conditions Were Satisfied During Applicable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CAP</w:t>
            </w:r>
          </w:p>
        </w:tc>
      </w:tr>
      <w:tr>
        <w:trPr/>
        <w:tc>
          <w:tcPr>
            <w:tcW w:w="63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$28,082,133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$26,246,026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$20,389,430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$(3,977,417)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$4,039,194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$(1,121,749)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$21,165,565</w:t>
            </w:r>
          </w:p>
        </w:tc>
      </w:tr>
      <w:tr>
        <w:trPr/>
        <w:tc>
          <w:tcPr>
            <w:tcW w:w="63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$11,660,924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$11,266,988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$7,198,351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$(1,324,836)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$3,237,103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$8,969,101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09295"/>
                <wp:effectExtent l="0" t="0" r="0" b="0"/>
                <wp:wrapNone/>
                <wp:docPr id="55" name="Frame5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6" w:before="0" w:after="0"/>
        <w:jc w:val="both"/>
        <w:rPr>
          <w:rFonts w:ascii="Times New Roman;sans-serif" w:hAnsi="Times New Roman;sans-serif"/>
          <w:b w:val="false"/>
          <w:color w:val="333333"/>
          <w:sz w:val="18"/>
        </w:rPr>
      </w:pPr>
      <w:r>
        <w:rPr>
          <w:rFonts w:ascii="Times New Roman;sans-serif" w:hAnsi="Times New Roman;sans-serif"/>
          <w:b w:val="false"/>
          <w:color w:val="333333"/>
          <w:sz w:val="18"/>
        </w:rPr>
        <w:t>*The valuation assumptions used to calculate fair values did not materially differ from those disclosed at the time of grant.</w:t>
      </w:r>
    </w:p>
    <w:p>
      <w:pPr>
        <w:pStyle w:val="TextBody"/>
        <w:bidi w:val="0"/>
        <w:spacing w:before="0" w:after="0"/>
        <w:ind w:left="0" w:right="0" w:firstLine="720"/>
        <w:jc w:val="left"/>
        <w:rPr/>
      </w:pPr>
      <w:r>
        <w:rPr/>
      </w:r>
    </w:p>
    <w:p>
      <w:pPr>
        <w:pStyle w:val="TextBody"/>
        <w:bidi w:val="0"/>
        <w:spacing w:lineRule="auto" w:line="266" w:before="0" w:after="0"/>
        <w:ind w:left="0" w:right="0" w:hanging="360"/>
        <w:jc w:val="both"/>
        <w:rPr>
          <w:rFonts w:ascii="Times New Roman;sans-serif" w:hAnsi="Times New Roman;sans-serif"/>
          <w:b w:val="false"/>
          <w:color w:val="333333"/>
          <w:sz w:val="18"/>
        </w:rPr>
      </w:pPr>
      <w:r>
        <w:rPr>
          <w:rFonts w:ascii="Times New Roman;sans-serif" w:hAnsi="Times New Roman;sans-serif"/>
          <w:b w:val="false"/>
          <w:color w:val="333333"/>
          <w:sz w:val="18"/>
        </w:rPr>
        <w:t>(4)    Total shareholder return (“TSR”) is determined based on the value of an initial fixed investment of $100 on January 31, 2020. Cumulative TSR is calculated by dividing the sum of the cumulative amount of dividends for the measurement period, assuming dividend reinvestment, and the difference between our stock price at the end and the beginning of the measurement period by our share price at the beginning of the measurement period.</w:t>
      </w:r>
    </w:p>
    <w:p>
      <w:pPr>
        <w:pStyle w:val="TextBody"/>
        <w:bidi w:val="0"/>
        <w:spacing w:lineRule="auto" w:line="266" w:before="0" w:after="0"/>
        <w:ind w:left="0" w:right="0" w:hanging="360"/>
        <w:jc w:val="left"/>
        <w:rPr>
          <w:rFonts w:ascii="Times New Roman;sans-serif" w:hAnsi="Times New Roman;sans-serif"/>
          <w:b w:val="false"/>
          <w:color w:val="333333"/>
          <w:sz w:val="18"/>
        </w:rPr>
      </w:pPr>
      <w:r>
        <w:rPr>
          <w:rFonts w:ascii="Times New Roman;sans-serif" w:hAnsi="Times New Roman;sans-serif"/>
          <w:b w:val="false"/>
          <w:color w:val="333333"/>
          <w:sz w:val="18"/>
        </w:rPr>
        <w:t>(5)    Represents the weighted peer group cumulative TSR, weighted according to the respective companies’ stock market capitalization at the beginning of each period for which a return is indicated. As permitted by SEC rules, the peer group used for this purpose is the group of companies included in the NASDAQ Computer Index, which is the industry peer group used in our Annual Report on Form 10-K pursuant to Item 201(e) of Regulation S-K for the fiscal year ended January 31, 2024. The separate peer group used by the Compensation Committee as a reference point in determining compensation arrangements with our executive officers is described on page 34.</w:t>
      </w:r>
    </w:p>
    <w:p>
      <w:pPr>
        <w:pStyle w:val="TextBody"/>
        <w:bidi w:val="0"/>
        <w:spacing w:lineRule="auto" w:line="266" w:before="0" w:after="0"/>
        <w:ind w:left="0" w:right="0" w:hanging="360"/>
        <w:jc w:val="both"/>
        <w:rPr/>
      </w:pPr>
      <w:r>
        <w:rPr>
          <w:rFonts w:ascii="Times New Roman;sans-serif" w:hAnsi="Times New Roman;sans-serif"/>
          <w:b w:val="false"/>
          <w:color w:val="333333"/>
          <w:sz w:val="18"/>
        </w:rPr>
        <w:t xml:space="preserve">(6)    Net income attributable to Zoom as reported in our consolidated financial statements included in our Annual Report on Form 10-K </w:t>
      </w:r>
      <w:r>
        <w:rPr>
          <w:rFonts w:ascii="Times New Roman;sans-serif" w:hAnsi="Times New Roman;sans-serif"/>
          <w:b w:val="false"/>
          <w:color w:val="000000"/>
          <w:sz w:val="18"/>
        </w:rPr>
        <w:t>for the fiscal year ended January 31, 2024</w:t>
      </w:r>
      <w:r>
        <w:rPr>
          <w:rFonts w:ascii="Times New Roman;sans-serif" w:hAnsi="Times New Roman;sans-serif"/>
          <w:b w:val="false"/>
          <w:color w:val="333333"/>
          <w:sz w:val="18"/>
        </w:rPr>
        <w:t>.</w:t>
      </w:r>
    </w:p>
    <w:p>
      <w:pPr>
        <w:pStyle w:val="TextBody"/>
        <w:bidi w:val="0"/>
        <w:spacing w:lineRule="auto" w:line="266" w:before="0" w:after="0"/>
        <w:ind w:left="0" w:right="0" w:hanging="360"/>
        <w:jc w:val="both"/>
        <w:rPr/>
      </w:pPr>
      <w:r>
        <w:rPr>
          <w:rFonts w:ascii="Times New Roman;sans-serif" w:hAnsi="Times New Roman;sans-serif"/>
          <w:b w:val="false"/>
          <w:color w:val="333333"/>
          <w:sz w:val="18"/>
        </w:rPr>
        <w:t>(7)    </w:t>
      </w:r>
      <w:r>
        <w:rPr>
          <w:rFonts w:ascii="Times New Roman;sans-serif" w:hAnsi="Times New Roman;sans-serif"/>
          <w:b w:val="false"/>
          <w:color w:val="333333"/>
          <w:sz w:val="20"/>
        </w:rPr>
        <w:t xml:space="preserve">As required by Item 402(v) of Regulation S-K, we have determined that Revenue is the Company-Selected Measure. Revenue is one component of our annual performance bonus program in which named executive officers our NEOs participate and is further described in the “Compensation Discussion and Analysis” section above. We may determine a different financial performance measure to be the most important financial performance measure in future years. Our stock price may have a more prominent impact on our CAP year-over-year than Revenue. As further described in CD&amp;A, our executive compensation program is heavily weighted towards equity-based compensation which vests over time based on our executive officers’ continued service and delivers value directly aligned with our stock price. </w:t>
      </w:r>
    </w:p>
    <w:p>
      <w:pPr>
        <w:pStyle w:val="TextBody"/>
        <w:bidi w:val="0"/>
        <w:spacing w:before="0" w:after="0"/>
        <w:jc w:val="left"/>
        <w:rPr/>
      </w:pPr>
      <w:r>
        <w:rPr/>
      </w:r>
    </w:p>
    <w:p>
      <w:pPr>
        <w:pStyle w:val="TextBody"/>
        <w:bidi w:val="0"/>
        <w:spacing w:lineRule="auto" w:line="266" w:before="0" w:after="0"/>
        <w:jc w:val="left"/>
        <w:rPr>
          <w:rFonts w:ascii="Times New Roman;sans-serif" w:hAnsi="Times New Roman;sans-serif"/>
          <w:b/>
          <w:i/>
          <w:color w:val="333333"/>
          <w:sz w:val="20"/>
        </w:rPr>
      </w:pPr>
      <w:r>
        <w:rPr>
          <w:rFonts w:ascii="Times New Roman;sans-serif" w:hAnsi="Times New Roman;sans-serif"/>
          <w:b/>
          <w:i/>
          <w:color w:val="333333"/>
          <w:sz w:val="20"/>
        </w:rPr>
        <w:t>Required Tabular Disclosure of Most Important Measures</w:t>
      </w:r>
    </w:p>
    <w:p>
      <w:pPr>
        <w:pStyle w:val="TextBody"/>
        <w:bidi w:val="0"/>
        <w:spacing w:before="0" w:after="0"/>
        <w:jc w:val="left"/>
        <w:rPr/>
      </w:pPr>
      <w:r>
        <w:rPr/>
      </w:r>
    </w:p>
    <w:p>
      <w:pPr>
        <w:pStyle w:val="TextBody"/>
        <w:bidi w:val="0"/>
        <w:spacing w:lineRule="auto" w:line="266" w:before="0" w:after="0"/>
        <w:ind w:left="0" w:right="0" w:firstLine="720"/>
        <w:jc w:val="both"/>
        <w:rPr/>
      </w:pPr>
      <w:r>
        <w:rPr>
          <w:rFonts w:ascii="Times New Roman;sans-serif" w:hAnsi="Times New Roman;sans-serif"/>
          <w:b w:val="false"/>
          <w:color w:val="333333"/>
          <w:sz w:val="20"/>
        </w:rPr>
        <w:t xml:space="preserve">The most important financial performance measures used by us to link CAP to our </w:t>
      </w:r>
      <w:r>
        <w:rPr>
          <w:rFonts w:ascii="Times New Roman;sans-serif" w:hAnsi="Times New Roman;sans-serif"/>
          <w:b w:val="false"/>
          <w:color w:val="000000"/>
          <w:sz w:val="20"/>
        </w:rPr>
        <w:t xml:space="preserve">named executive officers </w:t>
      </w:r>
      <w:r>
        <w:rPr>
          <w:rFonts w:ascii="Times New Roman;sans-serif" w:hAnsi="Times New Roman;sans-serif"/>
          <w:b w:val="false"/>
          <w:color w:val="333333"/>
          <w:sz w:val="20"/>
        </w:rPr>
        <w:t>for the most recently completed fiscal year to our performance are set forth below. For further information regarding these performance metrics and their function in our executive compensation program, please see “Compensation Discussion and Analysis” beginning on page 28.</w:t>
      </w:r>
    </w:p>
    <w:p>
      <w:pPr>
        <w:pStyle w:val="TextBody"/>
        <w:bidi w:val="0"/>
        <w:spacing w:before="0" w:after="0"/>
        <w:ind w:left="0" w:right="0" w:firstLine="720"/>
        <w:jc w:val="both"/>
        <w:rPr/>
      </w:pPr>
      <w:r>
        <w:rPr/>
      </w:r>
    </w:p>
    <w:p>
      <w:pPr>
        <w:pStyle w:val="TextBody"/>
        <w:bidi w:val="0"/>
        <w:spacing w:lineRule="auto" w:line="266" w:before="0" w:after="0"/>
        <w:ind w:left="0" w:right="0" w:hanging="360"/>
        <w:jc w:val="left"/>
        <w:rPr/>
      </w:pPr>
      <w:r>
        <w:rPr>
          <w:color w:val="333333"/>
        </w:rPr>
        <w:t>•</w:t>
      </w:r>
      <w:r>
        <w:rPr>
          <w:rFonts w:ascii="Times New Roman;sans-serif" w:hAnsi="Times New Roman;sans-serif"/>
          <w:b w:val="false"/>
          <w:color w:val="333333"/>
          <w:sz w:val="20"/>
        </w:rPr>
        <w:t>Revenue</w:t>
      </w:r>
    </w:p>
    <w:p>
      <w:pPr>
        <w:pStyle w:val="TextBody"/>
        <w:bidi w:val="0"/>
        <w:spacing w:before="0" w:after="0"/>
        <w:jc w:val="left"/>
        <w:rPr/>
      </w:pPr>
      <w:r>
        <w:rPr/>
      </w:r>
    </w:p>
    <w:p>
      <w:pPr>
        <w:pStyle w:val="TextBody"/>
        <w:bidi w:val="0"/>
        <w:spacing w:lineRule="auto" w:line="266" w:before="0" w:after="0"/>
        <w:ind w:left="0" w:right="0" w:hanging="360"/>
        <w:jc w:val="left"/>
        <w:rPr/>
      </w:pPr>
      <w:r>
        <w:rPr>
          <w:color w:val="333333"/>
        </w:rPr>
        <w:t>•</w:t>
      </w:r>
      <w:r>
        <w:rPr>
          <w:rFonts w:ascii="Times New Roman;sans-serif" w:hAnsi="Times New Roman;sans-serif"/>
          <w:b w:val="false"/>
          <w:color w:val="333333"/>
          <w:sz w:val="20"/>
        </w:rPr>
        <w:t xml:space="preserve">Non-GAAP Income from Operations </w:t>
      </w:r>
    </w:p>
    <w:p>
      <w:pPr>
        <w:pStyle w:val="TextBody"/>
        <w:bidi w:val="0"/>
        <w:spacing w:before="0" w:after="0"/>
        <w:ind w:left="0" w:right="0" w:firstLine="720"/>
        <w:jc w:val="left"/>
        <w:rPr/>
      </w:pPr>
      <w:r>
        <w:rPr/>
      </w:r>
    </w:p>
    <w:p>
      <w:pPr>
        <w:pStyle w:val="TextBody"/>
        <w:bidi w:val="0"/>
        <w:spacing w:lineRule="auto" w:line="266" w:before="0" w:after="0"/>
        <w:jc w:val="left"/>
        <w:rPr>
          <w:rFonts w:ascii="Times New Roman;sans-serif" w:hAnsi="Times New Roman;sans-serif"/>
          <w:b/>
          <w:i/>
          <w:color w:val="333333"/>
          <w:sz w:val="20"/>
        </w:rPr>
      </w:pPr>
      <w:r>
        <w:rPr>
          <w:rFonts w:ascii="Times New Roman;sans-serif" w:hAnsi="Times New Roman;sans-serif"/>
          <w:b/>
          <w:i/>
          <w:color w:val="333333"/>
          <w:sz w:val="20"/>
        </w:rPr>
        <w:t>Required Disclosure of the Relationship Between CAP and Financial Performance Measures</w:t>
      </w:r>
    </w:p>
    <w:p>
      <w:pPr>
        <w:pStyle w:val="TextBody"/>
        <w:bidi w:val="0"/>
        <w:spacing w:before="0" w:after="0"/>
        <w:jc w:val="left"/>
        <w:rPr/>
      </w:pPr>
      <w:r>
        <w:rPr/>
      </w:r>
    </w:p>
    <w:p>
      <w:pPr>
        <w:pStyle w:val="TextBody"/>
        <w:bidi w:val="0"/>
        <w:spacing w:lineRule="auto" w:line="266" w:before="0" w:after="0"/>
        <w:ind w:left="0" w:right="0" w:firstLine="720"/>
        <w:jc w:val="both"/>
        <w:rPr>
          <w:rFonts w:ascii="Times New Roman;sans-serif" w:hAnsi="Times New Roman;sans-serif"/>
          <w:b w:val="false"/>
          <w:color w:val="333333"/>
          <w:sz w:val="20"/>
        </w:rPr>
      </w:pPr>
      <w:r>
        <w:rPr>
          <w:rFonts w:ascii="Times New Roman;sans-serif" w:hAnsi="Times New Roman;sans-serif"/>
          <w:b w:val="false"/>
          <w:color w:val="333333"/>
          <w:sz w:val="20"/>
        </w:rPr>
        <w:t>As required by Item 402(v) of Regulation S-K, we are providing the following graphs to illustrate the relationship between the pay and performance figures that are included in the pay versus performance tabular disclosure above. In addition, the first graph below shows cumulative TSR and further illustrates the relationship between Company TSR and that of the NASDAQ Computer Index. As noted above, CAP for purposes of the tabular disclosure and the following graphs were calculated in accordance with SEC rules and do not fully represent the actual final amount of compensation earned by or actually paid to our NEOs during the applicable years.</w:t>
      </w:r>
    </w:p>
    <w:p>
      <w:pPr>
        <w:pStyle w:val="TextBody"/>
        <w:bidi w:val="0"/>
        <w:spacing w:before="0" w:after="0"/>
        <w:ind w:left="0" w:right="0" w:firstLine="720"/>
        <w:jc w:val="both"/>
        <w:rPr/>
      </w:pPr>
      <w:r>
        <w:rPr/>
      </w:r>
    </w:p>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9295"/>
                <wp:effectExtent l="0" t="0" r="0" b="0"/>
                <wp:wrapNone/>
                <wp:docPr id="56" name="Frame5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center"/>
        <w:rPr/>
      </w:pPr>
      <w:r>
        <w:rPr/>
        <w:drawing>
          <wp:inline distT="0" distB="0" distL="0" distR="0">
            <wp:extent cx="5210175" cy="3781425"/>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3"/>
                    <a:stretch>
                      <a:fillRect/>
                    </a:stretch>
                  </pic:blipFill>
                  <pic:spPr bwMode="auto">
                    <a:xfrm>
                      <a:off x="0" y="0"/>
                      <a:ext cx="5210175" cy="3781425"/>
                    </a:xfrm>
                    <a:prstGeom prst="rect">
                      <a:avLst/>
                    </a:prstGeom>
                  </pic:spPr>
                </pic:pic>
              </a:graphicData>
            </a:graphic>
          </wp:inline>
        </w:drawing>
      </w:r>
    </w:p>
    <w:p>
      <w:pPr>
        <w:pStyle w:val="TextBody"/>
        <w:bidi w:val="0"/>
        <w:spacing w:before="0" w:after="0"/>
        <w:jc w:val="center"/>
        <w:rPr/>
      </w:pPr>
      <w:r>
        <w:rPr/>
        <w:drawing>
          <wp:inline distT="0" distB="0" distL="0" distR="0">
            <wp:extent cx="5210175" cy="3781425"/>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4"/>
                    <a:stretch>
                      <a:fillRect/>
                    </a:stretch>
                  </pic:blipFill>
                  <pic:spPr bwMode="auto">
                    <a:xfrm>
                      <a:off x="0" y="0"/>
                      <a:ext cx="5210175" cy="37814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09295"/>
                <wp:effectExtent l="0" t="0" r="0" b="0"/>
                <wp:wrapNone/>
                <wp:docPr id="59" name="Frame5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5210175" cy="3781425"/>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5"/>
                    <a:stretch>
                      <a:fillRect/>
                    </a:stretch>
                  </pic:blipFill>
                  <pic:spPr bwMode="auto">
                    <a:xfrm>
                      <a:off x="0" y="0"/>
                      <a:ext cx="5210175" cy="3781425"/>
                    </a:xfrm>
                    <a:prstGeom prst="rect">
                      <a:avLst/>
                    </a:prstGeom>
                  </pic:spPr>
                </pic:pic>
              </a:graphicData>
            </a:graphic>
          </wp:inline>
        </w:drawing>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6" w:before="0" w:after="0"/>
        <w:ind w:left="0" w:right="0" w:firstLine="720"/>
        <w:jc w:val="both"/>
        <w:rPr>
          <w:rFonts w:ascii="Times New Roman;sans-serif" w:hAnsi="Times New Roman;sans-serif"/>
          <w:b w:val="false"/>
          <w:i/>
          <w:color w:val="333333"/>
          <w:sz w:val="18"/>
        </w:rPr>
      </w:pPr>
      <w:r>
        <w:rPr>
          <w:rFonts w:ascii="Times New Roman;sans-serif" w:hAnsi="Times New Roman;sans-serif"/>
          <w:b w:val="false"/>
          <w:i/>
          <w:color w:val="333333"/>
          <w:sz w:val="18"/>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09295"/>
                <wp:effectExtent l="0" t="0" r="0" b="0"/>
                <wp:wrapNone/>
                <wp:docPr id="61" name="Frame5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equity compensation plan information as of January 31, 2024. Information is included for equity compensation plans approved by our stockholders. We do not have any equity compensation plans not approved by our stockholders.</w:t>
      </w:r>
    </w:p>
    <w:tbl>
      <w:tblPr>
        <w:tblW w:w="10205" w:type="dxa"/>
        <w:jc w:val="center"/>
        <w:tblInd w:w="0" w:type="dxa"/>
        <w:tblLayout w:type="fixed"/>
        <w:tblCellMar>
          <w:top w:w="28" w:type="dxa"/>
          <w:left w:w="28" w:type="dxa"/>
          <w:bottom w:w="28" w:type="dxa"/>
          <w:right w:w="28" w:type="dxa"/>
        </w:tblCellMar>
      </w:tblPr>
      <w:tblGrid>
        <w:gridCol w:w="581"/>
        <w:gridCol w:w="511"/>
        <w:gridCol w:w="408"/>
        <w:gridCol w:w="109"/>
        <w:gridCol w:w="109"/>
        <w:gridCol w:w="109"/>
        <w:gridCol w:w="321"/>
        <w:gridCol w:w="321"/>
        <w:gridCol w:w="322"/>
        <w:gridCol w:w="109"/>
        <w:gridCol w:w="109"/>
        <w:gridCol w:w="109"/>
        <w:gridCol w:w="753"/>
        <w:gridCol w:w="621"/>
        <w:gridCol w:w="623"/>
        <w:gridCol w:w="109"/>
        <w:gridCol w:w="109"/>
        <w:gridCol w:w="109"/>
        <w:gridCol w:w="576"/>
        <w:gridCol w:w="576"/>
        <w:gridCol w:w="578"/>
        <w:gridCol w:w="109"/>
        <w:gridCol w:w="109"/>
        <w:gridCol w:w="109"/>
        <w:gridCol w:w="922"/>
        <w:gridCol w:w="733"/>
        <w:gridCol w:w="105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Class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(a) </w:t>
            </w:r>
          </w:p>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(b) </w:t>
            </w:r>
          </w:p>
          <w:p>
            <w:pPr>
              <w:pStyle w:val="TableContents"/>
              <w:bidi w:val="0"/>
              <w:spacing w:lineRule="auto" w:line="288" w:before="0" w:after="100"/>
              <w:jc w:val="center"/>
              <w:rPr/>
            </w:pPr>
            <w:r>
              <w:rPr>
                <w:rFonts w:ascii="Times New Roman;sans-serif" w:hAnsi="Times New Roman;sans-serif"/>
                <w:b/>
                <w:color w:val="000000"/>
                <w:sz w:val="18"/>
              </w:rPr>
              <w:t>Weighted Average Exercise Price of Outstanding Options, Warrants and Rights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(c) </w:t>
            </w:r>
          </w:p>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Under Equity Compensation Plans (Excluding Securities Reflected in Column (a))</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center"/>
              <w:rPr/>
            </w:pPr>
            <w:r>
              <w:rPr>
                <w:rFonts w:ascii="Times New Roman;sans-serif" w:hAnsi="Times New Roman;sans-serif"/>
                <w:b w:val="false"/>
                <w:color w:val="000000"/>
                <w:sz w:val="18"/>
              </w:rPr>
              <w:t>Class A</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149,627 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67,358,243 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center"/>
              <w:rPr/>
            </w:pPr>
            <w:r>
              <w:rPr>
                <w:rFonts w:ascii="Times New Roman;sans-serif" w:hAnsi="Times New Roman;sans-serif"/>
                <w:b w:val="false"/>
                <w:color w:val="000000"/>
                <w:sz w:val="18"/>
              </w:rPr>
              <w:t>Class B</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3,164,601 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Class A and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3,314,228 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67,358,243 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u w:val="single"/>
        </w:rPr>
      </w:pPr>
      <w:r>
        <w:rPr>
          <w:rFonts w:ascii="Arial;sans-serif" w:hAnsi="Arial;sans-serif"/>
          <w:b w:val="false"/>
          <w:color w:val="000000"/>
          <w:sz w:val="16"/>
          <w:u w:val="single"/>
        </w:rPr>
        <w:t>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weighted average exercise price is calculated based solely on outstanding stock options. It does not take into account the shares of our common stock underlying restricted stock units, which have no exercise price.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(2)Includes the following plans: The 2019 Plan and the 2019 Employee Stock Purchase Plan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of Directors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of Directors may determine that such increase will be less than the amount set forth in clauses (i) and (ii). On February 1, 2024, the number of shares of Class A common stock available for issuance under our 2019 Plan and our ESPP increased by 15,377,917 shares and 3,075,583 shares, respectively, pursuant to these provisions. These increases are not reflected in the table above.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(3)Includes the following plan: Fourth Amended and Restated 2011 Global Share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09295"/>
                <wp:effectExtent l="0" t="0" r="0" b="0"/>
                <wp:wrapNone/>
                <wp:docPr id="62" name="Frame5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beneficial ownership of our capital stock as of March 31, 2024, for: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each of our named executive officers;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each of our directors;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all of our executive officers and directors as a group;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each person or group of affiliated persons known by us to beneficially own more than 5% of our Class A or Class B common stock</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percentage ownership of our capital stock on 263,026,356 shares of our Class A common stock and 45,661,141 shares of our Class B common stock outstanding on March 31, 2024. We have deemed shares of our common stock subject to stock options that are currently exercisable or exercisable within 60 days of March 31, 2024 or issuable pursuant to RSUs which are subject to vesting and settlement conditions to occur within 60 days of March 31, 2024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Unless otherwise indicated, the address of each beneficial owner listed below is c/o Zoom Video Communications, Inc., 55 Almaden Boulevard, 6</w:t>
      </w:r>
      <w:r>
        <w:rPr>
          <w:rFonts w:ascii="Times New Roman;sans-serif" w:hAnsi="Times New Roman;sans-serif"/>
          <w:b w:val="false"/>
          <w:color w:val="000000"/>
          <w:sz w:val="13"/>
        </w:rPr>
        <w:t>th</w:t>
      </w:r>
      <w:r>
        <w:rPr>
          <w:color w:val="000000"/>
        </w:rPr>
        <w:t> </w:t>
      </w:r>
      <w:r>
        <w:rPr>
          <w:rFonts w:ascii="Times New Roman;sans-serif" w:hAnsi="Times New Roman;sans-serif"/>
          <w:b w:val="false"/>
          <w:color w:val="000000"/>
          <w:sz w:val="20"/>
        </w:rPr>
        <w:t>Floor, San Jose, California 95113.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09295"/>
                <wp:effectExtent l="0" t="0" r="0" b="0"/>
                <wp:wrapNone/>
                <wp:docPr id="63" name="Frame5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15"/>
        <w:gridCol w:w="874"/>
        <w:gridCol w:w="881"/>
        <w:gridCol w:w="109"/>
        <w:gridCol w:w="109"/>
        <w:gridCol w:w="109"/>
        <w:gridCol w:w="480"/>
        <w:gridCol w:w="481"/>
        <w:gridCol w:w="226"/>
        <w:gridCol w:w="151"/>
        <w:gridCol w:w="151"/>
        <w:gridCol w:w="151"/>
        <w:gridCol w:w="192"/>
        <w:gridCol w:w="188"/>
        <w:gridCol w:w="355"/>
        <w:gridCol w:w="109"/>
        <w:gridCol w:w="109"/>
        <w:gridCol w:w="109"/>
        <w:gridCol w:w="479"/>
        <w:gridCol w:w="482"/>
        <w:gridCol w:w="211"/>
        <w:gridCol w:w="152"/>
        <w:gridCol w:w="152"/>
        <w:gridCol w:w="152"/>
        <w:gridCol w:w="233"/>
        <w:gridCol w:w="233"/>
        <w:gridCol w:w="359"/>
        <w:gridCol w:w="109"/>
        <w:gridCol w:w="109"/>
        <w:gridCol w:w="109"/>
        <w:gridCol w:w="388"/>
        <w:gridCol w:w="298"/>
        <w:gridCol w:w="840"/>
      </w:tblGrid>
      <w:tr>
        <w:trPr/>
        <w:tc>
          <w:tcPr>
            <w:tcW w:w="11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2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10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8"/>
              </w:rPr>
            </w:pPr>
            <w:r>
              <w:rPr>
                <w:rFonts w:ascii="Times New Roman;sans-serif" w:hAnsi="Times New Roman;sans-serif"/>
                <w:b/>
                <w:color w:val="000000"/>
                <w:sz w:val="18"/>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 of Total Voting Power†</w:t>
            </w:r>
          </w:p>
        </w:tc>
      </w:tr>
      <w:tr>
        <w:trPr/>
        <w:tc>
          <w:tcPr>
            <w:tcW w:w="2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i/>
                <w:color w:val="000000"/>
                <w:sz w:val="18"/>
              </w:rPr>
            </w:pPr>
            <w:r>
              <w:rPr>
                <w:rFonts w:ascii="Times New Roman;sans-serif" w:hAnsi="Times New Roman;sans-serif"/>
                <w:b/>
                <w:i/>
                <w:color w:val="000000"/>
                <w:sz w:val="18"/>
              </w:rPr>
              <w:t>5%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 xml:space="preserve">BlackRock, Inc.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14,311,920 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The Vanguard Group</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23,417,394 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Entities affiliated with Emergence Capital Partners</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6,488,825 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Puccini World Limited</w:t>
            </w: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9,406,815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ans-serif" w:hAnsi="Times New Roman;sans-serif"/>
                <w:b/>
                <w:i/>
                <w:color w:val="000000"/>
                <w:sz w:val="18"/>
              </w:rPr>
            </w:pPr>
            <w:r>
              <w:rPr>
                <w:rFonts w:ascii="Times New Roman;sans-serif" w:hAnsi="Times New Roman;sans-serif"/>
                <w:b/>
                <w:i/>
                <w:color w:val="000000"/>
                <w:sz w:val="18"/>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Eric S. Yuan</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firstLine="45"/>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22,527,492 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Peter Gassner</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firstLine="45"/>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1,202,720 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Jonathan Chadwick</w:t>
            </w: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Lieut. Gen. H.R. McMaster</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Janet Napolitano</w:t>
            </w:r>
            <w:r>
              <w:rPr>
                <w:rFonts w:ascii="Times New Roman;sans-serif" w:hAnsi="Times New Roman;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Dan Scheinman</w:t>
            </w:r>
            <w:r>
              <w:rPr>
                <w:rFonts w:ascii="Times New Roman;sans-serif" w:hAnsi="Times New Roman;sans-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Santiago Subotovsky</w:t>
            </w:r>
            <w:r>
              <w:rPr>
                <w:color w:val="000000"/>
              </w:rPr>
              <w:t xml:space="preserve"> </w:t>
            </w:r>
            <w:r>
              <w:rPr>
                <w:rFonts w:ascii="Times New Roman;sans-serif" w:hAnsi="Times New Roman;sans-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6,488,825 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 xml:space="preserve">William McDermott </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Cindy Hoots</w:t>
            </w:r>
            <w:r>
              <w:rPr>
                <w:color w:val="000000"/>
              </w:rPr>
              <w:t xml:space="preserve"> </w:t>
            </w:r>
            <w:r>
              <w:rPr>
                <w:rFonts w:ascii="Times New Roman;sans-serif" w:hAnsi="Times New Roman;sans-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Kelly Steckelberg</w:t>
            </w:r>
            <w:r>
              <w:rPr>
                <w:color w:val="000000"/>
              </w:rPr>
              <w:t xml:space="preserve"> </w:t>
            </w:r>
            <w:r>
              <w:rPr>
                <w:rFonts w:ascii="Times New Roman;sans-serif" w:hAnsi="Times New Roman;sans-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firstLine="45"/>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Aparna Bawa</w:t>
            </w:r>
            <w:r>
              <w:rPr>
                <w:rFonts w:ascii="Times New Roman;sans-serif" w:hAnsi="Times New Roman;sans-serif"/>
                <w:b w:val="false"/>
                <w:color w:val="000000"/>
                <w:sz w:val="12"/>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Velchamy Sankarlingam </w:t>
            </w:r>
            <w:r>
              <w:rPr>
                <w:rFonts w:ascii="Times New Roman;sans-serif" w:hAnsi="Times New Roman;sans-serif"/>
                <w:b w:val="false"/>
                <w:color w:val="000000"/>
                <w:sz w:val="12"/>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ans-serif" w:hAnsi="Times New Roman;sans-serif"/>
                <w:b w:val="false"/>
                <w:color w:val="000000"/>
                <w:sz w:val="18"/>
              </w:rPr>
              <w:t>All directors and executive officers as a group (12 persons)</w:t>
            </w:r>
            <w:r>
              <w:rPr>
                <w:color w:val="000000"/>
              </w:rPr>
              <w:t xml:space="preserve"> </w:t>
            </w:r>
            <w:r>
              <w:rPr>
                <w:rFonts w:ascii="Times New Roman;sans-serif" w:hAnsi="Times New Roman;sans-serif"/>
                <w:b w:val="false"/>
                <w:color w:val="000000"/>
                <w:sz w:val="12"/>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662,738 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firstLine="45"/>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32,606,363 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r>
    </w:tbl>
    <w:p>
      <w:pPr>
        <w:pStyle w:val="TextBody"/>
        <w:bidi w:val="0"/>
        <w:spacing w:lineRule="auto" w:line="288" w:before="0" w:after="0"/>
        <w:jc w:val="both"/>
        <w:rPr>
          <w:rFonts w:ascii="Arial;sans-serif" w:hAnsi="Arial;sans-serif"/>
          <w:b w:val="false"/>
          <w:color w:val="000000"/>
          <w:sz w:val="16"/>
          <w:u w:val="single"/>
        </w:rPr>
      </w:pPr>
      <w:r>
        <w:rPr>
          <w:rFonts w:ascii="Arial;sans-serif" w:hAnsi="Arial;sans-serif"/>
          <w:b w:val="false"/>
          <w:color w:val="000000"/>
          <w:sz w:val="16"/>
          <w:u w:val="single"/>
        </w:rPr>
        <w:t>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*Represents beneficial ownership of less than 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Class B common stock is convertible at any time by the holder into shares of Class A common stock on a share-for-share basis, such that each holder of Class B common stock beneficially owns an equivalent number of shares of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described in “Description of Capital Stock—Class A Common Stock and Class B Common Stock—Voting Rights.”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(1)Information regarding BlackRock, Inc. is based solely upon a Schedule 13G/A filed with the SEC on January 31, 2024 reporting their beneficial ownership as of December 31, 2023. The Schedule 13G/A reports that BlackRock, Inc. has sole voting power over 12,660,735 shares of Class A common stock, and sole dispositive power with respect to 14,311,920 shares of Class A common stock. The address for BlackRock, Inc. is 50 Hudson Yards, New York, NY 10001.</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(2)Information regarding The Vanguard Group (“Vanguard”) is based solely upon Schedule 13G/A filed by Vanguard with the SEC on February 13, 2024 reporting its beneficial ownership as of December 29, 2023. The Schedule 13G/A reports that Vanguard has shared voting power with respect to 159,265 shares of Class A common stock, sole dispositive power with respect to 22,863,862 shares of Class A common stock and shared dispositive power with respect to 553,532 shares of Class A common stock. The address for Vanguard is 100 Vanguard Boulevard, Malvern, Pennsylvania, 19355.</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(3)Consists of (i) 5,748,568 shares of Class B common stock held of record by Emergence Capital Partners III, L.P. ("ECP III) and, (ii) 704,257 shares of Class B common stock held of record by EZP Opportunity, L.P. ("EZP"). Emergence Equity Partners III, L.P. ("EEP") is the sole general partner of ECP III and EZP, and may be deemed to beneficially own the shares of stock held directly by each ECP III and EZP. Mr. Subotovsky, one of our directors, is a member of EEP and shares voting and investment control with respect to shares held by the Emergence Entities. The address for Emergence and EZP is 160 Bovet Road, Suite 300, San Mateo, California 94402.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09295"/>
                <wp:effectExtent l="0" t="0" r="0" b="0"/>
                <wp:wrapNone/>
                <wp:docPr id="64" name="Frame6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(4)Consists of 9,406,815 shares of Class B common stock held of record by Puccini World Limited. Chau Hoi Shuen Solina Holly is the sole shareholder of Puccini. </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(5)Consists of (i) 82,740 shares of Class A common stock held of record by Zheng Yuan and Hongyu Zhang, cotrustees of the 2018 Yuan and Zhang Revocable Trust, for which Mr. Yuan and his spouse serve as cotrustees, and (ii) 82,304 shares of Class A common stock issuable upon the settlement of RSUs within 60 days of March 31, 2024, and (iii) 22,527,492 shares of Class B common stock held of record by Zheng Yuan and Hongyu Zhang, cotrustees of the 2018 Yuan and Zhang Revocable Trust, for which Mr. Yuan and his spouse serve as cotrustees.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(6)Consists of 4,294 shares of Class A common stock and 1,202,720 shares of Class B common stock held of record by Mr. Gassner.</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(7)Consists of 1,260 shares of Class A common stock held of record by Mr. Chadwick and 100,000 shares of Class B common stock held of record by Mr. Chadwick.</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(8)Consists of 2,951 shares of Class A common stock held of record by General McMaster.</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(9)Consists of 3,372 shares of Class A common stock held of record by Ms. Napolitano.</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(10)Consists of (i) 1,880 shares of Class A common stock held of record by Dan &amp; Zoe Scheinman Trust Dated 2/23/01, for which Mr. Scheinman serves as trustee, (ii) 437,974 shares of Class B common stock held of record by Dan &amp; Zoe Scheinman Trust Dated 2/23/01, for which Mr. Scheinman serves as trustee, (iii) 1,126,281 shares of Class B common stock held of record by The 2017 Scheinman Irrevocable Trust, for which Mr. Scheinman serves as trustee and (iv) 100,000 shares of Class B common stock subject to options exercisable within 60 days of March 31, 2024, all of which are vested as of such date.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(11)Consists of (i) 155,559 shares of Class A common stock held of record by Mr. Subotovsky, (ii) 5,748,568 shares of Class B common stock held of record by Emergence Capital Partners III, L.P. ("ECP III), and (iii) and 704,257 shares of Class B common stock held of record by EZP Opportunity, L.P. ("EZP"). Emergence Equity Partners III, L.P. ("EEP") is the sole general partner of ECP III and EZP, and may be deemed to beneficially own the shares of stock held directly by each ECP III and EZP. Mr. Subotovsky is a member of EEP III and shares voting and investment control with respect to the shares held by the Emergence Entities.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(12)Consists of 3,065 shares of Class A common stock held of record by Mr. McDermott.</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(13)Consists of 1,593 shares of Class A common stock held of record by Ms. Hoots.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(14)Consists of (i) 77,235 shares of Class A common stock held of record by The Steckelberg Trust dated 7/29/2006, (ii) 43,605 shares of Class A common stock issuable upon the settlement of RSUs within 60 days of March 31, 2024, and (iii) 623,071 shares of Class B common stock subject to options exercisable within 60 days of March 31, 2024 held by Ms. Steckelberg, all of which are vested as of such date.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(15)Consists of (i) 1,978 shares of Class A common stock held of record by Aparna Bawa and Rafik Bawa, cotrustees of the Bawa Family Trust, and (ii) 44,827 shares of Class A common stock issuable upon the settlement of RSUs within 60 days of March 31,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(16)Consists of (i) 71,956 shares of Class A common stock held of record by Velchamy Sankarlingam, and (ii) 36,060 shares of Class A common stock held of record by the Velchamy Family Trust of which Mr. Sankarlingam serves as co-trustee, and (iii) 48,059 shares of Class A common stock issuable upon the settlement of RSUs within 60 days of March 31,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(17)Consists of (i) 443,943 shares of Class A common stock beneficially owned by our current executive officers and directors, (ii) 31,883,292 shares of Class B common stock beneficially owned by our current executive officers and directors (iii) 723,071 shares of Class B common stock subject to options exercisable within 60 days of March 31, 2024, all of which are vested as of such date, and (iv) 218,795 shares of Class A common stock issuable upon the settlement of RSUs within 60 days of March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09295"/>
                <wp:effectExtent l="0" t="0" r="0" b="0"/>
                <wp:wrapNone/>
                <wp:docPr id="65" name="Frame6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Policies and Procedures for Related Person Transactions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Certain Related Person Transactions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transactions since February 1, 2023,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“Board of Directors and Corporate Governance—Non-Employee Director Compensation.”</w:t>
      </w:r>
    </w:p>
    <w:p>
      <w:pPr>
        <w:pStyle w:val="TextBody"/>
        <w:bidi w:val="0"/>
        <w:spacing w:lineRule="auto" w:line="288" w:before="24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Investors’ Rights Agreement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amended and restated investors’ rights agreement which provides, among other things, that certain holders of our capital stock, including Eric S. Yuan, Puccini World Limited and entities affiliated with Emergence Capital, have the right to demand that we file a registration statement or request that their shares of our capital stock be included on a registration statement that we are otherwise filing.</w:t>
      </w:r>
    </w:p>
    <w:p>
      <w:pPr>
        <w:pStyle w:val="TextBody"/>
        <w:bidi w:val="0"/>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Gift Agreement with University of California, Berkeley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made a gift to the Center for Security in Politics at the University of California, Berkeley's Goldman School of Public Policy. Ms. Napolitano, one of our directors, is the founder and director of the Center for Security in Politics. The gift is for an aggregate amount of $1.0 million, payable over five years beginning on February 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09295"/>
                <wp:effectExtent l="0" t="0" r="0" b="0"/>
                <wp:wrapNone/>
                <wp:docPr id="66" name="Frame6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breach of the director’s duty of loyalty to the corporation or its stockholders;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unlawful payments of dividends or unlawful stock repurchases or redemptions as provided in Section 174 of the Delaware General Corporation Law;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any transaction from which the director derived an improper personal benefit.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limitation of liability does not apply to liabilities arising under federal securities laws and does not affect the availability of equitable remedies such as injunctive relief or rescission.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we are authorized to indemnify our directors and officers to the fullest extent permitted by Delaware law. Our amended and restated bylaws provide that we are required to indemnify our directors and executive officers to the fullest extent permitted by Delaware law. Our amended and restated bylaws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09295"/>
                <wp:effectExtent l="0" t="0" r="0" b="0"/>
                <wp:wrapNone/>
                <wp:docPr id="67" name="Frame6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Fiscal Year 2024 Annual Report and SEC Filings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for our fiscal year ended January 31, 2024 are included in our Annual Report on Form 10-K, which we will make available to stockholders at the same time as this proxy statement. This proxy statement and our annual report are posted on our website at investors.zoom.us and are available from the SEC at its website at www.sec.gov. </w:t>
      </w:r>
    </w:p>
    <w:p>
      <w:pPr>
        <w:pStyle w:val="TextBody"/>
        <w:bidi w:val="0"/>
        <w:spacing w:lineRule="auto" w:line="288" w:before="0" w:after="0"/>
        <w:ind w:left="0" w:right="0" w:firstLine="720"/>
        <w:jc w:val="both"/>
        <w:rPr/>
      </w:pPr>
      <w:r>
        <w:rPr>
          <w:rFonts w:ascii="Times New Roman;sans-serif" w:hAnsi="Times New Roman;sans-serif"/>
          <w:b/>
          <w:color w:val="000000"/>
          <w:sz w:val="20"/>
        </w:rPr>
        <w:t>A copy of our Annual Report to the Securities and Exchange Commission on Form 10-K for the fiscal year ended January 31, 2024 is available without charge upon written request to Zoom Video Communications, Inc., Attention: Investor Relations, 55 Almaden Blvd.,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 San Jose, California 95113 or via email to investors@zoom.us.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other materials we are sending you or that are available to you in connection with the Annual Meeting contain express and implied “forward-looking statements” within the meaning of the Private Securities Litigation Reform Act of 1995, including statements regarding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compromised security measures including ours and those of the third parties with whom we work, and global security concerns and their potential impact on regional and global economies and supply chains. Additional risks and uncertainties that could cause actual outcomes and results to differ materially from those contemplated by the forward-looking statements described under the caption “Risk Factors” and elsewhere in our most recent filings with the SEC, including our Annual Report on Form 10-K for the fiscal year ended January 31, 2024. Forward-looking statements speak only as of the date the statements are made and are based on information available to Zoom at the time those statements are made and/or management’s good faith belief as of that time with respect to future events. We assume no obligation to update forward-looking statements to reflect events or circumstances after the date they were made, except as required by law.</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important that your shares of our common stock be represented at the Annual Meeting, regardless of the number of shares that you hold. You are, therefore, urged to vote by telephone or by using the Internet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09295"/>
                <wp:effectExtent l="0" t="0" r="0" b="0"/>
                <wp:wrapNone/>
                <wp:docPr id="68" name="Frame6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instructed on the enclosed proxy card or execute and return, at your earliest convenience, the enclosed proxy card in the envelope that has also been provided.</w:t>
      </w:r>
    </w:p>
    <w:tbl>
      <w:tblPr>
        <w:tblW w:w="2819" w:type="dxa"/>
        <w:jc w:val="left"/>
        <w:tblInd w:w="0" w:type="dxa"/>
        <w:tblLayout w:type="fixed"/>
        <w:tblCellMar>
          <w:top w:w="28" w:type="dxa"/>
          <w:left w:w="28" w:type="dxa"/>
          <w:bottom w:w="28" w:type="dxa"/>
          <w:right w:w="28" w:type="dxa"/>
        </w:tblCellMar>
      </w:tblPr>
      <w:tblGrid>
        <w:gridCol w:w="902"/>
        <w:gridCol w:w="792"/>
        <w:gridCol w:w="11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 BOARD OF DIRECTORS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r>
    </w:tbl>
    <w:p>
      <w:pPr>
        <w:pStyle w:val="TextBody"/>
        <w:bidi w:val="0"/>
        <w:spacing w:before="0" w:after="240"/>
        <w:ind w:left="0" w:right="0" w:firstLine="720"/>
        <w:jc w:val="right"/>
        <w:rPr/>
      </w:pPr>
      <w:r>
        <w:rPr/>
      </w:r>
    </w:p>
    <w:p>
      <w:pPr>
        <w:pStyle w:val="TextBody"/>
        <w:bidi w:val="0"/>
        <w:spacing w:before="0" w:after="240"/>
        <w:ind w:left="0" w:right="0" w:firstLine="72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09295"/>
                <wp:effectExtent l="0" t="0" r="0" b="0"/>
                <wp:wrapNone/>
                <wp:docPr id="69" name="Frame6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APPENDIX A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contains information regarding non-GAAP income from operations, which is not calculated in accordance with Generally Accepted Accounting Principles (“GAAP”). We use non-GAAP financial measures internally in analyzing our financial results and believe that the use of non-GAAP financial measures, including non-GAAP income from operations, is useful as an additional tool to evaluate ongoing operating results and trends and in comparing our financial results with other companies in our industry, many of which present similar non-GAAP financial measures.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meant to be considered in isolation or as a substitute for comparable GAAP financial measures. A reconciliation of non-GAAP income from operations to the most directly comparable GAAP measure is provided below.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Non-GAAP Income from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non-GAAP income from operations as income from operations excluding stock-based compensation expense and related payroll taxes, acquisition-related expenses, restructuring expenses, and litigation settlements, net. We exclude stock-based compensation expenses because it is non-cash in nature and excluding this expense provides meaningful supplemental information regarding our operational performance and allows stockholders the ability to make more meaningful comparisons between our operating results and those of other companies. We exclude the amount of employer payroll taxes related to employee stock plans, which is a cash expense, in order for stockholders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We exclude these restructuring expenses because they are distinct from ongoing operational costs and we do not believe they are reflective of our current and expected future business performance and operating results.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our non-GAAP income from operations to our GAAP income from operations as of the period presented:</w:t>
      </w:r>
    </w:p>
    <w:p>
      <w:pPr>
        <w:pStyle w:val="TextBody"/>
        <w:bidi w:val="0"/>
        <w:spacing w:before="0" w:after="0"/>
        <w:jc w:val="left"/>
        <w:rPr/>
      </w:pPr>
      <w:r>
        <w:rPr/>
      </w:r>
    </w:p>
    <w:tbl>
      <w:tblPr>
        <w:tblW w:w="8331" w:type="dxa"/>
        <w:jc w:val="center"/>
        <w:tblInd w:w="0" w:type="dxa"/>
        <w:tblLayout w:type="fixed"/>
        <w:tblCellMar>
          <w:top w:w="28" w:type="dxa"/>
          <w:left w:w="28" w:type="dxa"/>
          <w:bottom w:w="28" w:type="dxa"/>
          <w:right w:w="28" w:type="dxa"/>
        </w:tblCellMar>
      </w:tblPr>
      <w:tblGrid>
        <w:gridCol w:w="1822"/>
        <w:gridCol w:w="1607"/>
        <w:gridCol w:w="1611"/>
        <w:gridCol w:w="109"/>
        <w:gridCol w:w="109"/>
        <w:gridCol w:w="109"/>
        <w:gridCol w:w="211"/>
        <w:gridCol w:w="976"/>
        <w:gridCol w:w="109"/>
        <w:gridCol w:w="109"/>
        <w:gridCol w:w="109"/>
        <w:gridCol w:w="109"/>
        <w:gridCol w:w="211"/>
        <w:gridCol w:w="976"/>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$245,429</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09295"/>
                <wp:effectExtent l="0" t="0" r="0" b="0"/>
                <wp:wrapNone/>
                <wp:docPr id="70" name="Frame6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7686675"/>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9295"/>
                <wp:effectExtent l="0" t="0" r="0" b="0"/>
                <wp:wrapNone/>
                <wp:docPr id="72" name="Frame6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5943600" cy="7686675"/>
            <wp:effectExtent l="0" t="0" r="0" b="0"/>
            <wp:docPr id="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descr=""/>
                    <pic:cNvPicPr>
                      <a:picLocks noChangeAspect="1" noChangeArrowheads="1"/>
                    </pic:cNvPicPr>
                  </pic:nvPicPr>
                  <pic:blipFill>
                    <a:blip r:embed="rId7"/>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09295"/>
                <wp:effectExtent l="0" t="0" r="0" b="0"/>
                <wp:wrapNone/>
                <wp:docPr id="74" name="Frame6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200"/>
                        <w:ind w:left="0" w:right="0" w:firstLine="72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31421</Words>
  <Characters>174190</Characters>
  <CharactersWithSpaces>204147</CharactersWithSpaces>
  <Paragraphs>1898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