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0001773806</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835"/>
        </w:trPr>
        <w:tc>
          <w:tcPr>
            <w:tcW w:w="65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6"/>
              </w:rPr>
              <w:t>Zoom Video Communications,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001-38865</w:t>
            </w:r>
          </w:p>
        </w:tc>
      </w:tr>
      <w:tr>
        <w:trPr>
          <w:trHeight w:val="258"/>
        </w:trPr>
        <w:tc>
          <w:tcPr>
            <w:tcW w:w="300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 Almaden Blvd</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6th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San Jose</w:t>
            </w:r>
          </w:p>
        </w:tc>
      </w:tr>
      <w:tr>
        <w:trPr>
          <w:trHeight w:val="243"/>
        </w:trPr>
        <w:tc>
          <w:tcPr>
            <w:tcW w:w="300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382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95113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40" w:type="dxa"/>
            <w:vAlign w:val="bottom"/>
          </w:tcPr>
          <w:p>
            <w:pPr>
              <w:spacing w:after="0"/>
              <w:rPr>
                <w:sz w:val="24"/>
                <w:szCs w:val="24"/>
                <w:color w:val="auto"/>
              </w:rPr>
            </w:pP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1-888-799-9666</w:t>
            </w:r>
          </w:p>
        </w:tc>
      </w:tr>
      <w:tr>
        <w:trPr>
          <w:trHeight w:val="297"/>
        </w:trPr>
        <w:tc>
          <w:tcPr>
            <w:tcW w:w="65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2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Santiago Subotovsky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3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Goldman Sachs &amp; Co.</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8268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531384.36</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200 West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257786492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02/05/2024   NASD</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spacing w:after="0"/>
              <w:rPr>
                <w:sz w:val="22"/>
                <w:szCs w:val="22"/>
                <w:color w:val="auto"/>
              </w:rPr>
            </w:pPr>
          </w:p>
        </w:tc>
        <w:tc>
          <w:tcPr>
            <w:tcW w:w="2760" w:type="dxa"/>
            <w:vAlign w:val="bottom"/>
          </w:tcPr>
          <w:p>
            <w:pPr>
              <w:ind w:left="138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36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Acquired from a</w:t>
            </w:r>
          </w:p>
        </w:tc>
        <w:tc>
          <w:tcPr>
            <w:tcW w:w="1360" w:type="dxa"/>
            <w:vAlign w:val="bottom"/>
          </w:tcPr>
          <w:p>
            <w:pPr>
              <w:spacing w:after="0"/>
              <w:rPr>
                <w:sz w:val="23"/>
                <w:szCs w:val="23"/>
                <w:color w:val="auto"/>
              </w:rPr>
            </w:pPr>
          </w:p>
        </w:tc>
        <w:tc>
          <w:tcPr>
            <w:tcW w:w="28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distribution by a</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A</w:t>
            </w: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rPr>
              <w:t>partnership or</w:t>
            </w:r>
          </w:p>
        </w:tc>
        <w:tc>
          <w:tcPr>
            <w:tcW w:w="136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Emergence</w:t>
            </w:r>
          </w:p>
        </w:tc>
        <w:tc>
          <w:tcPr>
            <w:tcW w:w="28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420" w:type="dxa"/>
            <w:vAlign w:val="bottom"/>
            <w:vMerge w:val="continue"/>
          </w:tcPr>
          <w:p>
            <w:pPr>
              <w:spacing w:after="0"/>
              <w:rPr>
                <w:sz w:val="10"/>
                <w:szCs w:val="10"/>
                <w:color w:val="auto"/>
              </w:rPr>
            </w:pPr>
          </w:p>
        </w:tc>
        <w:tc>
          <w:tcPr>
            <w:tcW w:w="27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12/01/2014 other investment</w:t>
            </w:r>
          </w:p>
        </w:tc>
        <w:tc>
          <w:tcPr>
            <w:tcW w:w="1360" w:type="dxa"/>
            <w:vAlign w:val="bottom"/>
            <w:vMerge w:val="continue"/>
          </w:tcPr>
          <w:p>
            <w:pPr>
              <w:spacing w:after="0"/>
              <w:rPr>
                <w:sz w:val="10"/>
                <w:szCs w:val="10"/>
                <w:color w:val="auto"/>
              </w:rPr>
            </w:pP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8268</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12/01/2014 Cash</w:t>
            </w:r>
          </w:p>
        </w:tc>
        <w:tc>
          <w:tcPr>
            <w:tcW w:w="0" w:type="dxa"/>
            <w:vAlign w:val="bottom"/>
          </w:tcPr>
          <w:p>
            <w:pPr>
              <w:spacing w:after="0"/>
              <w:rPr>
                <w:sz w:val="1"/>
                <w:szCs w:val="1"/>
                <w:color w:val="auto"/>
              </w:rPr>
            </w:pPr>
          </w:p>
        </w:tc>
      </w:tr>
      <w:tr>
        <w:trPr>
          <w:trHeight w:val="216"/>
        </w:trPr>
        <w:tc>
          <w:tcPr>
            <w:tcW w:w="14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 Stock</w:t>
            </w:r>
          </w:p>
        </w:tc>
        <w:tc>
          <w:tcPr>
            <w:tcW w:w="2760" w:type="dxa"/>
            <w:vAlign w:val="bottom"/>
            <w:vMerge w:val="continue"/>
          </w:tcPr>
          <w:p>
            <w:pPr>
              <w:spacing w:after="0"/>
              <w:rPr>
                <w:sz w:val="18"/>
                <w:szCs w:val="18"/>
                <w:color w:val="auto"/>
              </w:rPr>
            </w:pPr>
          </w:p>
        </w:tc>
        <w:tc>
          <w:tcPr>
            <w:tcW w:w="1360" w:type="dxa"/>
            <w:vAlign w:val="bottom"/>
          </w:tcPr>
          <w:p>
            <w:pPr>
              <w:ind w:left="40"/>
              <w:spacing w:after="0" w:line="217" w:lineRule="exact"/>
              <w:rPr>
                <w:sz w:val="20"/>
                <w:szCs w:val="20"/>
                <w:color w:val="auto"/>
              </w:rPr>
            </w:pPr>
            <w:r>
              <w:rPr>
                <w:rFonts w:ascii="Times New Roman" w:cs="Times New Roman" w:eastAsia="Times New Roman" w:hAnsi="Times New Roman"/>
                <w:sz w:val="22"/>
                <w:szCs w:val="22"/>
                <w:color w:val="auto"/>
              </w:rPr>
              <w:t>Fund</w:t>
            </w:r>
          </w:p>
        </w:tc>
        <w:tc>
          <w:tcPr>
            <w:tcW w:w="2820" w:type="dxa"/>
            <w:vAlign w:val="bottom"/>
            <w:vMerge w:val="continue"/>
          </w:tcPr>
          <w:p>
            <w:pPr>
              <w:spacing w:after="0"/>
              <w:rPr>
                <w:sz w:val="18"/>
                <w:szCs w:val="18"/>
                <w:color w:val="auto"/>
              </w:rPr>
            </w:pPr>
          </w:p>
        </w:tc>
        <w:tc>
          <w:tcPr>
            <w:tcW w:w="1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420" w:type="dxa"/>
            <w:vAlign w:val="bottom"/>
          </w:tcPr>
          <w:p>
            <w:pPr>
              <w:spacing w:after="0"/>
              <w:rPr>
                <w:sz w:val="12"/>
                <w:szCs w:val="12"/>
                <w:color w:val="auto"/>
              </w:rPr>
            </w:pPr>
          </w:p>
        </w:tc>
        <w:tc>
          <w:tcPr>
            <w:tcW w:w="2760" w:type="dxa"/>
            <w:vAlign w:val="bottom"/>
          </w:tcPr>
          <w:p>
            <w:pPr>
              <w:ind w:left="1100"/>
              <w:spacing w:after="0" w:line="148" w:lineRule="exact"/>
              <w:rPr>
                <w:sz w:val="20"/>
                <w:szCs w:val="20"/>
                <w:color w:val="auto"/>
              </w:rPr>
            </w:pPr>
            <w:r>
              <w:rPr>
                <w:rFonts w:ascii="Times New Roman" w:cs="Times New Roman" w:eastAsia="Times New Roman" w:hAnsi="Times New Roman"/>
                <w:sz w:val="17"/>
                <w:szCs w:val="17"/>
                <w:color w:val="auto"/>
              </w:rPr>
              <w:t>vehicle. Shares</w:t>
            </w:r>
          </w:p>
        </w:tc>
        <w:tc>
          <w:tcPr>
            <w:tcW w:w="1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2760" w:type="dxa"/>
            <w:vAlign w:val="bottom"/>
          </w:tcPr>
          <w:p>
            <w:pPr>
              <w:ind w:left="1100"/>
              <w:spacing w:after="0" w:line="243" w:lineRule="exact"/>
              <w:rPr>
                <w:sz w:val="20"/>
                <w:szCs w:val="20"/>
                <w:color w:val="auto"/>
              </w:rPr>
            </w:pPr>
            <w:r>
              <w:rPr>
                <w:rFonts w:ascii="Times New Roman" w:cs="Times New Roman" w:eastAsia="Times New Roman" w:hAnsi="Times New Roman"/>
                <w:sz w:val="22"/>
                <w:szCs w:val="22"/>
                <w:color w:val="auto"/>
                <w:w w:val="98"/>
              </w:rPr>
              <w:t>distributed in 2019</w:t>
            </w:r>
          </w:p>
        </w:tc>
        <w:tc>
          <w:tcPr>
            <w:tcW w:w="1360" w:type="dxa"/>
            <w:vAlign w:val="bottom"/>
          </w:tcPr>
          <w:p>
            <w:pPr>
              <w:spacing w:after="0"/>
              <w:rPr>
                <w:sz w:val="21"/>
                <w:szCs w:val="21"/>
                <w:color w:val="auto"/>
              </w:rPr>
            </w:pPr>
          </w:p>
        </w:tc>
        <w:tc>
          <w:tcPr>
            <w:tcW w:w="28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4"/>
                <w:szCs w:val="24"/>
                <w:color w:val="auto"/>
              </w:rPr>
            </w:pPr>
          </w:p>
        </w:tc>
        <w:tc>
          <w:tcPr>
            <w:tcW w:w="2760" w:type="dxa"/>
            <w:vAlign w:val="bottom"/>
          </w:tcPr>
          <w:p>
            <w:pPr>
              <w:ind w:left="1100"/>
              <w:spacing w:after="0"/>
              <w:rPr>
                <w:sz w:val="20"/>
                <w:szCs w:val="20"/>
                <w:color w:val="auto"/>
              </w:rPr>
            </w:pPr>
            <w:r>
              <w:rPr>
                <w:rFonts w:ascii="Times New Roman" w:cs="Times New Roman" w:eastAsia="Times New Roman" w:hAnsi="Times New Roman"/>
                <w:sz w:val="22"/>
                <w:szCs w:val="22"/>
                <w:color w:val="auto"/>
              </w:rPr>
              <w:t>and 2020.</w:t>
            </w:r>
          </w:p>
        </w:tc>
        <w:tc>
          <w:tcPr>
            <w:tcW w:w="1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-615315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1"/>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30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Santiago Subotovsky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11/28/2023 2067</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137931.53</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Santiago Subotovsky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12/04/2023 2067</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140090.72</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Santiago Subotovsky</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55 Almaden Blvd</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Class A Common Stock</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01/02/2024 2067</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144015.33</w:t>
            </w:r>
          </w:p>
        </w:tc>
        <w:tc>
          <w:tcPr>
            <w:tcW w:w="0" w:type="dxa"/>
            <w:vAlign w:val="bottom"/>
          </w:tcPr>
          <w:p>
            <w:pPr>
              <w:spacing w:after="0"/>
              <w:rPr>
                <w:sz w:val="1"/>
                <w:szCs w:val="1"/>
                <w:color w:val="auto"/>
              </w:rPr>
            </w:pPr>
          </w:p>
        </w:tc>
      </w:tr>
      <w:tr>
        <w:trPr>
          <w:trHeight w:val="161"/>
        </w:trPr>
        <w:tc>
          <w:tcPr>
            <w:tcW w:w="13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6th Floor</w:t>
            </w:r>
          </w:p>
        </w:tc>
        <w:tc>
          <w:tcPr>
            <w:tcW w:w="204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300" w:type="dxa"/>
            <w:vAlign w:val="bottom"/>
            <w:vMerge w:val="continue"/>
          </w:tcPr>
          <w:p>
            <w:pPr>
              <w:spacing w:after="0"/>
              <w:rPr>
                <w:sz w:val="7"/>
                <w:szCs w:val="7"/>
                <w:color w:val="auto"/>
              </w:rPr>
            </w:pPr>
          </w:p>
        </w:tc>
        <w:tc>
          <w:tcPr>
            <w:tcW w:w="204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San Jose  CA</w:t>
            </w:r>
          </w:p>
        </w:tc>
        <w:tc>
          <w:tcPr>
            <w:tcW w:w="2040" w:type="dxa"/>
            <w:vAlign w:val="bottom"/>
          </w:tcPr>
          <w:p>
            <w:pPr>
              <w:jc w:val="right"/>
              <w:ind w:right="1312"/>
              <w:spacing w:after="0"/>
              <w:rPr>
                <w:sz w:val="20"/>
                <w:szCs w:val="20"/>
                <w:color w:val="auto"/>
              </w:rPr>
            </w:pPr>
            <w:r>
              <w:rPr>
                <w:rFonts w:ascii="Times New Roman" w:cs="Times New Roman" w:eastAsia="Times New Roman" w:hAnsi="Times New Roman"/>
                <w:sz w:val="22"/>
                <w:szCs w:val="22"/>
                <w:color w:val="auto"/>
              </w:rPr>
              <w:t>95113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The sales of shares set forth herein are made in connection with a selling plan dated 3/14/2023, that is intended to comply with Rule 10b5-1(c).</w:t>
      </w:r>
    </w:p>
    <w:p>
      <w:pPr>
        <w:spacing w:after="0"/>
        <w:rPr>
          <w:sz w:val="20"/>
          <w:szCs w:val="20"/>
          <w:color w:val="auto"/>
        </w:rPr>
      </w:pPr>
      <w:r>
        <w:rPr>
          <w:rFonts w:ascii="Times New Roman" w:cs="Times New Roman" w:eastAsia="Times New Roman" w:hAnsi="Times New Roman"/>
          <w:sz w:val="22"/>
          <w:szCs w:val="22"/>
          <w:color w:val="auto"/>
        </w:rPr>
        <w:t>02/05/2024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03/14/2023</w:t>
      </w:r>
    </w:p>
    <w:p>
      <w:pPr>
        <w:spacing w:after="0" w:line="612" w:lineRule="exact"/>
        <w:rPr>
          <w:sz w:val="20"/>
          <w:szCs w:val="20"/>
          <w:color w:val="auto"/>
        </w:rPr>
      </w:pPr>
    </w:p>
    <w:p>
      <w:pPr>
        <w:sectPr>
          <w:pgSz w:w="11900" w:h="16838" w:orient="portrait"/>
          <w:cols w:equalWidth="0" w:num="2">
            <w:col w:w="3380" w:space="520"/>
            <w:col w:w="734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Goldman Sachs &amp; Co. LLC on behalf of Santiago Subotovsky</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2024-02-05T16:06:31Z</dcterms:created>
  <dcterms:modified xsi:type="dcterms:W3CDTF">2024-02-05T16:06:31Z</dcterms:modified>
</cp:coreProperties>
</file>