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638810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CUSIP No. 9890L101</w:t>
            </w:r>
          </w:p>
        </w:tc>
        <w:tc>
          <w:tcPr>
            <w:tcW w:w="4040" w:type="dxa"/>
            <w:vAlign w:val="bottom"/>
          </w:tcPr>
          <w:p>
            <w:pPr>
              <w:ind w:left="840"/>
              <w:spacing w:after="0"/>
              <w:rPr>
                <w:sz w:val="20"/>
                <w:szCs w:val="20"/>
                <w:color w:val="auto"/>
              </w:rPr>
            </w:pPr>
            <w:r>
              <w:rPr>
                <w:rFonts w:ascii="Arial" w:cs="Arial" w:eastAsia="Arial" w:hAnsi="Arial"/>
                <w:sz w:val="18"/>
                <w:szCs w:val="18"/>
                <w:color w:val="auto"/>
              </w:rPr>
              <w:t>SCHEDULE 13G</w:t>
            </w:r>
          </w:p>
        </w:tc>
        <w:tc>
          <w:tcPr>
            <w:tcW w:w="2720" w:type="dxa"/>
            <w:vAlign w:val="bottom"/>
            <w:gridSpan w:val="2"/>
          </w:tcPr>
          <w:p>
            <w:pPr>
              <w:ind w:left="1900"/>
              <w:spacing w:after="0"/>
              <w:rPr>
                <w:sz w:val="20"/>
                <w:szCs w:val="20"/>
                <w:color w:val="auto"/>
              </w:rPr>
            </w:pPr>
            <w:r>
              <w:rPr>
                <w:rFonts w:ascii="Arial" w:cs="Arial" w:eastAsia="Arial" w:hAnsi="Arial"/>
                <w:sz w:val="18"/>
                <w:szCs w:val="18"/>
                <w:color w:val="auto"/>
                <w:w w:val="86"/>
              </w:rPr>
              <w:t>Page 2 of 5</w:t>
            </w:r>
          </w:p>
        </w:tc>
      </w:tr>
      <w:tr>
        <w:trPr>
          <w:trHeight w:val="148"/>
        </w:trPr>
        <w:tc>
          <w:tcPr>
            <w:tcW w:w="4260" w:type="dxa"/>
            <w:vAlign w:val="bottom"/>
            <w:tcBorders>
              <w:bottom w:val="single" w:sz="8" w:color="auto"/>
            </w:tcBorders>
          </w:tcPr>
          <w:p>
            <w:pPr>
              <w:spacing w:after="0"/>
              <w:rPr>
                <w:sz w:val="12"/>
                <w:szCs w:val="12"/>
                <w:color w:val="auto"/>
              </w:rPr>
            </w:pPr>
          </w:p>
        </w:tc>
        <w:tc>
          <w:tcPr>
            <w:tcW w:w="40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4"/>
        </w:trPr>
        <w:tc>
          <w:tcPr>
            <w:tcW w:w="426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40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714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0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5426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4267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26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26710"/>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rPr>
              <w:t>Eric S. Yuan</w:t>
            </w: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420" w:type="dxa"/>
            <w:vAlign w:val="bottom"/>
            <w:gridSpan w:val="4"/>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4"/>
                <w:szCs w:val="24"/>
                <w:color w:val="auto"/>
              </w:rPr>
            </w:pPr>
          </w:p>
        </w:tc>
        <w:tc>
          <w:tcPr>
            <w:tcW w:w="1040" w:type="dxa"/>
            <w:vAlign w:val="bottom"/>
          </w:tcPr>
          <w:p>
            <w:pPr>
              <w:ind w:left="20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420" w:type="dxa"/>
            <w:vAlign w:val="bottom"/>
            <w:gridSpan w:val="2"/>
          </w:tcPr>
          <w:p>
            <w:pPr>
              <w:ind w:left="120"/>
              <w:spacing w:after="0"/>
              <w:rPr>
                <w:sz w:val="20"/>
                <w:szCs w:val="20"/>
                <w:color w:val="auto"/>
              </w:rPr>
            </w:pPr>
            <w:r>
              <w:rPr>
                <w:rFonts w:ascii="Arial" w:cs="Arial" w:eastAsia="Arial" w:hAnsi="Arial"/>
                <w:sz w:val="22"/>
                <w:szCs w:val="22"/>
                <w:color w:val="auto"/>
              </w:rPr>
              <w:t>(b)</w:t>
            </w:r>
          </w:p>
        </w:tc>
        <w:tc>
          <w:tcPr>
            <w:tcW w:w="8960" w:type="dxa"/>
            <w:vAlign w:val="bottom"/>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42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52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22,748,717(1)(3)</w:t>
            </w:r>
          </w:p>
        </w:tc>
        <w:tc>
          <w:tcPr>
            <w:tcW w:w="0" w:type="dxa"/>
            <w:vAlign w:val="bottom"/>
          </w:tcPr>
          <w:p>
            <w:pPr>
              <w:spacing w:after="0"/>
              <w:rPr>
                <w:sz w:val="1"/>
                <w:szCs w:val="1"/>
                <w:color w:val="auto"/>
              </w:rPr>
            </w:pPr>
          </w:p>
        </w:tc>
      </w:tr>
      <w:tr>
        <w:trPr>
          <w:trHeight w:val="48"/>
        </w:trPr>
        <w:tc>
          <w:tcPr>
            <w:tcW w:w="1520" w:type="dxa"/>
            <w:vAlign w:val="bottom"/>
            <w:tcBorders>
              <w:right w:val="single" w:sz="8" w:color="auto"/>
            </w:tcBorders>
            <w:gridSpan w:val="2"/>
            <w:vMerge w:val="continue"/>
          </w:tcPr>
          <w:p>
            <w:pPr>
              <w:spacing w:after="0"/>
              <w:rPr>
                <w:sz w:val="4"/>
                <w:szCs w:val="4"/>
                <w:color w:val="auto"/>
              </w:rPr>
            </w:pPr>
          </w:p>
        </w:tc>
        <w:tc>
          <w:tcPr>
            <w:tcW w:w="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040" w:type="dxa"/>
            <w:vAlign w:val="bottom"/>
            <w:tcBorders>
              <w:right w:val="single" w:sz="8" w:color="auto"/>
            </w:tcBorders>
            <w:vMerge w:val="restart"/>
          </w:tcPr>
          <w:p>
            <w:pPr>
              <w:jc w:val="center"/>
              <w:ind w:right="243"/>
              <w:spacing w:after="0"/>
              <w:rPr>
                <w:sz w:val="20"/>
                <w:szCs w:val="20"/>
                <w:color w:val="auto"/>
              </w:rPr>
            </w:pPr>
            <w:r>
              <w:rPr>
                <w:rFonts w:ascii="Arial" w:cs="Arial" w:eastAsia="Arial" w:hAnsi="Arial"/>
                <w:sz w:val="18"/>
                <w:szCs w:val="18"/>
                <w:color w:val="auto"/>
                <w:w w:val="94"/>
              </w:rPr>
              <w:t>SHARES</w:t>
            </w:r>
          </w:p>
        </w:tc>
        <w:tc>
          <w:tcPr>
            <w:tcW w:w="3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960" w:type="dxa"/>
            <w:vAlign w:val="bottom"/>
            <w:vMerge w:val="restart"/>
          </w:tcPr>
          <w:p>
            <w:pPr>
              <w:ind w:left="120"/>
              <w:spacing w:after="0"/>
              <w:rPr>
                <w:sz w:val="20"/>
                <w:szCs w:val="20"/>
                <w:color w:val="auto"/>
              </w:rPr>
            </w:pPr>
            <w:r>
              <w:rPr>
                <w:rFonts w:ascii="Arial" w:cs="Arial" w:eastAsia="Arial" w:hAnsi="Arial"/>
                <w:sz w:val="22"/>
                <w:szCs w:val="22"/>
                <w:color w:val="auto"/>
              </w:rPr>
              <w:t>425,691(2)(3)</w:t>
            </w:r>
          </w:p>
        </w:tc>
        <w:tc>
          <w:tcPr>
            <w:tcW w:w="0" w:type="dxa"/>
            <w:vAlign w:val="bottom"/>
          </w:tcPr>
          <w:p>
            <w:pPr>
              <w:spacing w:after="0"/>
              <w:rPr>
                <w:sz w:val="1"/>
                <w:szCs w:val="1"/>
                <w:color w:val="auto"/>
              </w:rPr>
            </w:pPr>
          </w:p>
        </w:tc>
      </w:tr>
      <w:tr>
        <w:trPr>
          <w:trHeight w:val="230"/>
        </w:trPr>
        <w:tc>
          <w:tcPr>
            <w:tcW w:w="15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1040" w:type="dxa"/>
            <w:vAlign w:val="bottom"/>
            <w:tcBorders>
              <w:right w:val="single" w:sz="8" w:color="auto"/>
            </w:tcBorders>
          </w:tcPr>
          <w:p>
            <w:pPr>
              <w:jc w:val="center"/>
              <w:ind w:right="243"/>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89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1040" w:type="dxa"/>
            <w:vAlign w:val="bottom"/>
            <w:tcBorders>
              <w:right w:val="single" w:sz="8" w:color="auto"/>
            </w:tcBorders>
          </w:tcPr>
          <w:p>
            <w:pPr>
              <w:jc w:val="center"/>
              <w:ind w:right="243"/>
              <w:spacing w:after="0"/>
              <w:rPr>
                <w:sz w:val="20"/>
                <w:szCs w:val="20"/>
                <w:color w:val="auto"/>
              </w:rPr>
            </w:pPr>
            <w:r>
              <w:rPr>
                <w:rFonts w:ascii="Arial" w:cs="Arial" w:eastAsia="Arial" w:hAnsi="Arial"/>
                <w:sz w:val="18"/>
                <w:szCs w:val="18"/>
                <w:color w:val="auto"/>
                <w:w w:val="92"/>
              </w:rPr>
              <w:t>PERSON</w:t>
            </w:r>
          </w:p>
        </w:tc>
        <w:tc>
          <w:tcPr>
            <w:tcW w:w="3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960" w:type="dxa"/>
            <w:vAlign w:val="bottom"/>
          </w:tcPr>
          <w:p>
            <w:pPr>
              <w:ind w:left="120"/>
              <w:spacing w:after="0" w:line="244" w:lineRule="exact"/>
              <w:rPr>
                <w:sz w:val="20"/>
                <w:szCs w:val="20"/>
                <w:color w:val="auto"/>
              </w:rPr>
            </w:pPr>
            <w:r>
              <w:rPr>
                <w:rFonts w:ascii="Arial" w:cs="Arial" w:eastAsia="Arial" w:hAnsi="Arial"/>
                <w:sz w:val="22"/>
                <w:szCs w:val="22"/>
                <w:color w:val="auto"/>
              </w:rPr>
              <w:t>22,748,717(1)(3)</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1040" w:type="dxa"/>
            <w:vAlign w:val="bottom"/>
            <w:tcBorders>
              <w:right w:val="single" w:sz="8" w:color="auto"/>
            </w:tcBorders>
            <w:vMerge w:val="restart"/>
          </w:tcPr>
          <w:p>
            <w:pPr>
              <w:jc w:val="center"/>
              <w:ind w:right="243"/>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2"/>
                <w:szCs w:val="12"/>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425,691(2)(3)</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rPr>
              <w:t>23,174,408</w:t>
            </w:r>
          </w:p>
        </w:tc>
        <w:tc>
          <w:tcPr>
            <w:tcW w:w="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2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2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rPr>
              <w:t>7.8% of capital stock, 8.7% of Class A Common Stock (3)(4)(5)</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IN</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60" w:hanging="424"/>
        <w:spacing w:after="0" w:line="258"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Represents 22,585,512 shares of Class B Common Stock held of record by Mr. Yuan and 163,205 shares of Class B Common Stock subject to options exercisable within 60 days of December 31, 2021.</w:t>
      </w:r>
    </w:p>
    <w:p>
      <w:pPr>
        <w:spacing w:after="0" w:line="1" w:lineRule="exact"/>
        <w:rPr>
          <w:rFonts w:ascii="Arial" w:cs="Arial" w:eastAsia="Arial" w:hAnsi="Arial"/>
          <w:sz w:val="18"/>
          <w:szCs w:val="18"/>
          <w:b w:val="1"/>
          <w:bCs w:val="1"/>
          <w:color w:val="auto"/>
        </w:rPr>
      </w:pPr>
    </w:p>
    <w:p>
      <w:pPr>
        <w:ind w:left="424" w:right="18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Represents 425,691 shares of Class B Common Stock held of record by Zheng Yuan and Hongyu Zhang, cotrustees of the 2018 Yuan and Zhang Revocable Trust, for which Mr. Yuan and his spouse serve as cotrustees.</w:t>
      </w:r>
    </w:p>
    <w:p>
      <w:pPr>
        <w:jc w:val="both"/>
        <w:ind w:left="424" w:right="44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b w:val="1"/>
          <w:bCs w:val="1"/>
          <w:color w:val="auto"/>
        </w:rPr>
      </w:pPr>
    </w:p>
    <w:p>
      <w:pPr>
        <w:ind w:left="424" w:right="32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(i) 243,186,121 shares of Class A Common Stock and (ii) 55,410,303 shares of Class B Common Stock outstanding as of December 31, 2021.</w:t>
      </w:r>
    </w:p>
    <w:p>
      <w:pPr>
        <w:ind w:left="424" w:right="100" w:hanging="424"/>
        <w:spacing w:after="0" w:line="270"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23,174,408 shares of Class B Common Stock held by Eris S. Yuan represent 29.0% of the aggregate combined voting power of the Class A Common Stock and Class B Common Stock.</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121" w:lineRule="exact"/>
        <w:rPr>
          <w:sz w:val="20"/>
          <w:szCs w:val="20"/>
          <w:color w:val="auto"/>
        </w:rPr>
      </w:pPr>
    </w:p>
    <w:p>
      <w:pPr>
        <w:ind w:left="1220" w:hanging="44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20" w:hanging="44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220" w:right="736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220" w:right="8040" w:hanging="441"/>
        <w:spacing w:after="0" w:line="375"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Persons Filing: Eric S. Yuan</w:t>
      </w:r>
    </w:p>
    <w:p>
      <w:pPr>
        <w:spacing w:after="0" w:line="1" w:lineRule="exact"/>
        <w:rPr>
          <w:rFonts w:ascii="Arial" w:cs="Arial" w:eastAsia="Arial" w:hAnsi="Arial"/>
          <w:sz w:val="18"/>
          <w:szCs w:val="18"/>
          <w:color w:val="auto"/>
        </w:rPr>
      </w:pPr>
    </w:p>
    <w:p>
      <w:pPr>
        <w:ind w:left="1220" w:hanging="441"/>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220" w:right="732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15" w:lineRule="exact"/>
        <w:rPr>
          <w:rFonts w:ascii="Arial" w:cs="Arial" w:eastAsia="Arial" w:hAnsi="Arial"/>
          <w:sz w:val="18"/>
          <w:szCs w:val="18"/>
          <w:color w:val="auto"/>
        </w:rPr>
      </w:pPr>
    </w:p>
    <w:p>
      <w:pPr>
        <w:ind w:left="1220" w:hanging="441"/>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17" w:lineRule="exact"/>
        <w:rPr>
          <w:rFonts w:ascii="Arial" w:cs="Arial" w:eastAsia="Arial" w:hAnsi="Arial"/>
          <w:sz w:val="18"/>
          <w:szCs w:val="18"/>
          <w:color w:val="auto"/>
        </w:rPr>
      </w:pPr>
    </w:p>
    <w:p>
      <w:pPr>
        <w:ind w:left="1220" w:hanging="441"/>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220" w:right="8600" w:hanging="441"/>
        <w:spacing w:after="0" w:line="483"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220" w:hanging="441"/>
        <w:spacing w:after="0" w:line="207" w:lineRule="exact"/>
        <w:tabs>
          <w:tab w:leader="none" w:pos="12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w:t>
      </w:r>
    </w:p>
    <w:p>
      <w:pPr>
        <w:spacing w:after="0" w:line="125" w:lineRule="exact"/>
        <w:rPr>
          <w:sz w:val="20"/>
          <w:szCs w:val="20"/>
          <w:color w:val="auto"/>
        </w:rPr>
      </w:pPr>
    </w:p>
    <w:p>
      <w:pPr>
        <w:ind w:left="1320" w:hanging="465"/>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320" w:hanging="465"/>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880" w:right="660" w:hanging="1025"/>
        <w:spacing w:after="0" w:line="223" w:lineRule="exact"/>
        <w:tabs>
          <w:tab w:leader="none" w:pos="1327"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4" w:lineRule="exact"/>
        <w:rPr>
          <w:rFonts w:ascii="Arial" w:cs="Arial" w:eastAsia="Arial" w:hAnsi="Arial"/>
          <w:sz w:val="18"/>
          <w:szCs w:val="18"/>
          <w:color w:val="auto"/>
        </w:rPr>
      </w:pPr>
    </w:p>
    <w:p>
      <w:pPr>
        <w:ind w:left="1320" w:hanging="465"/>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320" w:hanging="465"/>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03" w:lineRule="exact"/>
        <w:rPr>
          <w:sz w:val="20"/>
          <w:szCs w:val="20"/>
          <w:color w:val="auto"/>
        </w:rPr>
      </w:pPr>
    </w:p>
    <w:p>
      <w:pPr>
        <w:ind w:left="1880" w:hanging="1025"/>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See response in Row 9 on page 2 for Reporting Person</w:t>
      </w:r>
    </w:p>
    <w:p>
      <w:pPr>
        <w:spacing w:after="0" w:line="117" w:lineRule="exact"/>
        <w:rPr>
          <w:rFonts w:ascii="Arial" w:cs="Arial" w:eastAsia="Arial" w:hAnsi="Arial"/>
          <w:sz w:val="18"/>
          <w:szCs w:val="18"/>
          <w:color w:val="auto"/>
        </w:rPr>
      </w:pPr>
    </w:p>
    <w:p>
      <w:pPr>
        <w:ind w:left="1880" w:hanging="1025"/>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See response in Row 11 on page 2 for Reporting Person</w:t>
      </w:r>
    </w:p>
    <w:p>
      <w:pPr>
        <w:spacing w:after="0" w:line="117" w:lineRule="exact"/>
        <w:rPr>
          <w:rFonts w:ascii="Arial" w:cs="Arial" w:eastAsia="Arial" w:hAnsi="Arial"/>
          <w:sz w:val="18"/>
          <w:szCs w:val="18"/>
          <w:color w:val="auto"/>
        </w:rPr>
      </w:pPr>
    </w:p>
    <w:p>
      <w:pPr>
        <w:ind w:left="1880" w:hanging="1025"/>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880" w:right="6280" w:hanging="561"/>
        <w:spacing w:after="0" w:line="375" w:lineRule="auto"/>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22,748,717</w:t>
      </w:r>
    </w:p>
    <w:p>
      <w:pPr>
        <w:spacing w:after="0" w:line="1" w:lineRule="exact"/>
        <w:rPr>
          <w:rFonts w:ascii="Arial" w:cs="Arial" w:eastAsia="Arial" w:hAnsi="Arial"/>
          <w:sz w:val="18"/>
          <w:szCs w:val="18"/>
          <w:color w:val="auto"/>
        </w:rPr>
      </w:pPr>
    </w:p>
    <w:p>
      <w:pPr>
        <w:ind w:left="1880" w:right="6100" w:hanging="561"/>
        <w:spacing w:after="0" w:line="375" w:lineRule="auto"/>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425,691</w:t>
      </w:r>
    </w:p>
    <w:p>
      <w:pPr>
        <w:spacing w:after="0" w:line="1" w:lineRule="exact"/>
        <w:rPr>
          <w:rFonts w:ascii="Arial" w:cs="Arial" w:eastAsia="Arial" w:hAnsi="Arial"/>
          <w:sz w:val="18"/>
          <w:szCs w:val="18"/>
          <w:color w:val="auto"/>
        </w:rPr>
      </w:pPr>
    </w:p>
    <w:p>
      <w:pPr>
        <w:ind w:left="1880" w:right="5580" w:hanging="561"/>
        <w:spacing w:after="0" w:line="375" w:lineRule="auto"/>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22,748,717</w:t>
      </w:r>
    </w:p>
    <w:p>
      <w:pPr>
        <w:spacing w:after="0" w:line="1" w:lineRule="exact"/>
        <w:rPr>
          <w:rFonts w:ascii="Arial" w:cs="Arial" w:eastAsia="Arial" w:hAnsi="Arial"/>
          <w:sz w:val="18"/>
          <w:szCs w:val="18"/>
          <w:color w:val="auto"/>
        </w:rPr>
      </w:pPr>
    </w:p>
    <w:p>
      <w:pPr>
        <w:ind w:left="1880" w:right="5380" w:hanging="561"/>
        <w:spacing w:after="0" w:line="402" w:lineRule="auto"/>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425,691</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880"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80" w:hanging="890"/>
        <w:spacing w:after="0" w:line="282"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 Yuan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Eric S. Yuan</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2022-02-14T11:47:05Z</dcterms:created>
  <dcterms:modified xsi:type="dcterms:W3CDTF">2022-02-14T11:47:05Z</dcterms:modified>
</cp:coreProperties>
</file>